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ind w:left="204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396"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Washington, D.C.</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20549</w:t>
      </w:r>
    </w:p>
    <w:p>
      <w:pPr>
        <w:spacing w:after="0" w:line="200" w:lineRule="exact"/>
        <w:rPr>
          <w:sz w:val="24"/>
          <w:szCs w:val="24"/>
          <w:color w:val="auto"/>
        </w:rPr>
      </w:pPr>
    </w:p>
    <w:p>
      <w:pPr>
        <w:spacing w:after="0" w:line="392"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3660"/>
        <w:spacing w:after="0"/>
        <w:rPr>
          <w:sz w:val="20"/>
          <w:szCs w:val="20"/>
          <w:color w:val="auto"/>
        </w:rPr>
      </w:pPr>
      <w:r>
        <w:rPr>
          <w:rFonts w:ascii="Courier New" w:cs="Courier New" w:eastAsia="Courier New" w:hAnsi="Courier New"/>
          <w:sz w:val="17"/>
          <w:szCs w:val="17"/>
          <w:color w:val="auto"/>
        </w:rPr>
        <w:t>QUARTERLY REPORT UNDER SECTION 13 or 15(d)</w:t>
      </w:r>
    </w:p>
    <w:p>
      <w:pPr>
        <w:spacing w:after="0" w:line="4" w:lineRule="exact"/>
        <w:rPr>
          <w:sz w:val="24"/>
          <w:szCs w:val="24"/>
          <w:color w:val="auto"/>
        </w:rPr>
      </w:pPr>
    </w:p>
    <w:p>
      <w:pPr>
        <w:jc w:val="center"/>
        <w:ind w:right="3660"/>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396" w:lineRule="exact"/>
        <w:rPr>
          <w:sz w:val="24"/>
          <w:szCs w:val="24"/>
          <w:color w:val="auto"/>
        </w:rPr>
      </w:pPr>
    </w:p>
    <w:p>
      <w:pPr>
        <w:spacing w:after="0"/>
        <w:tabs>
          <w:tab w:leader="none" w:pos="4680" w:val="left"/>
        </w:tabs>
        <w:rPr>
          <w:sz w:val="20"/>
          <w:szCs w:val="20"/>
          <w:color w:val="auto"/>
        </w:rPr>
      </w:pPr>
      <w:r>
        <w:rPr>
          <w:rFonts w:ascii="Courier New" w:cs="Courier New" w:eastAsia="Courier New" w:hAnsi="Courier New"/>
          <w:sz w:val="17"/>
          <w:szCs w:val="17"/>
          <w:color w:val="auto"/>
        </w:rPr>
        <w:t>For Quarter Ended September 30, 1994</w:t>
      </w:r>
      <w:r>
        <w:rPr>
          <w:sz w:val="20"/>
          <w:szCs w:val="20"/>
          <w:color w:val="auto"/>
        </w:rPr>
        <w:tab/>
      </w:r>
      <w:r>
        <w:rPr>
          <w:rFonts w:ascii="Courier New" w:cs="Courier New" w:eastAsia="Courier New" w:hAnsi="Courier New"/>
          <w:sz w:val="17"/>
          <w:szCs w:val="17"/>
          <w:color w:val="auto"/>
        </w:rPr>
        <w:t>Commission File Number 1-3761</w:t>
      </w:r>
    </w:p>
    <w:p>
      <w:pPr>
        <w:spacing w:after="0" w:line="200" w:lineRule="exact"/>
        <w:rPr>
          <w:sz w:val="24"/>
          <w:szCs w:val="24"/>
          <w:color w:val="auto"/>
        </w:rPr>
      </w:pPr>
    </w:p>
    <w:p>
      <w:pPr>
        <w:spacing w:after="0" w:line="392" w:lineRule="exact"/>
        <w:rPr>
          <w:sz w:val="24"/>
          <w:szCs w:val="24"/>
          <w:color w:val="auto"/>
        </w:rPr>
      </w:pPr>
    </w:p>
    <w:p>
      <w:pPr>
        <w:jc w:val="center"/>
        <w:ind w:right="3660"/>
        <w:spacing w:after="0"/>
        <w:rPr>
          <w:sz w:val="20"/>
          <w:szCs w:val="20"/>
          <w:color w:val="auto"/>
        </w:rPr>
      </w:pPr>
      <w:r>
        <w:rPr>
          <w:rFonts w:ascii="Courier New" w:cs="Courier New" w:eastAsia="Courier New" w:hAnsi="Courier New"/>
          <w:sz w:val="17"/>
          <w:szCs w:val="17"/>
          <w:color w:val="auto"/>
        </w:rPr>
        <w:t>TEXAS INSTRUMENTS INCORPORATED</w:t>
      </w:r>
    </w:p>
    <w:p>
      <w:pPr>
        <w:spacing w:after="0" w:line="4"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97" w:orient="portrait"/>
          <w:cols w:equalWidth="0" w:num="1">
            <w:col w:w="11220"/>
          </w:cols>
          <w:pgMar w:left="240" w:top="834" w:right="439" w:bottom="0" w:gutter="0" w:footer="0" w:header="0"/>
        </w:sectPr>
      </w:pPr>
    </w:p>
    <w:p>
      <w:pPr>
        <w:spacing w:after="0" w:line="200" w:lineRule="exact"/>
        <w:rPr>
          <w:sz w:val="24"/>
          <w:szCs w:val="24"/>
          <w:color w:val="auto"/>
        </w:rPr>
      </w:pPr>
    </w:p>
    <w:p>
      <w:pPr>
        <w:spacing w:after="0" w:line="392"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ind w:left="1520"/>
        <w:spacing w:after="0"/>
        <w:rPr>
          <w:sz w:val="20"/>
          <w:szCs w:val="20"/>
          <w:color w:val="auto"/>
        </w:rPr>
      </w:pPr>
      <w:r>
        <w:rPr>
          <w:rFonts w:ascii="Courier New" w:cs="Courier New" w:eastAsia="Courier New" w:hAnsi="Courier New"/>
          <w:sz w:val="17"/>
          <w:szCs w:val="17"/>
          <w:color w:val="auto"/>
        </w:rPr>
        <w:t>75-0289970</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 Identification No.)</w:t>
      </w:r>
    </w:p>
    <w:p>
      <w:pPr>
        <w:spacing w:after="0" w:line="200" w:lineRule="exact"/>
        <w:rPr>
          <w:sz w:val="24"/>
          <w:szCs w:val="24"/>
          <w:color w:val="auto"/>
        </w:rPr>
      </w:pPr>
    </w:p>
    <w:p>
      <w:pPr>
        <w:sectPr>
          <w:pgSz w:w="11900" w:h="16897" w:orient="portrait"/>
          <w:cols w:equalWidth="0" w:num="2">
            <w:col w:w="2860" w:space="720"/>
            <w:col w:w="7640"/>
          </w:cols>
          <w:pgMar w:left="240" w:top="834" w:right="439" w:bottom="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7"/>
          <w:szCs w:val="17"/>
          <w:color w:val="auto"/>
        </w:rPr>
        <w:t>13500 North Central Expressway, P.O. Box 655474, Dallas, Texas</w:t>
      </w:r>
      <w:r>
        <w:rPr>
          <w:sz w:val="20"/>
          <w:szCs w:val="20"/>
          <w:color w:val="auto"/>
        </w:rPr>
        <w:tab/>
      </w:r>
      <w:r>
        <w:rPr>
          <w:rFonts w:ascii="Courier New" w:cs="Courier New" w:eastAsia="Courier New" w:hAnsi="Courier New"/>
          <w:sz w:val="16"/>
          <w:szCs w:val="16"/>
          <w:color w:val="auto"/>
        </w:rPr>
        <w:t>75265-5474</w:t>
      </w:r>
    </w:p>
    <w:p>
      <w:pPr>
        <w:sectPr>
          <w:pgSz w:w="11900" w:h="16897" w:orient="portrait"/>
          <w:cols w:equalWidth="0" w:num="1">
            <w:col w:w="11220"/>
          </w:cols>
          <w:pgMar w:left="240" w:top="834" w:right="439" w:bottom="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4"/>
          <w:szCs w:val="24"/>
          <w:color w:val="auto"/>
        </w:rPr>
      </w:pPr>
    </w:p>
    <w:p>
      <w:pPr>
        <w:spacing w:after="0"/>
        <w:tabs>
          <w:tab w:leader="none" w:pos="682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96"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Registrant's telephone number, including area code 214-995-3773</w:t>
      </w:r>
    </w:p>
    <w:p>
      <w:pPr>
        <w:spacing w:after="0" w:line="4"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4"/>
          <w:szCs w:val="24"/>
          <w:color w:val="auto"/>
        </w:rPr>
      </w:pPr>
    </w:p>
    <w:p>
      <w:pPr>
        <w:ind w:right="3360"/>
        <w:spacing w:after="0" w:line="244"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ectPr>
          <w:pgSz w:w="11900" w:h="16897" w:orient="portrait"/>
          <w:cols w:equalWidth="0" w:num="1">
            <w:col w:w="11220"/>
          </w:cols>
          <w:pgMar w:left="240" w:top="834" w:right="439" w:bottom="0" w:gutter="0" w:footer="0" w:header="0"/>
          <w:type w:val="continuous"/>
        </w:sectPr>
      </w:pPr>
    </w:p>
    <w:p>
      <w:pPr>
        <w:spacing w:after="0" w:line="2" w:lineRule="exact"/>
        <w:rPr>
          <w:sz w:val="24"/>
          <w:szCs w:val="24"/>
          <w:color w:val="auto"/>
        </w:rPr>
      </w:pPr>
    </w:p>
    <w:p>
      <w:pPr>
        <w:ind w:left="4900" w:hanging="5304"/>
        <w:spacing w:after="0" w:line="243" w:lineRule="auto"/>
        <w:tabs>
          <w:tab w:leader="none" w:pos="4880" w:val="left"/>
        </w:tabs>
        <w:rPr>
          <w:sz w:val="20"/>
          <w:szCs w:val="20"/>
          <w:color w:val="auto"/>
        </w:rPr>
      </w:pPr>
      <w:r>
        <w:rPr>
          <w:rFonts w:ascii="Courier New" w:cs="Courier New" w:eastAsia="Courier New" w:hAnsi="Courier New"/>
          <w:sz w:val="17"/>
          <w:szCs w:val="17"/>
          <w:color w:val="auto"/>
        </w:rPr>
        <w:t>such filing requirements for the past 90 days.</w:t>
        <w:tab/>
        <w:t>Yes X No ----</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4"/>
          <w:szCs w:val="24"/>
          <w:color w:val="auto"/>
        </w:rPr>
      </w:pPr>
    </w:p>
    <w:p>
      <w:pPr>
        <w:sectPr>
          <w:pgSz w:w="11900" w:h="16897" w:orient="portrait"/>
          <w:cols w:equalWidth="0" w:num="2">
            <w:col w:w="6220" w:space="120"/>
            <w:col w:w="4880"/>
          </w:cols>
          <w:pgMar w:left="240" w:top="834" w:right="439" w:bottom="0" w:gutter="0" w:footer="0" w:header="0"/>
          <w:type w:val="continuous"/>
        </w:sectPr>
      </w:pPr>
    </w:p>
    <w:p>
      <w:pPr>
        <w:ind w:left="3060"/>
        <w:spacing w:after="0"/>
        <w:rPr>
          <w:sz w:val="20"/>
          <w:szCs w:val="20"/>
          <w:color w:val="auto"/>
        </w:rPr>
      </w:pPr>
      <w:r>
        <w:rPr>
          <w:rFonts w:ascii="Courier New" w:cs="Courier New" w:eastAsia="Courier New" w:hAnsi="Courier New"/>
          <w:sz w:val="17"/>
          <w:szCs w:val="17"/>
          <w:color w:val="auto"/>
        </w:rPr>
        <w:t>92,630,278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4"/>
          <w:szCs w:val="24"/>
          <w:color w:val="auto"/>
        </w:rPr>
      </w:pPr>
    </w:p>
    <w:p>
      <w:pPr>
        <w:jc w:val="center"/>
        <w:ind w:right="3760"/>
        <w:spacing w:after="0"/>
        <w:rPr>
          <w:sz w:val="20"/>
          <w:szCs w:val="20"/>
          <w:color w:val="auto"/>
        </w:rPr>
      </w:pPr>
      <w:r>
        <w:rPr>
          <w:rFonts w:ascii="Courier New" w:cs="Courier New" w:eastAsia="Courier New" w:hAnsi="Courier New"/>
          <w:sz w:val="17"/>
          <w:szCs w:val="17"/>
          <w:color w:val="auto"/>
        </w:rPr>
        <w:t>Number of shares of Registrant's common stock outstanding</w:t>
      </w:r>
    </w:p>
    <w:p>
      <w:pPr>
        <w:spacing w:after="0" w:line="4" w:lineRule="exact"/>
        <w:rPr>
          <w:sz w:val="24"/>
          <w:szCs w:val="24"/>
          <w:color w:val="auto"/>
        </w:rPr>
      </w:pPr>
    </w:p>
    <w:p>
      <w:pPr>
        <w:jc w:val="center"/>
        <w:ind w:right="3860"/>
        <w:spacing w:after="0"/>
        <w:rPr>
          <w:sz w:val="20"/>
          <w:szCs w:val="20"/>
          <w:color w:val="auto"/>
        </w:rPr>
      </w:pPr>
      <w:r>
        <w:rPr>
          <w:rFonts w:ascii="Courier New" w:cs="Courier New" w:eastAsia="Courier New" w:hAnsi="Courier New"/>
          <w:sz w:val="17"/>
          <w:szCs w:val="17"/>
          <w:color w:val="auto"/>
        </w:rPr>
        <w:t>as of September 30, 1994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PART I - FINANCIAL INFORMATION</w:t>
      </w:r>
    </w:p>
    <w:p>
      <w:pPr>
        <w:spacing w:after="0" w:line="4"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4"/>
          <w:szCs w:val="24"/>
          <w:color w:val="auto"/>
        </w:rPr>
      </w:pPr>
    </w:p>
    <w:p>
      <w:pPr>
        <w:jc w:val="center"/>
        <w:ind w:left="32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4" w:lineRule="exact"/>
        <w:rPr>
          <w:sz w:val="24"/>
          <w:szCs w:val="24"/>
          <w:color w:val="auto"/>
        </w:rPr>
      </w:pPr>
    </w:p>
    <w:p>
      <w:pPr>
        <w:jc w:val="center"/>
        <w:ind w:left="320"/>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4" w:lineRule="exact"/>
        <w:rPr>
          <w:sz w:val="24"/>
          <w:szCs w:val="24"/>
          <w:color w:val="auto"/>
        </w:rPr>
      </w:pPr>
    </w:p>
    <w:p>
      <w:pPr>
        <w:jc w:val="center"/>
        <w:ind w:left="320"/>
        <w:spacing w:after="0"/>
        <w:rPr>
          <w:sz w:val="20"/>
          <w:szCs w:val="20"/>
          <w:color w:val="auto"/>
        </w:rPr>
      </w:pPr>
      <w:r>
        <w:rPr>
          <w:rFonts w:ascii="Courier New" w:cs="Courier New" w:eastAsia="Courier New" w:hAnsi="Courier New"/>
          <w:sz w:val="17"/>
          <w:szCs w:val="17"/>
          <w:color w:val="auto"/>
        </w:rPr>
        <w:t>(In millions of dollars, except per-share amounts.)</w:t>
      </w:r>
    </w:p>
    <w:p>
      <w:pPr>
        <w:sectPr>
          <w:pgSz w:w="11900" w:h="16897" w:orient="portrait"/>
          <w:cols w:equalWidth="0" w:num="1">
            <w:col w:w="11220"/>
          </w:cols>
          <w:pgMar w:left="240" w:top="834" w:right="4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Three Months Ended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220"/>
        <w:spacing w:after="0"/>
        <w:tabs>
          <w:tab w:leader="none" w:pos="1320" w:val="left"/>
        </w:tabs>
        <w:rPr>
          <w:sz w:val="20"/>
          <w:szCs w:val="20"/>
          <w:color w:val="auto"/>
        </w:rPr>
      </w:pPr>
      <w:r>
        <w:rPr>
          <w:rFonts w:ascii="Courier New" w:cs="Courier New" w:eastAsia="Courier New" w:hAnsi="Courier New"/>
          <w:sz w:val="17"/>
          <w:szCs w:val="17"/>
          <w:color w:val="auto"/>
        </w:rPr>
        <w:t>Sept 30</w:t>
      </w:r>
      <w:r>
        <w:rPr>
          <w:sz w:val="20"/>
          <w:szCs w:val="20"/>
          <w:color w:val="auto"/>
        </w:rPr>
        <w:tab/>
      </w:r>
      <w:r>
        <w:rPr>
          <w:rFonts w:ascii="Courier New" w:cs="Courier New" w:eastAsia="Courier New" w:hAnsi="Courier New"/>
          <w:sz w:val="16"/>
          <w:szCs w:val="16"/>
          <w:color w:val="auto"/>
        </w:rPr>
        <w:t>Sept 30</w:t>
      </w:r>
    </w:p>
    <w:p>
      <w:pPr>
        <w:spacing w:after="0" w:line="4" w:lineRule="exact"/>
        <w:rPr>
          <w:sz w:val="24"/>
          <w:szCs w:val="24"/>
          <w:color w:val="auto"/>
        </w:rPr>
      </w:pPr>
    </w:p>
    <w:p>
      <w:pPr>
        <w:ind w:left="420"/>
        <w:spacing w:after="0"/>
        <w:tabs>
          <w:tab w:leader="none" w:pos="1520" w:val="left"/>
        </w:tabs>
        <w:rPr>
          <w:sz w:val="20"/>
          <w:szCs w:val="20"/>
          <w:color w:val="auto"/>
        </w:rPr>
      </w:pP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1993</w:t>
      </w:r>
    </w:p>
    <w:p>
      <w:pPr>
        <w:spacing w:after="0" w:line="4" w:lineRule="exact"/>
        <w:rPr>
          <w:sz w:val="24"/>
          <w:szCs w:val="24"/>
          <w:color w:val="auto"/>
        </w:rPr>
      </w:pPr>
    </w:p>
    <w:p>
      <w:pPr>
        <w:ind w:left="420"/>
        <w:spacing w:after="0"/>
        <w:tabs>
          <w:tab w:leader="none" w:pos="15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Nine Months Ended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200"/>
        <w:spacing w:after="0"/>
        <w:tabs>
          <w:tab w:leader="none" w:pos="1300" w:val="left"/>
        </w:tabs>
        <w:rPr>
          <w:sz w:val="20"/>
          <w:szCs w:val="20"/>
          <w:color w:val="auto"/>
        </w:rPr>
      </w:pPr>
      <w:r>
        <w:rPr>
          <w:rFonts w:ascii="Courier New" w:cs="Courier New" w:eastAsia="Courier New" w:hAnsi="Courier New"/>
          <w:sz w:val="17"/>
          <w:szCs w:val="17"/>
          <w:color w:val="auto"/>
        </w:rPr>
        <w:t>Sept 30</w:t>
      </w:r>
      <w:r>
        <w:rPr>
          <w:sz w:val="20"/>
          <w:szCs w:val="20"/>
          <w:color w:val="auto"/>
        </w:rPr>
        <w:tab/>
      </w:r>
      <w:r>
        <w:rPr>
          <w:rFonts w:ascii="Courier New" w:cs="Courier New" w:eastAsia="Courier New" w:hAnsi="Courier New"/>
          <w:sz w:val="17"/>
          <w:szCs w:val="17"/>
          <w:color w:val="auto"/>
        </w:rPr>
        <w:t>Sept 30</w:t>
      </w:r>
    </w:p>
    <w:p>
      <w:pPr>
        <w:spacing w:after="0" w:line="4" w:lineRule="exact"/>
        <w:rPr>
          <w:sz w:val="24"/>
          <w:szCs w:val="24"/>
          <w:color w:val="auto"/>
        </w:rPr>
      </w:pPr>
    </w:p>
    <w:p>
      <w:pPr>
        <w:ind w:left="420"/>
        <w:spacing w:after="0"/>
        <w:tabs>
          <w:tab w:leader="none" w:pos="1520" w:val="left"/>
        </w:tabs>
        <w:rPr>
          <w:sz w:val="20"/>
          <w:szCs w:val="20"/>
          <w:color w:val="auto"/>
        </w:rPr>
      </w:pP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1993</w:t>
      </w:r>
    </w:p>
    <w:p>
      <w:pPr>
        <w:spacing w:after="0" w:line="5" w:lineRule="exact"/>
        <w:rPr>
          <w:sz w:val="24"/>
          <w:szCs w:val="24"/>
          <w:color w:val="auto"/>
        </w:rPr>
      </w:pPr>
    </w:p>
    <w:p>
      <w:pPr>
        <w:ind w:left="420"/>
        <w:spacing w:after="0"/>
        <w:tabs>
          <w:tab w:leader="none" w:pos="15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0" w:lineRule="exact"/>
        <w:rPr>
          <w:sz w:val="24"/>
          <w:szCs w:val="24"/>
          <w:color w:val="auto"/>
        </w:rPr>
      </w:pPr>
    </w:p>
    <w:p>
      <w:pPr>
        <w:sectPr>
          <w:pgSz w:w="11900" w:h="16897" w:orient="portrait"/>
          <w:cols w:equalWidth="0" w:num="3">
            <w:col w:w="5400" w:space="720"/>
            <w:col w:w="2260" w:space="600"/>
            <w:col w:w="2240"/>
          </w:cols>
          <w:pgMar w:left="240" w:top="834" w:right="439"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Net revenues...............................................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$ 2,574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$ 2,161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$ 7,533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$ 6,149</w:t>
      </w:r>
    </w:p>
    <w:p>
      <w:pPr>
        <w:spacing w:after="0" w:line="4" w:lineRule="exact"/>
        <w:rPr>
          <w:sz w:val="24"/>
          <w:szCs w:val="24"/>
          <w:color w:val="auto"/>
        </w:rPr>
      </w:pPr>
    </w:p>
    <w:p>
      <w:pPr>
        <w:sectPr>
          <w:pgSz w:w="11900" w:h="16897" w:orient="portrait"/>
          <w:cols w:equalWidth="0" w:num="5">
            <w:col w:w="6020" w:space="320"/>
            <w:col w:w="700" w:space="420"/>
            <w:col w:w="1000" w:space="720"/>
            <w:col w:w="720" w:space="400"/>
            <w:col w:w="920"/>
          </w:cols>
          <w:pgMar w:left="240" w:top="834" w:right="439"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Operating costs and expenses:</w:t>
      </w:r>
    </w:p>
    <w:p>
      <w:pPr>
        <w:sectPr>
          <w:pgSz w:w="11900" w:h="16897" w:orient="portrait"/>
          <w:cols w:equalWidth="0" w:num="1">
            <w:col w:w="11220"/>
          </w:cols>
          <w:pgMar w:left="240" w:top="834" w:right="439" w:bottom="0" w:gutter="0" w:footer="0" w:header="0"/>
          <w:type w:val="continuous"/>
        </w:sectPr>
      </w:pP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Cost of revenues.........................................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1,852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1,552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5,441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4,515</w:t>
      </w:r>
    </w:p>
    <w:p>
      <w:pPr>
        <w:sectPr>
          <w:pgSz w:w="11900" w:h="16897" w:orient="portrait"/>
          <w:cols w:equalWidth="0" w:num="5">
            <w:col w:w="6020" w:space="520"/>
            <w:col w:w="500" w:space="620"/>
            <w:col w:w="1020" w:space="720"/>
            <w:col w:w="500" w:space="620"/>
            <w:col w:w="700"/>
          </w:cols>
          <w:pgMar w:left="240" w:top="834" w:right="4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6340" w:type="dxa"/>
            <w:vAlign w:val="bottom"/>
          </w:tcPr>
          <w:p>
            <w:pPr>
              <w:ind w:left="200"/>
              <w:spacing w:after="0"/>
              <w:rPr>
                <w:sz w:val="20"/>
                <w:szCs w:val="20"/>
                <w:color w:val="auto"/>
              </w:rPr>
            </w:pPr>
            <w:r>
              <w:rPr>
                <w:rFonts w:ascii="Courier New" w:cs="Courier New" w:eastAsia="Courier New" w:hAnsi="Courier New"/>
                <w:sz w:val="17"/>
                <w:szCs w:val="17"/>
                <w:color w:val="auto"/>
              </w:rPr>
              <w:t>General, administrative and marketing....................</w:t>
            </w:r>
          </w:p>
        </w:tc>
        <w:tc>
          <w:tcPr>
            <w:tcW w:w="200" w:type="dxa"/>
            <w:vAlign w:val="bottom"/>
          </w:tcPr>
          <w:p>
            <w:pPr>
              <w:spacing w:after="0"/>
              <w:rPr>
                <w:sz w:val="16"/>
                <w:szCs w:val="16"/>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333</w:t>
            </w:r>
          </w:p>
        </w:tc>
        <w:tc>
          <w:tcPr>
            <w:tcW w:w="300" w:type="dxa"/>
            <w:vAlign w:val="bottom"/>
          </w:tcPr>
          <w:p>
            <w:pPr>
              <w:spacing w:after="0"/>
              <w:rPr>
                <w:sz w:val="16"/>
                <w:szCs w:val="16"/>
                <w:color w:val="auto"/>
              </w:rPr>
            </w:pP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316</w:t>
            </w:r>
          </w:p>
        </w:tc>
        <w:tc>
          <w:tcPr>
            <w:tcW w:w="680" w:type="dxa"/>
            <w:vAlign w:val="bottom"/>
          </w:tcPr>
          <w:p>
            <w:pPr>
              <w:spacing w:after="0"/>
              <w:rPr>
                <w:sz w:val="16"/>
                <w:szCs w:val="16"/>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4"/>
              </w:rPr>
              <w:t>1,029</w:t>
            </w:r>
          </w:p>
        </w:tc>
        <w:tc>
          <w:tcPr>
            <w:tcW w:w="300" w:type="dxa"/>
            <w:vAlign w:val="bottom"/>
          </w:tcPr>
          <w:p>
            <w:pPr>
              <w:spacing w:after="0"/>
              <w:rPr>
                <w:sz w:val="16"/>
                <w:szCs w:val="16"/>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906</w:t>
            </w:r>
          </w:p>
        </w:tc>
      </w:tr>
      <w:tr>
        <w:trPr>
          <w:trHeight w:val="196"/>
        </w:trPr>
        <w:tc>
          <w:tcPr>
            <w:tcW w:w="6340" w:type="dxa"/>
            <w:vAlign w:val="bottom"/>
          </w:tcPr>
          <w:p>
            <w:pPr>
              <w:ind w:left="200"/>
              <w:spacing w:after="0"/>
              <w:rPr>
                <w:sz w:val="20"/>
                <w:szCs w:val="20"/>
                <w:color w:val="auto"/>
              </w:rPr>
            </w:pPr>
            <w:r>
              <w:rPr>
                <w:rFonts w:ascii="Courier New" w:cs="Courier New" w:eastAsia="Courier New" w:hAnsi="Courier New"/>
                <w:sz w:val="17"/>
                <w:szCs w:val="17"/>
                <w:color w:val="auto"/>
              </w:rPr>
              <w:t>Employees' retirement and profit sharing plans...........</w:t>
            </w:r>
          </w:p>
        </w:tc>
        <w:tc>
          <w:tcPr>
            <w:tcW w:w="20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98</w:t>
            </w:r>
          </w:p>
        </w:tc>
        <w:tc>
          <w:tcPr>
            <w:tcW w:w="300" w:type="dxa"/>
            <w:vAlign w:val="bottom"/>
          </w:tcPr>
          <w:p>
            <w:pPr>
              <w:spacing w:after="0"/>
              <w:rPr>
                <w:sz w:val="17"/>
                <w:szCs w:val="17"/>
                <w:color w:val="auto"/>
              </w:rPr>
            </w:pP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75</w:t>
            </w:r>
          </w:p>
        </w:tc>
        <w:tc>
          <w:tcPr>
            <w:tcW w:w="68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271</w:t>
            </w:r>
          </w:p>
        </w:tc>
        <w:tc>
          <w:tcPr>
            <w:tcW w:w="300" w:type="dxa"/>
            <w:vAlign w:val="bottom"/>
          </w:tcPr>
          <w:p>
            <w:pPr>
              <w:spacing w:after="0"/>
              <w:rPr>
                <w:sz w:val="17"/>
                <w:szCs w:val="17"/>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198</w:t>
            </w:r>
          </w:p>
        </w:tc>
      </w:tr>
      <w:tr>
        <w:trPr>
          <w:trHeight w:val="196"/>
        </w:trPr>
        <w:tc>
          <w:tcPr>
            <w:tcW w:w="6340" w:type="dxa"/>
            <w:vAlign w:val="bottom"/>
          </w:tcPr>
          <w:p>
            <w:pPr>
              <w:spacing w:after="0"/>
              <w:rPr>
                <w:sz w:val="17"/>
                <w:szCs w:val="17"/>
                <w:color w:val="auto"/>
              </w:rPr>
            </w:pPr>
          </w:p>
        </w:tc>
        <w:tc>
          <w:tcPr>
            <w:tcW w:w="96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w w:val="95"/>
              </w:rPr>
              <w:t>-------</w:t>
            </w:r>
          </w:p>
        </w:tc>
        <w:tc>
          <w:tcPr>
            <w:tcW w:w="142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Total..................................................</w:t>
            </w:r>
          </w:p>
        </w:tc>
        <w:tc>
          <w:tcPr>
            <w:tcW w:w="20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4"/>
              </w:rPr>
              <w:t>2,283</w:t>
            </w:r>
          </w:p>
        </w:tc>
        <w:tc>
          <w:tcPr>
            <w:tcW w:w="300" w:type="dxa"/>
            <w:vAlign w:val="bottom"/>
          </w:tcPr>
          <w:p>
            <w:pPr>
              <w:spacing w:after="0"/>
              <w:rPr>
                <w:sz w:val="17"/>
                <w:szCs w:val="17"/>
                <w:color w:val="auto"/>
              </w:rPr>
            </w:pP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1,943</w:t>
            </w:r>
          </w:p>
        </w:tc>
        <w:tc>
          <w:tcPr>
            <w:tcW w:w="68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4"/>
              </w:rPr>
              <w:t>6,741</w:t>
            </w:r>
          </w:p>
        </w:tc>
        <w:tc>
          <w:tcPr>
            <w:tcW w:w="300" w:type="dxa"/>
            <w:vAlign w:val="bottom"/>
          </w:tcPr>
          <w:p>
            <w:pPr>
              <w:spacing w:after="0"/>
              <w:rPr>
                <w:sz w:val="17"/>
                <w:szCs w:val="17"/>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5,619</w:t>
            </w:r>
          </w:p>
        </w:tc>
      </w:tr>
      <w:tr>
        <w:trPr>
          <w:trHeight w:val="196"/>
        </w:trPr>
        <w:tc>
          <w:tcPr>
            <w:tcW w:w="6340" w:type="dxa"/>
            <w:vAlign w:val="bottom"/>
          </w:tcPr>
          <w:p>
            <w:pPr>
              <w:spacing w:after="0"/>
              <w:rPr>
                <w:sz w:val="17"/>
                <w:szCs w:val="17"/>
                <w:color w:val="auto"/>
              </w:rPr>
            </w:pPr>
          </w:p>
        </w:tc>
        <w:tc>
          <w:tcPr>
            <w:tcW w:w="96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w w:val="95"/>
              </w:rPr>
              <w:t>-------</w:t>
            </w:r>
          </w:p>
        </w:tc>
        <w:tc>
          <w:tcPr>
            <w:tcW w:w="142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Profit from operations.....................................</w:t>
            </w:r>
          </w:p>
        </w:tc>
        <w:tc>
          <w:tcPr>
            <w:tcW w:w="20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291</w:t>
            </w:r>
          </w:p>
        </w:tc>
        <w:tc>
          <w:tcPr>
            <w:tcW w:w="300" w:type="dxa"/>
            <w:vAlign w:val="bottom"/>
          </w:tcPr>
          <w:p>
            <w:pPr>
              <w:spacing w:after="0"/>
              <w:rPr>
                <w:sz w:val="17"/>
                <w:szCs w:val="17"/>
                <w:color w:val="auto"/>
              </w:rPr>
            </w:pP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218</w:t>
            </w:r>
          </w:p>
        </w:tc>
        <w:tc>
          <w:tcPr>
            <w:tcW w:w="68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792</w:t>
            </w:r>
          </w:p>
        </w:tc>
        <w:tc>
          <w:tcPr>
            <w:tcW w:w="300" w:type="dxa"/>
            <w:vAlign w:val="bottom"/>
          </w:tcPr>
          <w:p>
            <w:pPr>
              <w:spacing w:after="0"/>
              <w:rPr>
                <w:sz w:val="17"/>
                <w:szCs w:val="17"/>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530</w:t>
            </w: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20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w:t>
            </w:r>
          </w:p>
        </w:tc>
        <w:tc>
          <w:tcPr>
            <w:tcW w:w="300" w:type="dxa"/>
            <w:vAlign w:val="bottom"/>
          </w:tcPr>
          <w:p>
            <w:pPr>
              <w:spacing w:after="0"/>
              <w:rPr>
                <w:sz w:val="17"/>
                <w:szCs w:val="17"/>
                <w:color w:val="auto"/>
              </w:rPr>
            </w:pP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8</w:t>
            </w:r>
          </w:p>
        </w:tc>
        <w:tc>
          <w:tcPr>
            <w:tcW w:w="68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35</w:t>
            </w:r>
          </w:p>
        </w:tc>
        <w:tc>
          <w:tcPr>
            <w:tcW w:w="300" w:type="dxa"/>
            <w:vAlign w:val="bottom"/>
          </w:tcPr>
          <w:p>
            <w:pPr>
              <w:spacing w:after="0"/>
              <w:rPr>
                <w:sz w:val="17"/>
                <w:szCs w:val="17"/>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w:t>
            </w: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Other income (expense) net.................................</w:t>
            </w:r>
          </w:p>
        </w:tc>
        <w:tc>
          <w:tcPr>
            <w:tcW w:w="20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w:t>
            </w:r>
          </w:p>
        </w:tc>
        <w:tc>
          <w:tcPr>
            <w:tcW w:w="300" w:type="dxa"/>
            <w:vAlign w:val="bottom"/>
          </w:tcPr>
          <w:p>
            <w:pPr>
              <w:spacing w:after="0"/>
              <w:rPr>
                <w:sz w:val="17"/>
                <w:szCs w:val="17"/>
                <w:color w:val="auto"/>
              </w:rPr>
            </w:pPr>
          </w:p>
        </w:tc>
        <w:tc>
          <w:tcPr>
            <w:tcW w:w="11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(18)</w:t>
            </w:r>
          </w:p>
        </w:tc>
        <w:tc>
          <w:tcPr>
            <w:tcW w:w="68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(31)</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Interest on loans..........................................</w:t>
            </w:r>
          </w:p>
        </w:tc>
        <w:tc>
          <w:tcPr>
            <w:tcW w:w="20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w:t>
            </w:r>
          </w:p>
        </w:tc>
        <w:tc>
          <w:tcPr>
            <w:tcW w:w="300" w:type="dxa"/>
            <w:vAlign w:val="bottom"/>
          </w:tcPr>
          <w:p>
            <w:pPr>
              <w:spacing w:after="0"/>
              <w:rPr>
                <w:sz w:val="17"/>
                <w:szCs w:val="17"/>
                <w:color w:val="auto"/>
              </w:rPr>
            </w:pP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12</w:t>
            </w:r>
          </w:p>
        </w:tc>
        <w:tc>
          <w:tcPr>
            <w:tcW w:w="68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33</w:t>
            </w:r>
          </w:p>
        </w:tc>
        <w:tc>
          <w:tcPr>
            <w:tcW w:w="300" w:type="dxa"/>
            <w:vAlign w:val="bottom"/>
          </w:tcPr>
          <w:p>
            <w:pPr>
              <w:spacing w:after="0"/>
              <w:rPr>
                <w:sz w:val="17"/>
                <w:szCs w:val="17"/>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w:t>
            </w:r>
          </w:p>
        </w:tc>
      </w:tr>
      <w:tr>
        <w:trPr>
          <w:trHeight w:val="196"/>
        </w:trPr>
        <w:tc>
          <w:tcPr>
            <w:tcW w:w="6340" w:type="dxa"/>
            <w:vAlign w:val="bottom"/>
          </w:tcPr>
          <w:p>
            <w:pPr>
              <w:spacing w:after="0"/>
              <w:rPr>
                <w:sz w:val="17"/>
                <w:szCs w:val="17"/>
                <w:color w:val="auto"/>
              </w:rPr>
            </w:pPr>
          </w:p>
        </w:tc>
        <w:tc>
          <w:tcPr>
            <w:tcW w:w="96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w w:val="95"/>
              </w:rPr>
              <w:t>-------</w:t>
            </w:r>
          </w:p>
        </w:tc>
        <w:tc>
          <w:tcPr>
            <w:tcW w:w="142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 and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34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 accounting changes..................</w:t>
            </w:r>
          </w:p>
        </w:tc>
        <w:tc>
          <w:tcPr>
            <w:tcW w:w="20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281</w:t>
            </w:r>
          </w:p>
        </w:tc>
        <w:tc>
          <w:tcPr>
            <w:tcW w:w="300" w:type="dxa"/>
            <w:vAlign w:val="bottom"/>
          </w:tcPr>
          <w:p>
            <w:pPr>
              <w:spacing w:after="0"/>
              <w:rPr>
                <w:sz w:val="17"/>
                <w:szCs w:val="17"/>
                <w:color w:val="auto"/>
              </w:rPr>
            </w:pP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196</w:t>
            </w:r>
          </w:p>
        </w:tc>
        <w:tc>
          <w:tcPr>
            <w:tcW w:w="68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763</w:t>
            </w:r>
          </w:p>
        </w:tc>
        <w:tc>
          <w:tcPr>
            <w:tcW w:w="300" w:type="dxa"/>
            <w:vAlign w:val="bottom"/>
          </w:tcPr>
          <w:p>
            <w:pPr>
              <w:spacing w:after="0"/>
              <w:rPr>
                <w:sz w:val="17"/>
                <w:szCs w:val="17"/>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494</w:t>
            </w: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20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95</w:t>
            </w:r>
          </w:p>
        </w:tc>
        <w:tc>
          <w:tcPr>
            <w:tcW w:w="300" w:type="dxa"/>
            <w:vAlign w:val="bottom"/>
          </w:tcPr>
          <w:p>
            <w:pPr>
              <w:spacing w:after="0"/>
              <w:rPr>
                <w:sz w:val="17"/>
                <w:szCs w:val="17"/>
                <w:color w:val="auto"/>
              </w:rPr>
            </w:pP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50</w:t>
            </w:r>
          </w:p>
        </w:tc>
        <w:tc>
          <w:tcPr>
            <w:tcW w:w="68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260</w:t>
            </w:r>
          </w:p>
        </w:tc>
        <w:tc>
          <w:tcPr>
            <w:tcW w:w="300" w:type="dxa"/>
            <w:vAlign w:val="bottom"/>
          </w:tcPr>
          <w:p>
            <w:pPr>
              <w:spacing w:after="0"/>
              <w:rPr>
                <w:sz w:val="17"/>
                <w:szCs w:val="17"/>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151</w:t>
            </w:r>
          </w:p>
        </w:tc>
      </w:tr>
      <w:tr>
        <w:trPr>
          <w:trHeight w:val="196"/>
        </w:trPr>
        <w:tc>
          <w:tcPr>
            <w:tcW w:w="6340" w:type="dxa"/>
            <w:vAlign w:val="bottom"/>
          </w:tcPr>
          <w:p>
            <w:pPr>
              <w:spacing w:after="0"/>
              <w:rPr>
                <w:sz w:val="17"/>
                <w:szCs w:val="17"/>
                <w:color w:val="auto"/>
              </w:rPr>
            </w:pPr>
          </w:p>
        </w:tc>
        <w:tc>
          <w:tcPr>
            <w:tcW w:w="96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w w:val="95"/>
              </w:rPr>
              <w:t>-------</w:t>
            </w:r>
          </w:p>
        </w:tc>
        <w:tc>
          <w:tcPr>
            <w:tcW w:w="142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20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186</w:t>
            </w:r>
          </w:p>
        </w:tc>
        <w:tc>
          <w:tcPr>
            <w:tcW w:w="300" w:type="dxa"/>
            <w:vAlign w:val="bottom"/>
          </w:tcPr>
          <w:p>
            <w:pPr>
              <w:spacing w:after="0"/>
              <w:rPr>
                <w:sz w:val="17"/>
                <w:szCs w:val="17"/>
                <w:color w:val="auto"/>
              </w:rPr>
            </w:pP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146</w:t>
            </w:r>
          </w:p>
        </w:tc>
        <w:tc>
          <w:tcPr>
            <w:tcW w:w="68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503</w:t>
            </w:r>
          </w:p>
        </w:tc>
        <w:tc>
          <w:tcPr>
            <w:tcW w:w="300" w:type="dxa"/>
            <w:vAlign w:val="bottom"/>
          </w:tcPr>
          <w:p>
            <w:pPr>
              <w:spacing w:after="0"/>
              <w:rPr>
                <w:sz w:val="17"/>
                <w:szCs w:val="17"/>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343</w:t>
            </w: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Cumulative effect of accounting changes....................</w:t>
            </w:r>
          </w:p>
        </w:tc>
        <w:tc>
          <w:tcPr>
            <w:tcW w:w="20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6"/>
        </w:trPr>
        <w:tc>
          <w:tcPr>
            <w:tcW w:w="6340" w:type="dxa"/>
            <w:vAlign w:val="bottom"/>
          </w:tcPr>
          <w:p>
            <w:pPr>
              <w:spacing w:after="0"/>
              <w:rPr>
                <w:sz w:val="17"/>
                <w:szCs w:val="17"/>
                <w:color w:val="auto"/>
              </w:rPr>
            </w:pPr>
          </w:p>
        </w:tc>
        <w:tc>
          <w:tcPr>
            <w:tcW w:w="96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w w:val="95"/>
              </w:rPr>
              <w:t>-------</w:t>
            </w:r>
          </w:p>
        </w:tc>
        <w:tc>
          <w:tcPr>
            <w:tcW w:w="142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77"/>
              </w:rPr>
              <w:t>$</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186</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146</w:t>
            </w:r>
          </w:p>
        </w:tc>
        <w:tc>
          <w:tcPr>
            <w:tcW w:w="6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503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339</w:t>
            </w:r>
          </w:p>
        </w:tc>
      </w:tr>
      <w:tr>
        <w:trPr>
          <w:trHeight w:val="196"/>
        </w:trPr>
        <w:tc>
          <w:tcPr>
            <w:tcW w:w="6340" w:type="dxa"/>
            <w:vAlign w:val="bottom"/>
          </w:tcPr>
          <w:p>
            <w:pPr>
              <w:spacing w:after="0"/>
              <w:rPr>
                <w:sz w:val="17"/>
                <w:szCs w:val="17"/>
                <w:color w:val="auto"/>
              </w:rPr>
            </w:pPr>
          </w:p>
        </w:tc>
        <w:tc>
          <w:tcPr>
            <w:tcW w:w="96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w w:val="95"/>
              </w:rPr>
              <w:t>=======</w:t>
            </w:r>
          </w:p>
        </w:tc>
        <w:tc>
          <w:tcPr>
            <w:tcW w:w="142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340" w:type="dxa"/>
            <w:vAlign w:val="bottom"/>
          </w:tcPr>
          <w:p>
            <w:pPr>
              <w:ind w:left="200"/>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2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77"/>
              </w:rPr>
              <w:t>$</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1.94</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1.54</w:t>
            </w:r>
          </w:p>
        </w:tc>
        <w:tc>
          <w:tcPr>
            <w:tcW w:w="6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5.29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3.65</w:t>
            </w:r>
          </w:p>
        </w:tc>
      </w:tr>
      <w:tr>
        <w:trPr>
          <w:trHeight w:val="196"/>
        </w:trPr>
        <w:tc>
          <w:tcPr>
            <w:tcW w:w="634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 accounting changes..................</w:t>
            </w:r>
          </w:p>
        </w:tc>
        <w:tc>
          <w:tcPr>
            <w:tcW w:w="20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(0.05)</w:t>
            </w:r>
          </w:p>
        </w:tc>
      </w:tr>
      <w:tr>
        <w:trPr>
          <w:trHeight w:val="196"/>
        </w:trPr>
        <w:tc>
          <w:tcPr>
            <w:tcW w:w="6340" w:type="dxa"/>
            <w:vAlign w:val="bottom"/>
          </w:tcPr>
          <w:p>
            <w:pPr>
              <w:spacing w:after="0"/>
              <w:rPr>
                <w:sz w:val="17"/>
                <w:szCs w:val="17"/>
                <w:color w:val="auto"/>
              </w:rPr>
            </w:pPr>
          </w:p>
        </w:tc>
        <w:tc>
          <w:tcPr>
            <w:tcW w:w="96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w w:val="95"/>
              </w:rPr>
              <w:t>-------</w:t>
            </w:r>
          </w:p>
        </w:tc>
        <w:tc>
          <w:tcPr>
            <w:tcW w:w="142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Net income.............................................</w:t>
            </w:r>
          </w:p>
        </w:tc>
        <w:tc>
          <w:tcPr>
            <w:tcW w:w="2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77"/>
              </w:rPr>
              <w:t>$</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1.94</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1.54</w:t>
            </w:r>
          </w:p>
        </w:tc>
        <w:tc>
          <w:tcPr>
            <w:tcW w:w="6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5.29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3.60</w:t>
            </w:r>
          </w:p>
        </w:tc>
      </w:tr>
      <w:tr>
        <w:trPr>
          <w:trHeight w:val="196"/>
        </w:trPr>
        <w:tc>
          <w:tcPr>
            <w:tcW w:w="6340" w:type="dxa"/>
            <w:vAlign w:val="bottom"/>
          </w:tcPr>
          <w:p>
            <w:pPr>
              <w:spacing w:after="0"/>
              <w:rPr>
                <w:sz w:val="17"/>
                <w:szCs w:val="17"/>
                <w:color w:val="auto"/>
              </w:rPr>
            </w:pPr>
          </w:p>
        </w:tc>
        <w:tc>
          <w:tcPr>
            <w:tcW w:w="96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w w:val="95"/>
              </w:rPr>
              <w:t>=======</w:t>
            </w:r>
          </w:p>
        </w:tc>
        <w:tc>
          <w:tcPr>
            <w:tcW w:w="142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Cash dividends declared per share of common stock..........</w:t>
            </w:r>
          </w:p>
        </w:tc>
        <w:tc>
          <w:tcPr>
            <w:tcW w:w="2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77"/>
              </w:rPr>
              <w:t>$</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0.25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0.18</w:t>
            </w:r>
          </w:p>
        </w:tc>
        <w:tc>
          <w:tcPr>
            <w:tcW w:w="6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0.68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0.54</w:t>
            </w:r>
          </w:p>
        </w:tc>
      </w:tr>
      <w:tr>
        <w:trPr>
          <w:trHeight w:val="785"/>
        </w:trPr>
        <w:tc>
          <w:tcPr>
            <w:tcW w:w="6340" w:type="dxa"/>
            <w:vAlign w:val="bottom"/>
          </w:tcPr>
          <w:p>
            <w:pPr>
              <w:spacing w:after="0"/>
              <w:rPr>
                <w:sz w:val="20"/>
                <w:szCs w:val="20"/>
                <w:color w:val="auto"/>
              </w:rPr>
            </w:pPr>
            <w:r>
              <w:rPr>
                <w:rFonts w:ascii="Courier New" w:cs="Courier New" w:eastAsia="Courier New" w:hAnsi="Courier New"/>
                <w:sz w:val="17"/>
                <w:szCs w:val="17"/>
                <w:color w:val="auto"/>
              </w:rPr>
              <w:t>Cash Flows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92"/>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w w:val="73"/>
              </w:rPr>
              <w:t>Net cash provided by operating activities..............................................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$ 1,101</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588</w:t>
            </w: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65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2"/>
              </w:rPr>
              <w:t>Additions to property, plant and equipment...........................................</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(756)</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(512)</w:t>
            </w:r>
          </w:p>
        </w:tc>
      </w:tr>
      <w:tr>
        <w:trPr>
          <w:trHeight w:val="196"/>
        </w:trPr>
        <w:tc>
          <w:tcPr>
            <w:tcW w:w="65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2"/>
              </w:rPr>
              <w:t>Purchases of short-term investments..................................................</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(602)</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(565)</w:t>
            </w:r>
          </w:p>
        </w:tc>
      </w:tr>
      <w:tr>
        <w:trPr>
          <w:trHeight w:val="196"/>
        </w:trPr>
        <w:tc>
          <w:tcPr>
            <w:tcW w:w="65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2"/>
              </w:rPr>
              <w:t>Sales and maturities of short-term investments.......................................</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562</w:t>
            </w:r>
          </w:p>
        </w:tc>
        <w:tc>
          <w:tcPr>
            <w:tcW w:w="300" w:type="dxa"/>
            <w:vAlign w:val="bottom"/>
          </w:tcPr>
          <w:p>
            <w:pPr>
              <w:spacing w:after="0"/>
              <w:rPr>
                <w:sz w:val="17"/>
                <w:szCs w:val="17"/>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583</w:t>
            </w:r>
          </w:p>
        </w:tc>
      </w:tr>
      <w:tr>
        <w:trPr>
          <w:trHeight w:val="196"/>
        </w:trPr>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w w:val="73"/>
              </w:rPr>
              <w:t>Net cash used in investing activities..................................................</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(796)</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(494)</w:t>
            </w: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65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2"/>
              </w:rPr>
              <w:t>Payments on long-term debt...........................................................</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(82)</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6"/>
        </w:trPr>
        <w:tc>
          <w:tcPr>
            <w:tcW w:w="65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2"/>
              </w:rPr>
              <w:t>Dividends paid on common and preferred stock.........................................</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(56)</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(69)</w:t>
            </w:r>
          </w:p>
        </w:tc>
      </w:tr>
      <w:tr>
        <w:trPr>
          <w:trHeight w:val="196"/>
        </w:trPr>
        <w:tc>
          <w:tcPr>
            <w:tcW w:w="65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2"/>
              </w:rPr>
              <w:t>Sales and other common stock transactions............................................</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109</w:t>
            </w:r>
          </w:p>
        </w:tc>
        <w:tc>
          <w:tcPr>
            <w:tcW w:w="300" w:type="dxa"/>
            <w:vAlign w:val="bottom"/>
          </w:tcPr>
          <w:p>
            <w:pPr>
              <w:spacing w:after="0"/>
              <w:rPr>
                <w:sz w:val="17"/>
                <w:szCs w:val="17"/>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79</w:t>
            </w:r>
          </w:p>
        </w:tc>
      </w:tr>
      <w:tr>
        <w:trPr>
          <w:trHeight w:val="196"/>
        </w:trPr>
        <w:tc>
          <w:tcPr>
            <w:tcW w:w="65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2"/>
              </w:rPr>
              <w:t>Other................................................................................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22</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r>
        <w:trPr>
          <w:trHeight w:val="196"/>
        </w:trPr>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w w:val="73"/>
              </w:rPr>
              <w:t>Net cash used in financing activities..................................................</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392"/>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w w:val="73"/>
              </w:rPr>
              <w:t>Effect of exchange rate changes on cash................................................</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w:t>
            </w: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6"/>
        </w:trPr>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w w:val="73"/>
              </w:rPr>
              <w:t>Net increase in cash and cash equivalents..............................................</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309</w:t>
            </w:r>
          </w:p>
        </w:tc>
        <w:tc>
          <w:tcPr>
            <w:tcW w:w="300" w:type="dxa"/>
            <w:vAlign w:val="bottom"/>
          </w:tcPr>
          <w:p>
            <w:pPr>
              <w:spacing w:after="0"/>
              <w:rPr>
                <w:sz w:val="17"/>
                <w:szCs w:val="17"/>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81</w:t>
            </w:r>
          </w:p>
        </w:tc>
      </w:tr>
      <w:tr>
        <w:trPr>
          <w:trHeight w:val="196"/>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w w:val="73"/>
              </w:rPr>
              <w:t>Cash and cash equivalents, January 1...................................................</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404</w:t>
            </w:r>
          </w:p>
        </w:tc>
        <w:tc>
          <w:tcPr>
            <w:tcW w:w="300" w:type="dxa"/>
            <w:vAlign w:val="bottom"/>
          </w:tcPr>
          <w:p>
            <w:pPr>
              <w:spacing w:after="0"/>
              <w:rPr>
                <w:sz w:val="17"/>
                <w:szCs w:val="17"/>
                <w:color w:val="auto"/>
              </w:rPr>
            </w:pP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356</w:t>
            </w:r>
          </w:p>
        </w:tc>
      </w:tr>
      <w:tr>
        <w:trPr>
          <w:trHeight w:val="196"/>
        </w:trPr>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w w:val="73"/>
              </w:rPr>
              <w:t>Cash and cash equivalents, September 30................................................</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713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437</w:t>
            </w:r>
          </w:p>
        </w:tc>
      </w:tr>
      <w:tr>
        <w:trPr>
          <w:trHeight w:val="196"/>
        </w:trPr>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340" w:type="dxa"/>
            <w:vAlign w:val="bottom"/>
          </w:tcPr>
          <w:p>
            <w:pPr>
              <w:ind w:left="3980"/>
              <w:spacing w:after="0"/>
              <w:rPr>
                <w:sz w:val="20"/>
                <w:szCs w:val="20"/>
                <w:color w:val="auto"/>
              </w:rPr>
            </w:pPr>
            <w:r>
              <w:rPr>
                <w:rFonts w:ascii="Courier New" w:cs="Courier New" w:eastAsia="Courier New" w:hAnsi="Courier New"/>
                <w:sz w:val="17"/>
                <w:szCs w:val="17"/>
                <w:color w:val="auto"/>
              </w:rPr>
              <w:t>2</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120"/>
          </w:cols>
          <w:pgMar w:left="240" w:top="141" w:right="539" w:bottom="1440" w:gutter="0" w:footer="0" w:header="0"/>
        </w:sectPr>
      </w:pPr>
    </w:p>
    <w:bookmarkStart w:id="2" w:name="page3"/>
    <w:bookmarkEnd w:id="2"/>
    <w:p>
      <w:pPr>
        <w:jc w:val="center"/>
        <w:ind w:right="919"/>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4"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7"/>
          <w:szCs w:val="17"/>
          <w:color w:val="auto"/>
        </w:rPr>
        <w:t>(In millions of dollars, except per-share amounts.)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40" w:type="dxa"/>
            <w:vAlign w:val="bottom"/>
          </w:tcPr>
          <w:p>
            <w:pPr>
              <w:spacing w:after="0"/>
              <w:rPr>
                <w:sz w:val="16"/>
                <w:szCs w:val="16"/>
                <w:color w:val="auto"/>
              </w:rPr>
            </w:pPr>
          </w:p>
        </w:tc>
        <w:tc>
          <w:tcPr>
            <w:tcW w:w="13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Sept. 30</w:t>
            </w:r>
          </w:p>
        </w:tc>
        <w:tc>
          <w:tcPr>
            <w:tcW w:w="11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Dec. 31</w:t>
            </w:r>
          </w:p>
        </w:tc>
      </w:tr>
      <w:tr>
        <w:trPr>
          <w:trHeight w:val="196"/>
        </w:trPr>
        <w:tc>
          <w:tcPr>
            <w:tcW w:w="7140" w:type="dxa"/>
            <w:vAlign w:val="bottom"/>
          </w:tcPr>
          <w:p>
            <w:pPr>
              <w:spacing w:after="0"/>
              <w:rPr>
                <w:sz w:val="20"/>
                <w:szCs w:val="20"/>
                <w:color w:val="auto"/>
              </w:rPr>
            </w:pPr>
            <w:r>
              <w:rPr>
                <w:rFonts w:ascii="Courier New" w:cs="Courier New" w:eastAsia="Courier New" w:hAnsi="Courier New"/>
                <w:sz w:val="17"/>
                <w:szCs w:val="17"/>
                <w:color w:val="auto"/>
              </w:rPr>
              <w:t>Balance Sheet</w:t>
            </w:r>
          </w:p>
        </w:tc>
        <w:tc>
          <w:tcPr>
            <w:tcW w:w="320" w:type="dxa"/>
            <w:vAlign w:val="bottom"/>
          </w:tcPr>
          <w:p>
            <w:pPr>
              <w:spacing w:after="0"/>
              <w:rPr>
                <w:sz w:val="17"/>
                <w:szCs w:val="17"/>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7"/>
                <w:szCs w:val="17"/>
                <w:color w:val="auto"/>
              </w:rPr>
              <w:t>1994</w:t>
            </w:r>
          </w:p>
        </w:tc>
        <w:tc>
          <w:tcPr>
            <w:tcW w:w="30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7"/>
                <w:szCs w:val="17"/>
                <w:color w:val="auto"/>
              </w:rPr>
              <w:t>1993</w:t>
            </w:r>
          </w:p>
        </w:tc>
      </w:tr>
      <w:tr>
        <w:trPr>
          <w:trHeight w:val="196"/>
        </w:trPr>
        <w:tc>
          <w:tcPr>
            <w:tcW w:w="71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0" w:type="dxa"/>
            <w:vAlign w:val="bottom"/>
          </w:tcPr>
          <w:p>
            <w:pPr>
              <w:spacing w:after="0"/>
              <w:rPr>
                <w:sz w:val="17"/>
                <w:szCs w:val="17"/>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7"/>
                <w:szCs w:val="17"/>
                <w:color w:val="auto"/>
                <w:w w:val="97"/>
              </w:rPr>
              <w:t>-------</w:t>
            </w:r>
          </w:p>
        </w:tc>
      </w:tr>
      <w:tr>
        <w:trPr>
          <w:trHeight w:val="392"/>
        </w:trPr>
        <w:tc>
          <w:tcPr>
            <w:tcW w:w="71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71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Cash and cash equivalents..........................................</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713</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404</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Short-term investments.............................................</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528</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484</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 less allowance for losses of</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$50 million in 1994 and $42 million in 1993......................</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1,458</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1,218</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Inventories: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Raw materials....................................................</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237</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244</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Work in process..................................................</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597</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557</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Finished goods...................................................</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274</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250</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Less progress billings...........................................</w:t>
            </w:r>
          </w:p>
        </w:tc>
        <w:tc>
          <w:tcPr>
            <w:tcW w:w="32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(238)</w:t>
            </w:r>
          </w:p>
        </w:tc>
        <w:tc>
          <w:tcPr>
            <w:tcW w:w="3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(229)</w:t>
            </w:r>
          </w:p>
        </w:tc>
      </w:tr>
      <w:tr>
        <w:trPr>
          <w:trHeight w:val="196"/>
        </w:trPr>
        <w:tc>
          <w:tcPr>
            <w:tcW w:w="7140" w:type="dxa"/>
            <w:vAlign w:val="bottom"/>
          </w:tcPr>
          <w:p>
            <w:pPr>
              <w:spacing w:after="0"/>
              <w:rPr>
                <w:sz w:val="17"/>
                <w:szCs w:val="17"/>
                <w:color w:val="auto"/>
              </w:rPr>
            </w:pPr>
          </w:p>
        </w:tc>
        <w:tc>
          <w:tcPr>
            <w:tcW w:w="13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Inventories (net of progress billings).........................</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870</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822</w:t>
            </w:r>
          </w:p>
        </w:tc>
      </w:tr>
      <w:tr>
        <w:trPr>
          <w:trHeight w:val="196"/>
        </w:trPr>
        <w:tc>
          <w:tcPr>
            <w:tcW w:w="7140" w:type="dxa"/>
            <w:vAlign w:val="bottom"/>
          </w:tcPr>
          <w:p>
            <w:pPr>
              <w:spacing w:after="0"/>
              <w:rPr>
                <w:sz w:val="17"/>
                <w:szCs w:val="17"/>
                <w:color w:val="auto"/>
              </w:rPr>
            </w:pPr>
          </w:p>
        </w:tc>
        <w:tc>
          <w:tcPr>
            <w:tcW w:w="13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Prepaid expenses...................................................</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66</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55</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Deferred income taxes..............................................</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334</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331</w:t>
            </w:r>
          </w:p>
        </w:tc>
      </w:tr>
      <w:tr>
        <w:trPr>
          <w:trHeight w:val="196"/>
        </w:trPr>
        <w:tc>
          <w:tcPr>
            <w:tcW w:w="7140" w:type="dxa"/>
            <w:vAlign w:val="bottom"/>
          </w:tcPr>
          <w:p>
            <w:pPr>
              <w:spacing w:after="0"/>
              <w:rPr>
                <w:sz w:val="17"/>
                <w:szCs w:val="17"/>
                <w:color w:val="auto"/>
              </w:rPr>
            </w:pPr>
          </w:p>
        </w:tc>
        <w:tc>
          <w:tcPr>
            <w:tcW w:w="13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current assets.............................................</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3,969</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3,314</w:t>
            </w:r>
          </w:p>
        </w:tc>
      </w:tr>
      <w:tr>
        <w:trPr>
          <w:trHeight w:val="196"/>
        </w:trPr>
        <w:tc>
          <w:tcPr>
            <w:tcW w:w="7140" w:type="dxa"/>
            <w:vAlign w:val="bottom"/>
          </w:tcPr>
          <w:p>
            <w:pPr>
              <w:spacing w:after="0"/>
              <w:rPr>
                <w:sz w:val="17"/>
                <w:szCs w:val="17"/>
                <w:color w:val="auto"/>
              </w:rPr>
            </w:pPr>
          </w:p>
        </w:tc>
        <w:tc>
          <w:tcPr>
            <w:tcW w:w="13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Property, plant and equipment at cost................................</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4,818</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4,620</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Less accumulated depreciation......................................</w:t>
            </w:r>
          </w:p>
        </w:tc>
        <w:tc>
          <w:tcPr>
            <w:tcW w:w="32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w w:val="95"/>
              </w:rPr>
              <w:t>(2,371)</w:t>
            </w:r>
          </w:p>
        </w:tc>
        <w:tc>
          <w:tcPr>
            <w:tcW w:w="3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(2,417)</w:t>
            </w:r>
          </w:p>
        </w:tc>
      </w:tr>
      <w:tr>
        <w:trPr>
          <w:trHeight w:val="196"/>
        </w:trPr>
        <w:tc>
          <w:tcPr>
            <w:tcW w:w="7140" w:type="dxa"/>
            <w:vAlign w:val="bottom"/>
          </w:tcPr>
          <w:p>
            <w:pPr>
              <w:spacing w:after="0"/>
              <w:rPr>
                <w:sz w:val="17"/>
                <w:szCs w:val="17"/>
                <w:color w:val="auto"/>
              </w:rPr>
            </w:pPr>
          </w:p>
        </w:tc>
        <w:tc>
          <w:tcPr>
            <w:tcW w:w="13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Property, plant and equipment (net)..............................</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2,447</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2,203</w:t>
            </w:r>
          </w:p>
        </w:tc>
      </w:tr>
      <w:tr>
        <w:trPr>
          <w:trHeight w:val="196"/>
        </w:trPr>
        <w:tc>
          <w:tcPr>
            <w:tcW w:w="7140" w:type="dxa"/>
            <w:vAlign w:val="bottom"/>
          </w:tcPr>
          <w:p>
            <w:pPr>
              <w:spacing w:after="0"/>
              <w:rPr>
                <w:sz w:val="17"/>
                <w:szCs w:val="17"/>
                <w:color w:val="auto"/>
              </w:rPr>
            </w:pPr>
          </w:p>
        </w:tc>
        <w:tc>
          <w:tcPr>
            <w:tcW w:w="13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Deferred income taxes................................................</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254</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237</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Other assets.........................................................</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173</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239</w:t>
            </w:r>
          </w:p>
        </w:tc>
      </w:tr>
      <w:tr>
        <w:trPr>
          <w:trHeight w:val="196"/>
        </w:trPr>
        <w:tc>
          <w:tcPr>
            <w:tcW w:w="7140" w:type="dxa"/>
            <w:vAlign w:val="bottom"/>
          </w:tcPr>
          <w:p>
            <w:pPr>
              <w:spacing w:after="0"/>
              <w:rPr>
                <w:sz w:val="17"/>
                <w:szCs w:val="17"/>
                <w:color w:val="auto"/>
              </w:rPr>
            </w:pPr>
          </w:p>
        </w:tc>
        <w:tc>
          <w:tcPr>
            <w:tcW w:w="13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Total assets.........................................................</w:t>
            </w:r>
          </w:p>
        </w:tc>
        <w:tc>
          <w:tcPr>
            <w:tcW w:w="13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$ 6,843</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$ 5,993</w:t>
            </w:r>
          </w:p>
        </w:tc>
      </w:tr>
      <w:tr>
        <w:trPr>
          <w:trHeight w:val="196"/>
        </w:trPr>
        <w:tc>
          <w:tcPr>
            <w:tcW w:w="7140" w:type="dxa"/>
            <w:vAlign w:val="bottom"/>
          </w:tcPr>
          <w:p>
            <w:pPr>
              <w:spacing w:after="0"/>
              <w:rPr>
                <w:sz w:val="17"/>
                <w:szCs w:val="17"/>
                <w:color w:val="auto"/>
              </w:rPr>
            </w:pPr>
          </w:p>
        </w:tc>
        <w:tc>
          <w:tcPr>
            <w:tcW w:w="13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392"/>
        </w:trPr>
        <w:tc>
          <w:tcPr>
            <w:tcW w:w="714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71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Loans payable and current portion long-term debt...................</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42</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211</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Accounts payable...................................................</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628</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543</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Accrued and other current liabilities..............................</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1,514</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1,247</w:t>
            </w:r>
          </w:p>
        </w:tc>
      </w:tr>
      <w:tr>
        <w:trPr>
          <w:trHeight w:val="196"/>
        </w:trPr>
        <w:tc>
          <w:tcPr>
            <w:tcW w:w="7140" w:type="dxa"/>
            <w:vAlign w:val="bottom"/>
          </w:tcPr>
          <w:p>
            <w:pPr>
              <w:spacing w:after="0"/>
              <w:rPr>
                <w:sz w:val="17"/>
                <w:szCs w:val="17"/>
                <w:color w:val="auto"/>
              </w:rPr>
            </w:pPr>
          </w:p>
        </w:tc>
        <w:tc>
          <w:tcPr>
            <w:tcW w:w="13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current liabilities........................................</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2,184</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2,001</w:t>
            </w:r>
          </w:p>
        </w:tc>
      </w:tr>
      <w:tr>
        <w:trPr>
          <w:trHeight w:val="196"/>
        </w:trPr>
        <w:tc>
          <w:tcPr>
            <w:tcW w:w="7140" w:type="dxa"/>
            <w:vAlign w:val="bottom"/>
          </w:tcPr>
          <w:p>
            <w:pPr>
              <w:spacing w:after="0"/>
              <w:rPr>
                <w:sz w:val="17"/>
                <w:szCs w:val="17"/>
                <w:color w:val="auto"/>
              </w:rPr>
            </w:pPr>
          </w:p>
        </w:tc>
        <w:tc>
          <w:tcPr>
            <w:tcW w:w="13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Long-term debt.......................................................</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813</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694</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Accrued retirement costs.............................................</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792</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739</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Deferred credits and other liabilities...............................</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191</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244</w:t>
            </w:r>
          </w:p>
        </w:tc>
      </w:tr>
      <w:tr>
        <w:trPr>
          <w:trHeight w:val="392"/>
        </w:trPr>
        <w:tc>
          <w:tcPr>
            <w:tcW w:w="714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$25 par value. Authorized - 10,000,000 shares.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Participating cumulative preferred. None issued..................</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Common stock, $1 par value. Authorized - 300,000,000 shares.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Shares issued: 1994 - 92,737,732; 1993 - 90,919,314..............</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93</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91</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Paid-in capital....................................................</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1,040</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932</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Retained earnings..................................................</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1,748</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1,307</w:t>
            </w:r>
          </w:p>
        </w:tc>
      </w:tr>
      <w:tr>
        <w:trPr>
          <w:trHeight w:val="196"/>
        </w:trPr>
        <w:tc>
          <w:tcPr>
            <w:tcW w:w="7140" w:type="dxa"/>
            <w:vAlign w:val="bottom"/>
          </w:tcPr>
          <w:p>
            <w:pPr>
              <w:ind w:left="200"/>
              <w:spacing w:after="0"/>
              <w:rPr>
                <w:sz w:val="20"/>
                <w:szCs w:val="20"/>
                <w:color w:val="auto"/>
              </w:rPr>
            </w:pPr>
            <w:r>
              <w:rPr>
                <w:rFonts w:ascii="Courier New" w:cs="Courier New" w:eastAsia="Courier New" w:hAnsi="Courier New"/>
                <w:sz w:val="17"/>
                <w:szCs w:val="17"/>
                <w:color w:val="auto"/>
              </w:rPr>
              <w:t>Less treasury common stock at cost.</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Shares: 1994 - 107,454; 1993 - 102,522...........................</w:t>
            </w:r>
          </w:p>
        </w:tc>
        <w:tc>
          <w:tcPr>
            <w:tcW w:w="32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w:t>
            </w:r>
          </w:p>
        </w:tc>
        <w:tc>
          <w:tcPr>
            <w:tcW w:w="3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Other..............................................................</w:t>
            </w:r>
          </w:p>
        </w:tc>
        <w:tc>
          <w:tcPr>
            <w:tcW w:w="32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(12)</w:t>
            </w:r>
          </w:p>
        </w:tc>
        <w:tc>
          <w:tcPr>
            <w:tcW w:w="3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w:t>
            </w:r>
          </w:p>
        </w:tc>
      </w:tr>
      <w:tr>
        <w:trPr>
          <w:trHeight w:val="196"/>
        </w:trPr>
        <w:tc>
          <w:tcPr>
            <w:tcW w:w="7140" w:type="dxa"/>
            <w:vAlign w:val="bottom"/>
          </w:tcPr>
          <w:p>
            <w:pPr>
              <w:spacing w:after="0"/>
              <w:rPr>
                <w:sz w:val="17"/>
                <w:szCs w:val="17"/>
                <w:color w:val="auto"/>
              </w:rPr>
            </w:pPr>
          </w:p>
        </w:tc>
        <w:tc>
          <w:tcPr>
            <w:tcW w:w="13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stockholders' equity.......................................</w:t>
            </w:r>
          </w:p>
        </w:tc>
        <w:tc>
          <w:tcPr>
            <w:tcW w:w="3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2,863</w:t>
            </w:r>
          </w:p>
        </w:tc>
        <w:tc>
          <w:tcPr>
            <w:tcW w:w="3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2,315</w:t>
            </w:r>
          </w:p>
        </w:tc>
      </w:tr>
      <w:tr>
        <w:trPr>
          <w:trHeight w:val="196"/>
        </w:trPr>
        <w:tc>
          <w:tcPr>
            <w:tcW w:w="7140" w:type="dxa"/>
            <w:vAlign w:val="bottom"/>
          </w:tcPr>
          <w:p>
            <w:pPr>
              <w:spacing w:after="0"/>
              <w:rPr>
                <w:sz w:val="17"/>
                <w:szCs w:val="17"/>
                <w:color w:val="auto"/>
              </w:rPr>
            </w:pPr>
          </w:p>
        </w:tc>
        <w:tc>
          <w:tcPr>
            <w:tcW w:w="13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71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Total liabilities and stockholders' equity...........................</w:t>
            </w:r>
          </w:p>
        </w:tc>
        <w:tc>
          <w:tcPr>
            <w:tcW w:w="13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$ 6,843</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$ 5,993</w:t>
            </w:r>
          </w:p>
        </w:tc>
      </w:tr>
      <w:tr>
        <w:trPr>
          <w:trHeight w:val="196"/>
        </w:trPr>
        <w:tc>
          <w:tcPr>
            <w:tcW w:w="7140" w:type="dxa"/>
            <w:vAlign w:val="bottom"/>
          </w:tcPr>
          <w:p>
            <w:pPr>
              <w:spacing w:after="0"/>
              <w:rPr>
                <w:sz w:val="17"/>
                <w:szCs w:val="17"/>
                <w:color w:val="auto"/>
              </w:rPr>
            </w:pPr>
          </w:p>
        </w:tc>
        <w:tc>
          <w:tcPr>
            <w:tcW w:w="134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589"/>
        </w:trPr>
        <w:tc>
          <w:tcPr>
            <w:tcW w:w="7140" w:type="dxa"/>
            <w:vAlign w:val="bottom"/>
          </w:tcPr>
          <w:p>
            <w:pPr>
              <w:jc w:val="right"/>
              <w:ind w:right="2975"/>
              <w:spacing w:after="0"/>
              <w:rPr>
                <w:sz w:val="20"/>
                <w:szCs w:val="20"/>
                <w:color w:val="auto"/>
              </w:rPr>
            </w:pPr>
            <w:r>
              <w:rPr>
                <w:rFonts w:ascii="Courier New" w:cs="Courier New" w:eastAsia="Courier New" w:hAnsi="Courier New"/>
                <w:sz w:val="17"/>
                <w:szCs w:val="17"/>
                <w:color w:val="auto"/>
              </w:rPr>
              <w:t>3</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1096" w:right="1440" w:bottom="1440" w:gutter="0" w:footer="0" w:header="0"/>
        </w:sectPr>
      </w:pPr>
    </w:p>
    <w:bookmarkStart w:id="3" w:name="page4"/>
    <w:bookmarkEnd w:id="3"/>
    <w:p>
      <w:pPr>
        <w:jc w:val="center"/>
        <w:ind w:right="2559"/>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Notes to Financial Statements</w:t>
      </w:r>
    </w:p>
    <w:p>
      <w:pPr>
        <w:spacing w:after="0" w:line="201" w:lineRule="exact"/>
        <w:rPr>
          <w:sz w:val="20"/>
          <w:szCs w:val="20"/>
          <w:color w:val="auto"/>
        </w:rPr>
      </w:pPr>
    </w:p>
    <w:p>
      <w:pPr>
        <w:ind w:right="2359" w:firstLine="714"/>
        <w:spacing w:after="0" w:line="244" w:lineRule="auto"/>
        <w:rPr>
          <w:sz w:val="20"/>
          <w:szCs w:val="20"/>
          <w:color w:val="auto"/>
        </w:rPr>
      </w:pPr>
      <w:r>
        <w:rPr>
          <w:rFonts w:ascii="Courier New" w:cs="Courier New" w:eastAsia="Courier New" w:hAnsi="Courier New"/>
          <w:sz w:val="17"/>
          <w:szCs w:val="17"/>
          <w:color w:val="auto"/>
        </w:rPr>
        <w:t>Earnings per common and common equivalent share are based on average common and common equivalent shares outstanding (96.0 and 94.4 million shares for the third quarters of 1994 and 1993, and 95.5 and 93.5 million shares for the nine months ended September 30, 1994 and 1993). Shares issuable upon exercise of dilutive stock options and upon conversion of dilutive convertible debentures and, for 1993, conversion preferred stock are included in average common and common equivalent shares outstanding. In computing per-share earnings for the periods, net income is reduced by $5 million for the third quarter of 1993, and $20 million for the nine months ended September 30, 1993, for dividends accrued on preferred stock, and increased by $1 million and $4 million for the third quarters of 1994 and 1993, and $2 million and $18 million for the nine months ended Septem-ber 30, 1994 and 1993, for interest (net of tax and profit sharing effect) and dividends on the convertible debentures and conversion preferred stock considered dilutive common stock equivalents.</w:t>
      </w:r>
    </w:p>
    <w:p>
      <w:pPr>
        <w:spacing w:after="0" w:line="202" w:lineRule="exact"/>
        <w:rPr>
          <w:sz w:val="20"/>
          <w:szCs w:val="20"/>
          <w:color w:val="auto"/>
        </w:rPr>
      </w:pPr>
    </w:p>
    <w:p>
      <w:pPr>
        <w:ind w:right="2559" w:firstLine="714"/>
        <w:spacing w:after="0" w:line="243" w:lineRule="auto"/>
        <w:rPr>
          <w:sz w:val="20"/>
          <w:szCs w:val="20"/>
          <w:color w:val="auto"/>
        </w:rPr>
      </w:pPr>
      <w:r>
        <w:rPr>
          <w:rFonts w:ascii="Courier New" w:cs="Courier New" w:eastAsia="Courier New" w:hAnsi="Courier New"/>
          <w:sz w:val="17"/>
          <w:szCs w:val="17"/>
          <w:color w:val="auto"/>
        </w:rPr>
        <w:t>Results for the first nine months of 1994 include the following first-quarter items: special pretax charges of $132 million and one-time royalty revenues of $69 million.</w:t>
      </w:r>
    </w:p>
    <w:p>
      <w:pPr>
        <w:spacing w:after="0" w:line="200" w:lineRule="exact"/>
        <w:rPr>
          <w:sz w:val="20"/>
          <w:szCs w:val="20"/>
          <w:color w:val="auto"/>
        </w:rPr>
      </w:pPr>
    </w:p>
    <w:p>
      <w:pPr>
        <w:ind w:right="2359" w:firstLine="714"/>
        <w:spacing w:after="0" w:line="244" w:lineRule="auto"/>
        <w:rPr>
          <w:sz w:val="20"/>
          <w:szCs w:val="20"/>
          <w:color w:val="auto"/>
        </w:rPr>
      </w:pPr>
      <w:r>
        <w:rPr>
          <w:rFonts w:ascii="Courier New" w:cs="Courier New" w:eastAsia="Courier New" w:hAnsi="Courier New"/>
          <w:sz w:val="17"/>
          <w:szCs w:val="17"/>
          <w:color w:val="auto"/>
        </w:rPr>
        <w:t>In April 1994, the company amended its asset securitization agree-ment for accounts receivable and reduced the outstanding balance from $175 million to $125 million. Holders of TI's 2.75% convertible subordinated debentures due 2002 had the option of notifying TI (during the 32-day peri-od beginning July 29, 1994) of their intent to redeem these securities at par during the 30-day period beginning September 29, 1994. All redeeming holders chose September 29 as their redemption date; $76 million of the debentures were redeemed by the company on that date. The $124 million remaining balance has been classified as a long-term liability at the end of the third quarter because the holders' redemption period has lapsed.</w:t>
      </w:r>
    </w:p>
    <w:p>
      <w:pPr>
        <w:spacing w:after="0" w:line="200" w:lineRule="exact"/>
        <w:rPr>
          <w:sz w:val="20"/>
          <w:szCs w:val="20"/>
          <w:color w:val="auto"/>
        </w:rPr>
      </w:pPr>
    </w:p>
    <w:p>
      <w:pPr>
        <w:ind w:right="2459" w:firstLine="714"/>
        <w:spacing w:after="0" w:line="244" w:lineRule="auto"/>
        <w:rPr>
          <w:sz w:val="20"/>
          <w:szCs w:val="20"/>
          <w:color w:val="auto"/>
        </w:rPr>
      </w:pPr>
      <w:r>
        <w:rPr>
          <w:rFonts w:ascii="Courier New" w:cs="Courier New" w:eastAsia="Courier New" w:hAnsi="Courier New"/>
          <w:sz w:val="17"/>
          <w:szCs w:val="17"/>
          <w:color w:val="auto"/>
        </w:rPr>
        <w:t>Effective January 1, 1993, the company adopted two new accounting standards: SFAS No. 106, which requires accrual of expected retiree health-care benefit costs during the employees working careers, and SFAS No. 109, which requires increased recording of deferred income tax assets. This resulted in a charge of $294 million ($3.15 per share) for SFAS No. 106 and a credit of $290 million ($3.10 per share) for SFAS No. 109, for the cumulative effect of the accounting changes.</w:t>
      </w:r>
    </w:p>
    <w:p>
      <w:pPr>
        <w:spacing w:after="0" w:line="199" w:lineRule="exact"/>
        <w:rPr>
          <w:sz w:val="20"/>
          <w:szCs w:val="20"/>
          <w:color w:val="auto"/>
        </w:rPr>
      </w:pPr>
    </w:p>
    <w:p>
      <w:pPr>
        <w:ind w:right="2359" w:firstLine="714"/>
        <w:spacing w:after="0" w:line="244" w:lineRule="auto"/>
        <w:rPr>
          <w:sz w:val="20"/>
          <w:szCs w:val="20"/>
          <w:color w:val="auto"/>
        </w:rPr>
      </w:pPr>
      <w:r>
        <w:rPr>
          <w:rFonts w:ascii="Courier New" w:cs="Courier New" w:eastAsia="Courier New" w:hAnsi="Courier New"/>
          <w:sz w:val="17"/>
          <w:szCs w:val="17"/>
          <w:color w:val="auto"/>
        </w:rPr>
        <w:t>The statements of income, statements of cash flows and balance sheet at September 30, 1994, are not audited but reflect all adjustments which are of a normal recurring nature and are, in the opinion of management, necessary to a fair statement of the results of the periods shown.</w:t>
      </w:r>
    </w:p>
    <w:p>
      <w:pPr>
        <w:spacing w:after="0" w:line="39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019"/>
          </w:cols>
          <w:pgMar w:left="440" w:top="507" w:right="1440" w:bottom="1440" w:gutter="0" w:footer="0" w:header="0"/>
        </w:sectPr>
      </w:pPr>
    </w:p>
    <w:bookmarkStart w:id="4" w:name="page5"/>
    <w:bookmarkEnd w:id="4"/>
    <w:p>
      <w:pPr>
        <w:ind w:right="2659"/>
        <w:spacing w:after="0" w:line="243"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199" w:lineRule="exact"/>
        <w:rPr>
          <w:sz w:val="20"/>
          <w:szCs w:val="20"/>
          <w:color w:val="auto"/>
        </w:rPr>
      </w:pPr>
    </w:p>
    <w:p>
      <w:pPr>
        <w:ind w:right="2459"/>
        <w:spacing w:after="0" w:line="243" w:lineRule="auto"/>
        <w:rPr>
          <w:sz w:val="20"/>
          <w:szCs w:val="20"/>
          <w:color w:val="auto"/>
        </w:rPr>
      </w:pPr>
      <w:r>
        <w:rPr>
          <w:rFonts w:ascii="Courier New" w:cs="Courier New" w:eastAsia="Courier New" w:hAnsi="Courier New"/>
          <w:sz w:val="17"/>
          <w:szCs w:val="17"/>
          <w:color w:val="auto"/>
        </w:rPr>
        <w:t>Net revenues for the third quarter of 1994 were $2574 million, up 19 percent from $2161 million in the third quarter of 1993. The increase resulted primarily from continued strong growth in semiconductor revenues.</w:t>
      </w:r>
    </w:p>
    <w:p>
      <w:pPr>
        <w:spacing w:after="0" w:line="200"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TI's profit from operations for the quarter was $291 million, up 33 percent from $218 million in the third quarter of 1993. Most of the profit increase came from substantial improvement in semiconductor operating profit. Net income for the quarter was $186 million, compared with $146 million in the third quarter of 1993. Earnings per share were $1.94, an increase of 26 percent from $1.54 in the third quarter of 1993. Net income for the third quarter of 1993 included a one-time favorable tax item of $17 million, or $0.18 per share.</w:t>
      </w:r>
    </w:p>
    <w:p>
      <w:pPr>
        <w:spacing w:after="0" w:line="199" w:lineRule="exact"/>
        <w:rPr>
          <w:sz w:val="20"/>
          <w:szCs w:val="20"/>
          <w:color w:val="auto"/>
        </w:rPr>
      </w:pPr>
    </w:p>
    <w:p>
      <w:pPr>
        <w:ind w:right="2559"/>
        <w:spacing w:after="0" w:line="243" w:lineRule="auto"/>
        <w:rPr>
          <w:sz w:val="20"/>
          <w:szCs w:val="20"/>
          <w:color w:val="auto"/>
        </w:rPr>
      </w:pPr>
      <w:r>
        <w:rPr>
          <w:rFonts w:ascii="Courier New" w:cs="Courier New" w:eastAsia="Courier New" w:hAnsi="Courier New"/>
          <w:sz w:val="17"/>
          <w:szCs w:val="17"/>
          <w:color w:val="auto"/>
        </w:rPr>
        <w:t>Third-quarter 1994 results include an accrual of $50 million for employee profit-sharing plans, compared with a $26 million accrual in the third quarter of 1993.</w:t>
      </w:r>
    </w:p>
    <w:p>
      <w:pPr>
        <w:spacing w:after="0" w:line="200" w:lineRule="exact"/>
        <w:rPr>
          <w:sz w:val="20"/>
          <w:szCs w:val="20"/>
          <w:color w:val="auto"/>
        </w:rPr>
      </w:pPr>
    </w:p>
    <w:p>
      <w:pPr>
        <w:jc w:val="both"/>
        <w:ind w:right="2359"/>
        <w:spacing w:after="0" w:line="244" w:lineRule="auto"/>
        <w:rPr>
          <w:sz w:val="20"/>
          <w:szCs w:val="20"/>
          <w:color w:val="auto"/>
        </w:rPr>
      </w:pPr>
      <w:r>
        <w:rPr>
          <w:rFonts w:ascii="Courier New" w:cs="Courier New" w:eastAsia="Courier New" w:hAnsi="Courier New"/>
          <w:sz w:val="17"/>
          <w:szCs w:val="17"/>
          <w:color w:val="auto"/>
        </w:rPr>
        <w:t>There were no one-time royalty revenues in the third quarter of 1994. One-time royalties from patent license agreements reached in the third quarter of 1993 were $37 million. Ongoing royalties were up from the third quarter of 1993.</w:t>
      </w:r>
    </w:p>
    <w:p>
      <w:pPr>
        <w:spacing w:after="0" w:line="198"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Profit after tax return on assets (PAT ROA) increased to an annualized rate of 10.5 percent in the first nine months of 1994, and return on common equity increased to an annualized rate of 25.9 percent.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SEMICONDUCTORS</w:t>
      </w:r>
    </w:p>
    <w:p>
      <w:pPr>
        <w:spacing w:after="0" w:line="201"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TI s semiconductor orders were up from third-quarter 1993 levels, led by substantial growth in memory and differentiated products, especially digital signal processing products and microprocessors. Orders remain near the record level of the second quarter of 1994, despite some seasonality.</w:t>
      </w:r>
    </w:p>
    <w:p>
      <w:pPr>
        <w:spacing w:after="0" w:line="198"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TI s semiconductor revenues grew faster than the market and were up strongly over the third quarter of 1993, primarily because of increased shipments of memory and differentiated products. Revenues were up slightly over the second quarter of 1994.</w:t>
      </w:r>
    </w:p>
    <w:p>
      <w:pPr>
        <w:spacing w:after="0" w:line="198" w:lineRule="exact"/>
        <w:rPr>
          <w:sz w:val="20"/>
          <w:szCs w:val="20"/>
          <w:color w:val="auto"/>
        </w:rPr>
      </w:pPr>
    </w:p>
    <w:p>
      <w:pPr>
        <w:ind w:right="2559"/>
        <w:spacing w:after="0" w:line="243" w:lineRule="auto"/>
        <w:rPr>
          <w:sz w:val="20"/>
          <w:szCs w:val="20"/>
          <w:color w:val="auto"/>
        </w:rPr>
      </w:pPr>
      <w:r>
        <w:rPr>
          <w:rFonts w:ascii="Courier New" w:cs="Courier New" w:eastAsia="Courier New" w:hAnsi="Courier New"/>
          <w:sz w:val="17"/>
          <w:szCs w:val="17"/>
          <w:color w:val="auto"/>
        </w:rPr>
        <w:t>Profits were up substantially over the third quarter of 1993. Semicon-ductor operating margins continue to improve, primarily because of higher revenues and increased manufacturing productivity.</w:t>
      </w:r>
    </w:p>
    <w:p>
      <w:pPr>
        <w:spacing w:after="0" w:line="200"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Construction of TI s advanced semiconductor manufacturing facility in Dallas is progressing, and initial production is planned for the first half of 1995. This facility is designed for rapid prototyping and 0.35-micron production of differentiated semiconductor products, including digital signal processors, microprocessors and other advanced logic products.</w:t>
      </w:r>
    </w:p>
    <w:p>
      <w:pPr>
        <w:spacing w:after="0" w:line="198" w:lineRule="exact"/>
        <w:rPr>
          <w:sz w:val="20"/>
          <w:szCs w:val="20"/>
          <w:color w:val="auto"/>
        </w:rPr>
      </w:pPr>
    </w:p>
    <w:p>
      <w:pPr>
        <w:ind w:right="2559"/>
        <w:spacing w:after="0" w:line="244" w:lineRule="auto"/>
        <w:rPr>
          <w:sz w:val="20"/>
          <w:szCs w:val="20"/>
          <w:color w:val="auto"/>
        </w:rPr>
      </w:pPr>
      <w:r>
        <w:rPr>
          <w:rFonts w:ascii="Courier New" w:cs="Courier New" w:eastAsia="Courier New" w:hAnsi="Courier New"/>
          <w:sz w:val="17"/>
          <w:szCs w:val="17"/>
          <w:color w:val="auto"/>
        </w:rPr>
        <w:t>Demand for dynamic random-access memory (DRAM) remains strong, and memory requirements for next-generation computer systems continue to escalate. The majority of the DRAMs sold by TI are produced in joint-venture manufacturing facilities. Because TI purchases products from the joint ventures at a discount from the market price, this has substantially reduced the volatility of TI s DRAM business and helped to stabilize TI s semiconductor margins.</w:t>
      </w:r>
    </w:p>
    <w:p>
      <w:pPr>
        <w:spacing w:after="0" w:line="199" w:lineRule="exact"/>
        <w:rPr>
          <w:sz w:val="20"/>
          <w:szCs w:val="20"/>
          <w:color w:val="auto"/>
        </w:rPr>
      </w:pPr>
    </w:p>
    <w:p>
      <w:pPr>
        <w:ind w:right="2459"/>
        <w:spacing w:after="0" w:line="243" w:lineRule="auto"/>
        <w:rPr>
          <w:sz w:val="20"/>
          <w:szCs w:val="20"/>
          <w:color w:val="auto"/>
        </w:rPr>
      </w:pPr>
      <w:r>
        <w:rPr>
          <w:rFonts w:ascii="Courier New" w:cs="Courier New" w:eastAsia="Courier New" w:hAnsi="Courier New"/>
          <w:sz w:val="17"/>
          <w:szCs w:val="17"/>
          <w:color w:val="auto"/>
        </w:rPr>
        <w:t>TI is continuing to execute strategies to position the company as a leader of the digital revolution. A fundamental engine driving the digital</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5</w:t>
      </w:r>
    </w:p>
    <w:p>
      <w:pPr>
        <w:spacing w:after="0" w:line="397"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revolution is signal processing. TI is the clear market leader in digital signal processors (DSPs), with revenues growing substantially faster than the market. Mixed-signal devices that provide interfaces between digital information and the analog world are key components in digital signal processing solutions. TI s analog and mixed-signal revenues are growing faster than the market and reached record levels in the third quarter.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DEFENSE ELECTRONICS</w:t>
      </w:r>
    </w:p>
    <w:p>
      <w:pPr>
        <w:spacing w:after="0" w:line="201" w:lineRule="exact"/>
        <w:rPr>
          <w:sz w:val="20"/>
          <w:szCs w:val="20"/>
          <w:color w:val="auto"/>
        </w:rPr>
      </w:pPr>
    </w:p>
    <w:p>
      <w:pPr>
        <w:jc w:val="both"/>
        <w:ind w:right="2359"/>
        <w:spacing w:after="0" w:line="243" w:lineRule="auto"/>
        <w:rPr>
          <w:sz w:val="20"/>
          <w:szCs w:val="20"/>
          <w:color w:val="auto"/>
        </w:rPr>
      </w:pPr>
      <w:r>
        <w:rPr>
          <w:rFonts w:ascii="Courier New" w:cs="Courier New" w:eastAsia="Courier New" w:hAnsi="Courier New"/>
          <w:sz w:val="17"/>
          <w:szCs w:val="17"/>
          <w:color w:val="auto"/>
        </w:rPr>
        <w:t>TI s defense electronics revenues were flat with the third quarter of 1993, and margins remained stable. We continue to expect defense revenues in the fourth quarter to be below year-ago levels.</w:t>
      </w:r>
    </w:p>
    <w:p>
      <w:pPr>
        <w:spacing w:after="0" w:line="200"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TI s Paveway III was selected for the United Kingdom s interdiction weapons program. Also during the quarter, TI received the fiscal-year 1994 order for the High-Speed Antiradiation Missile (HARM). These contracts, which will be delivered over the next few years, raised TI s defense electronics orders substantially over the third quarter of last year.</w:t>
      </w:r>
    </w:p>
    <w:p>
      <w:pPr>
        <w:sectPr>
          <w:pgSz w:w="11900" w:h="16838" w:orient="portrait"/>
          <w:cols w:equalWidth="0" w:num="1">
            <w:col w:w="10019"/>
          </w:cols>
          <w:pgMar w:left="440" w:top="508"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SOFTWARE</w:t>
      </w:r>
    </w:p>
    <w:p>
      <w:pPr>
        <w:spacing w:after="0" w:line="201"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TI s strategic software business, based on the Information Engineering Facility (IEF)** model-based development tools, operated at a small profit on higher revenues during the third quarter as a result of acceptance of new client/server products. The company recently announced Composer by IEF**, which will provide a more open and flexible tool for development of future client/server applications.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w:t>
      </w:r>
    </w:p>
    <w:p>
      <w:pPr>
        <w:spacing w:after="0" w:line="201"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TI continues to focus on improved stability and sustained return on assets across all operations. Improved semiconductor operations, resulting from the higher differentiated product mix and increased manufacturing produc-tivity, provide the foundation for profitable growth. In addition, strong performance from the materials and controls business, and from instructional calculators, is contributing to improved profitability and ROA in 1994.</w:t>
      </w:r>
    </w:p>
    <w:p>
      <w:pPr>
        <w:spacing w:after="0" w:line="199"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TI will continue to take ongoing actions to reduce costs and streamline operations to remain competitive. For example, the company is proceeding with a voluntary early retirement program in Japan for eligible employees that will be implemented in the fourth quarter. The costs associated with this program will be reflected in fourth-quarter results.</w:t>
      </w:r>
    </w:p>
    <w:p>
      <w:pPr>
        <w:spacing w:after="0" w:line="198"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Trends in the worldwide semiconductor industry continue to point toward growth with improved long-term stability. Capital spending as a percentage of revenue remains in a range that is reasonable by historical standards, and the semiconductor content of electronic end-equipment continues to rise. TI is well positioned with a balance of TI-owned capacity and joint-venture facilities to plan capacity additions in a flexible, cost-effective manner to meet customer requirements.</w:t>
      </w:r>
    </w:p>
    <w:p>
      <w:pPr>
        <w:spacing w:after="0" w:line="199" w:lineRule="exact"/>
        <w:rPr>
          <w:sz w:val="20"/>
          <w:szCs w:val="20"/>
          <w:color w:val="auto"/>
        </w:rPr>
      </w:pPr>
    </w:p>
    <w:p>
      <w:pPr>
        <w:ind w:right="2359" w:firstLine="9"/>
        <w:spacing w:after="0" w:line="243" w:lineRule="auto"/>
        <w:tabs>
          <w:tab w:leader="none" w:pos="306"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IEF, Information Engineering Facility and Composer by IEF are trademarks of Texas Instruments.</w:t>
      </w:r>
    </w:p>
    <w:p>
      <w:pPr>
        <w:spacing w:after="0" w:line="198"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019"/>
          </w:cols>
          <w:pgMar w:left="440" w:top="33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3"/>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ADDITIONAL FINANCIAL INFORMATION</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92"/>
        </w:trPr>
        <w:tc>
          <w:tcPr>
            <w:tcW w:w="2300" w:type="dxa"/>
            <w:vAlign w:val="bottom"/>
          </w:tcPr>
          <w:p>
            <w:pPr>
              <w:spacing w:after="0"/>
              <w:rPr>
                <w:sz w:val="24"/>
                <w:szCs w:val="24"/>
                <w:color w:val="auto"/>
              </w:rPr>
            </w:pPr>
          </w:p>
        </w:tc>
        <w:tc>
          <w:tcPr>
            <w:tcW w:w="138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Change in</w:t>
            </w:r>
          </w:p>
        </w:tc>
        <w:tc>
          <w:tcPr>
            <w:tcW w:w="1180" w:type="dxa"/>
            <w:vAlign w:val="bottom"/>
          </w:tcPr>
          <w:p>
            <w:pPr>
              <w:spacing w:after="0"/>
              <w:rPr>
                <w:sz w:val="20"/>
                <w:szCs w:val="20"/>
                <w:color w:val="auto"/>
              </w:rPr>
            </w:pPr>
            <w:r>
              <w:rPr>
                <w:rFonts w:ascii="Courier New" w:cs="Courier New" w:eastAsia="Courier New" w:hAnsi="Courier New"/>
                <w:sz w:val="17"/>
                <w:szCs w:val="17"/>
                <w:color w:val="auto"/>
              </w:rPr>
              <w:t>orders,</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Change in</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net revenues,</w:t>
            </w:r>
          </w:p>
        </w:tc>
      </w:tr>
      <w:tr>
        <w:trPr>
          <w:trHeight w:val="196"/>
        </w:trPr>
        <w:tc>
          <w:tcPr>
            <w:tcW w:w="2300" w:type="dxa"/>
            <w:vAlign w:val="bottom"/>
          </w:tcPr>
          <w:p>
            <w:pPr>
              <w:ind w:left="420"/>
              <w:spacing w:after="0"/>
              <w:rPr>
                <w:sz w:val="20"/>
                <w:szCs w:val="20"/>
                <w:color w:val="auto"/>
              </w:rPr>
            </w:pPr>
            <w:r>
              <w:rPr>
                <w:rFonts w:ascii="Courier New" w:cs="Courier New" w:eastAsia="Courier New" w:hAnsi="Courier New"/>
                <w:sz w:val="17"/>
                <w:szCs w:val="17"/>
                <w:color w:val="auto"/>
              </w:rPr>
              <w:t>Segment</w:t>
            </w:r>
          </w:p>
        </w:tc>
        <w:tc>
          <w:tcPr>
            <w:tcW w:w="1380" w:type="dxa"/>
            <w:vAlign w:val="bottom"/>
            <w:gridSpan w:val="2"/>
          </w:tcPr>
          <w:p>
            <w:pPr>
              <w:jc w:val="center"/>
              <w:ind w:left="275"/>
              <w:spacing w:after="0"/>
              <w:rPr>
                <w:sz w:val="20"/>
                <w:szCs w:val="20"/>
                <w:color w:val="auto"/>
              </w:rPr>
            </w:pPr>
            <w:r>
              <w:rPr>
                <w:rFonts w:ascii="Courier New" w:cs="Courier New" w:eastAsia="Courier New" w:hAnsi="Courier New"/>
                <w:sz w:val="17"/>
                <w:szCs w:val="17"/>
                <w:color w:val="auto"/>
              </w:rPr>
              <w:t>3Q94 vs.</w:t>
            </w:r>
          </w:p>
        </w:tc>
        <w:tc>
          <w:tcPr>
            <w:tcW w:w="1180" w:type="dxa"/>
            <w:vAlign w:val="bottom"/>
          </w:tcPr>
          <w:p>
            <w:pPr>
              <w:spacing w:after="0"/>
              <w:rPr>
                <w:sz w:val="20"/>
                <w:szCs w:val="20"/>
                <w:color w:val="auto"/>
              </w:rPr>
            </w:pPr>
            <w:r>
              <w:rPr>
                <w:rFonts w:ascii="Courier New" w:cs="Courier New" w:eastAsia="Courier New" w:hAnsi="Courier New"/>
                <w:sz w:val="17"/>
                <w:szCs w:val="17"/>
                <w:color w:val="auto"/>
              </w:rPr>
              <w:t>3Q93</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3Q94 vs.</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3Q93</w:t>
            </w:r>
          </w:p>
        </w:tc>
      </w:tr>
      <w:tr>
        <w:trPr>
          <w:trHeight w:val="196"/>
        </w:trPr>
        <w:tc>
          <w:tcPr>
            <w:tcW w:w="23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560" w:type="dxa"/>
            <w:vAlign w:val="bottom"/>
            <w:gridSpan w:val="3"/>
          </w:tcPr>
          <w:p>
            <w:pPr>
              <w:ind w:left="360"/>
              <w:spacing w:after="0"/>
              <w:rPr>
                <w:sz w:val="20"/>
                <w:szCs w:val="20"/>
                <w:color w:val="auto"/>
              </w:rPr>
            </w:pPr>
            <w:r>
              <w:rPr>
                <w:rFonts w:ascii="Courier New" w:cs="Courier New" w:eastAsia="Courier New" w:hAnsi="Courier New"/>
                <w:sz w:val="17"/>
                <w:szCs w:val="17"/>
                <w:color w:val="auto"/>
              </w:rPr>
              <w:t>----------------</w:t>
            </w:r>
          </w:p>
        </w:tc>
        <w:tc>
          <w:tcPr>
            <w:tcW w:w="2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230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1020" w:type="dxa"/>
            <w:vAlign w:val="bottom"/>
          </w:tcPr>
          <w:p>
            <w:pPr>
              <w:jc w:val="center"/>
              <w:ind w:left="635"/>
              <w:spacing w:after="0"/>
              <w:rPr>
                <w:sz w:val="20"/>
                <w:szCs w:val="20"/>
                <w:color w:val="auto"/>
              </w:rPr>
            </w:pPr>
            <w:r>
              <w:rPr>
                <w:rFonts w:ascii="Courier New" w:cs="Courier New" w:eastAsia="Courier New" w:hAnsi="Courier New"/>
                <w:sz w:val="17"/>
                <w:szCs w:val="17"/>
                <w:color w:val="auto"/>
              </w:rPr>
              <w:t>up</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20%</w:t>
            </w:r>
          </w:p>
        </w:tc>
        <w:tc>
          <w:tcPr>
            <w:tcW w:w="1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27%</w:t>
            </w:r>
          </w:p>
        </w:tc>
      </w:tr>
      <w:tr>
        <w:trPr>
          <w:trHeight w:val="196"/>
        </w:trPr>
        <w:tc>
          <w:tcPr>
            <w:tcW w:w="2300" w:type="dxa"/>
            <w:vAlign w:val="bottom"/>
          </w:tcPr>
          <w:p>
            <w:pPr>
              <w:spacing w:after="0"/>
              <w:rPr>
                <w:sz w:val="20"/>
                <w:szCs w:val="20"/>
                <w:color w:val="auto"/>
              </w:rPr>
            </w:pPr>
            <w:r>
              <w:rPr>
                <w:rFonts w:ascii="Courier New" w:cs="Courier New" w:eastAsia="Courier New" w:hAnsi="Courier New"/>
                <w:sz w:val="17"/>
                <w:szCs w:val="17"/>
                <w:color w:val="auto"/>
              </w:rPr>
              <w:t>Defense Electronics</w:t>
            </w:r>
          </w:p>
        </w:tc>
        <w:tc>
          <w:tcPr>
            <w:tcW w:w="1020" w:type="dxa"/>
            <w:vAlign w:val="bottom"/>
          </w:tcPr>
          <w:p>
            <w:pPr>
              <w:jc w:val="center"/>
              <w:ind w:left="635"/>
              <w:spacing w:after="0"/>
              <w:rPr>
                <w:sz w:val="20"/>
                <w:szCs w:val="20"/>
                <w:color w:val="auto"/>
              </w:rPr>
            </w:pPr>
            <w:r>
              <w:rPr>
                <w:rFonts w:ascii="Courier New" w:cs="Courier New" w:eastAsia="Courier New" w:hAnsi="Courier New"/>
                <w:sz w:val="17"/>
                <w:szCs w:val="17"/>
                <w:color w:val="auto"/>
              </w:rPr>
              <w:t>up</w:t>
            </w:r>
          </w:p>
        </w:tc>
        <w:tc>
          <w:tcPr>
            <w:tcW w:w="15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290%</w:t>
            </w:r>
          </w:p>
        </w:tc>
        <w:tc>
          <w:tcPr>
            <w:tcW w:w="2800" w:type="dxa"/>
            <w:vAlign w:val="bottom"/>
            <w:gridSpan w:val="2"/>
          </w:tcPr>
          <w:p>
            <w:pPr>
              <w:jc w:val="right"/>
              <w:ind w:right="1135"/>
              <w:spacing w:after="0"/>
              <w:rPr>
                <w:sz w:val="20"/>
                <w:szCs w:val="20"/>
                <w:color w:val="auto"/>
              </w:rPr>
            </w:pPr>
            <w:r>
              <w:rPr>
                <w:rFonts w:ascii="Courier New" w:cs="Courier New" w:eastAsia="Courier New" w:hAnsi="Courier New"/>
                <w:sz w:val="17"/>
                <w:szCs w:val="17"/>
                <w:color w:val="auto"/>
              </w:rPr>
              <w:t>flat</w:t>
            </w:r>
          </w:p>
        </w:tc>
      </w:tr>
      <w:tr>
        <w:trPr>
          <w:trHeight w:val="196"/>
        </w:trPr>
        <w:tc>
          <w:tcPr>
            <w:tcW w:w="230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1020" w:type="dxa"/>
            <w:vAlign w:val="bottom"/>
          </w:tcPr>
          <w:p>
            <w:pPr>
              <w:jc w:val="center"/>
              <w:ind w:left="635"/>
              <w:spacing w:after="0"/>
              <w:rPr>
                <w:sz w:val="20"/>
                <w:szCs w:val="20"/>
                <w:color w:val="auto"/>
              </w:rPr>
            </w:pPr>
            <w:r>
              <w:rPr>
                <w:rFonts w:ascii="Courier New" w:cs="Courier New" w:eastAsia="Courier New" w:hAnsi="Courier New"/>
                <w:sz w:val="17"/>
                <w:szCs w:val="17"/>
                <w:color w:val="auto"/>
              </w:rPr>
              <w:t>up</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6%</w:t>
            </w:r>
          </w:p>
        </w:tc>
        <w:tc>
          <w:tcPr>
            <w:tcW w:w="1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11%</w:t>
            </w:r>
          </w:p>
        </w:tc>
      </w:tr>
      <w:tr>
        <w:trPr>
          <w:trHeight w:val="196"/>
        </w:trPr>
        <w:tc>
          <w:tcPr>
            <w:tcW w:w="230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020" w:type="dxa"/>
            <w:vAlign w:val="bottom"/>
          </w:tcPr>
          <w:p>
            <w:pPr>
              <w:jc w:val="center"/>
              <w:ind w:left="635"/>
              <w:spacing w:after="0"/>
              <w:rPr>
                <w:sz w:val="20"/>
                <w:szCs w:val="20"/>
                <w:color w:val="auto"/>
              </w:rPr>
            </w:pPr>
            <w:r>
              <w:rPr>
                <w:rFonts w:ascii="Courier New" w:cs="Courier New" w:eastAsia="Courier New" w:hAnsi="Courier New"/>
                <w:sz w:val="17"/>
                <w:szCs w:val="17"/>
                <w:color w:val="auto"/>
              </w:rPr>
              <w:t>up</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43%</w:t>
            </w:r>
          </w:p>
        </w:tc>
        <w:tc>
          <w:tcPr>
            <w:tcW w:w="1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19%</w:t>
            </w:r>
          </w:p>
        </w:tc>
      </w:tr>
    </w:tbl>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00" w:type="dxa"/>
            <w:vAlign w:val="bottom"/>
          </w:tcPr>
          <w:p>
            <w:pPr>
              <w:spacing w:after="0"/>
              <w:rPr>
                <w:sz w:val="16"/>
                <w:szCs w:val="16"/>
                <w:color w:val="auto"/>
              </w:rPr>
            </w:pPr>
          </w:p>
        </w:tc>
        <w:tc>
          <w:tcPr>
            <w:tcW w:w="2560" w:type="dxa"/>
            <w:vAlign w:val="bottom"/>
          </w:tcPr>
          <w:p>
            <w:pPr>
              <w:ind w:left="360"/>
              <w:spacing w:after="0"/>
              <w:rPr>
                <w:sz w:val="20"/>
                <w:szCs w:val="20"/>
                <w:color w:val="auto"/>
              </w:rPr>
            </w:pPr>
            <w:r>
              <w:rPr>
                <w:rFonts w:ascii="Courier New" w:cs="Courier New" w:eastAsia="Courier New" w:hAnsi="Courier New"/>
                <w:sz w:val="17"/>
                <w:szCs w:val="17"/>
                <w:color w:val="auto"/>
              </w:rPr>
              <w:t>Change in orders,</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Change in</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w w:val="98"/>
              </w:rPr>
              <w:t>net revenues,</w:t>
            </w:r>
          </w:p>
        </w:tc>
      </w:tr>
      <w:tr>
        <w:trPr>
          <w:trHeight w:val="196"/>
        </w:trPr>
        <w:tc>
          <w:tcPr>
            <w:tcW w:w="2400" w:type="dxa"/>
            <w:vAlign w:val="bottom"/>
          </w:tcPr>
          <w:p>
            <w:pPr>
              <w:ind w:left="420"/>
              <w:spacing w:after="0"/>
              <w:rPr>
                <w:sz w:val="20"/>
                <w:szCs w:val="20"/>
                <w:color w:val="auto"/>
              </w:rPr>
            </w:pPr>
            <w:r>
              <w:rPr>
                <w:rFonts w:ascii="Courier New" w:cs="Courier New" w:eastAsia="Courier New" w:hAnsi="Courier New"/>
                <w:sz w:val="17"/>
                <w:szCs w:val="17"/>
                <w:color w:val="auto"/>
              </w:rPr>
              <w:t>Segment</w:t>
            </w:r>
          </w:p>
        </w:tc>
        <w:tc>
          <w:tcPr>
            <w:tcW w:w="2560" w:type="dxa"/>
            <w:vAlign w:val="bottom"/>
          </w:tcPr>
          <w:p>
            <w:pPr>
              <w:ind w:left="560"/>
              <w:spacing w:after="0"/>
              <w:rPr>
                <w:sz w:val="20"/>
                <w:szCs w:val="20"/>
                <w:color w:val="auto"/>
              </w:rPr>
            </w:pPr>
            <w:r>
              <w:rPr>
                <w:rFonts w:ascii="Courier New" w:cs="Courier New" w:eastAsia="Courier New" w:hAnsi="Courier New"/>
                <w:sz w:val="17"/>
                <w:szCs w:val="17"/>
                <w:color w:val="auto"/>
              </w:rPr>
              <w:t>YTD94 vs. YTD93</w:t>
            </w:r>
          </w:p>
        </w:tc>
        <w:tc>
          <w:tcPr>
            <w:tcW w:w="2700" w:type="dxa"/>
            <w:vAlign w:val="bottom"/>
            <w:gridSpan w:val="2"/>
          </w:tcPr>
          <w:p>
            <w:pPr>
              <w:jc w:val="center"/>
              <w:ind w:left="75"/>
              <w:spacing w:after="0"/>
              <w:rPr>
                <w:sz w:val="20"/>
                <w:szCs w:val="20"/>
                <w:color w:val="auto"/>
              </w:rPr>
            </w:pPr>
            <w:r>
              <w:rPr>
                <w:rFonts w:ascii="Courier New" w:cs="Courier New" w:eastAsia="Courier New" w:hAnsi="Courier New"/>
                <w:sz w:val="17"/>
                <w:szCs w:val="17"/>
                <w:color w:val="auto"/>
              </w:rPr>
              <w:t>YTD94 vs. YTD93</w:t>
            </w:r>
          </w:p>
        </w:tc>
      </w:tr>
      <w:tr>
        <w:trPr>
          <w:trHeight w:val="196"/>
        </w:trPr>
        <w:tc>
          <w:tcPr>
            <w:tcW w:w="24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5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270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240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2560" w:type="dxa"/>
            <w:vAlign w:val="bottom"/>
          </w:tcPr>
          <w:p>
            <w:pPr>
              <w:ind w:left="660"/>
              <w:spacing w:after="0"/>
              <w:rPr>
                <w:sz w:val="20"/>
                <w:szCs w:val="20"/>
                <w:color w:val="auto"/>
              </w:rPr>
            </w:pPr>
            <w:r>
              <w:rPr>
                <w:rFonts w:ascii="Courier New" w:cs="Courier New" w:eastAsia="Courier New" w:hAnsi="Courier New"/>
                <w:sz w:val="17"/>
                <w:szCs w:val="17"/>
                <w:color w:val="auto"/>
              </w:rPr>
              <w:t>up 27%</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33%</w:t>
            </w:r>
          </w:p>
        </w:tc>
      </w:tr>
      <w:tr>
        <w:trPr>
          <w:trHeight w:val="196"/>
        </w:trPr>
        <w:tc>
          <w:tcPr>
            <w:tcW w:w="2400" w:type="dxa"/>
            <w:vAlign w:val="bottom"/>
          </w:tcPr>
          <w:p>
            <w:pPr>
              <w:spacing w:after="0"/>
              <w:rPr>
                <w:sz w:val="20"/>
                <w:szCs w:val="20"/>
                <w:color w:val="auto"/>
              </w:rPr>
            </w:pPr>
            <w:r>
              <w:rPr>
                <w:rFonts w:ascii="Courier New" w:cs="Courier New" w:eastAsia="Courier New" w:hAnsi="Courier New"/>
                <w:sz w:val="17"/>
                <w:szCs w:val="17"/>
                <w:color w:val="auto"/>
              </w:rPr>
              <w:t>Defense Electronics</w:t>
            </w:r>
          </w:p>
        </w:tc>
        <w:tc>
          <w:tcPr>
            <w:tcW w:w="2560" w:type="dxa"/>
            <w:vAlign w:val="bottom"/>
          </w:tcPr>
          <w:p>
            <w:pPr>
              <w:ind w:left="660"/>
              <w:spacing w:after="0"/>
              <w:rPr>
                <w:sz w:val="20"/>
                <w:szCs w:val="20"/>
                <w:color w:val="auto"/>
              </w:rPr>
            </w:pPr>
            <w:r>
              <w:rPr>
                <w:rFonts w:ascii="Courier New" w:cs="Courier New" w:eastAsia="Courier New" w:hAnsi="Courier New"/>
                <w:sz w:val="17"/>
                <w:szCs w:val="17"/>
                <w:color w:val="auto"/>
              </w:rPr>
              <w:t>up 27%</w:t>
            </w:r>
          </w:p>
        </w:tc>
        <w:tc>
          <w:tcPr>
            <w:tcW w:w="2700" w:type="dxa"/>
            <w:vAlign w:val="bottom"/>
            <w:gridSpan w:val="2"/>
          </w:tcPr>
          <w:p>
            <w:pPr>
              <w:jc w:val="center"/>
              <w:ind w:left="55"/>
              <w:spacing w:after="0"/>
              <w:rPr>
                <w:sz w:val="20"/>
                <w:szCs w:val="20"/>
                <w:color w:val="auto"/>
              </w:rPr>
            </w:pPr>
            <w:r>
              <w:rPr>
                <w:rFonts w:ascii="Courier New" w:cs="Courier New" w:eastAsia="Courier New" w:hAnsi="Courier New"/>
                <w:sz w:val="17"/>
                <w:szCs w:val="17"/>
                <w:color w:val="auto"/>
              </w:rPr>
              <w:t>down 3%</w:t>
            </w:r>
          </w:p>
        </w:tc>
      </w:tr>
      <w:tr>
        <w:trPr>
          <w:trHeight w:val="196"/>
        </w:trPr>
        <w:tc>
          <w:tcPr>
            <w:tcW w:w="240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2560" w:type="dxa"/>
            <w:vAlign w:val="bottom"/>
          </w:tcPr>
          <w:p>
            <w:pPr>
              <w:ind w:left="660"/>
              <w:spacing w:after="0"/>
              <w:rPr>
                <w:sz w:val="20"/>
                <w:szCs w:val="20"/>
                <w:color w:val="auto"/>
              </w:rPr>
            </w:pPr>
            <w:r>
              <w:rPr>
                <w:rFonts w:ascii="Courier New" w:cs="Courier New" w:eastAsia="Courier New" w:hAnsi="Courier New"/>
                <w:sz w:val="17"/>
                <w:szCs w:val="17"/>
                <w:color w:val="auto"/>
              </w:rPr>
              <w:t>up 13%</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16%</w:t>
            </w:r>
          </w:p>
        </w:tc>
      </w:tr>
      <w:tr>
        <w:trPr>
          <w:trHeight w:val="196"/>
        </w:trPr>
        <w:tc>
          <w:tcPr>
            <w:tcW w:w="240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2560" w:type="dxa"/>
            <w:vAlign w:val="bottom"/>
          </w:tcPr>
          <w:p>
            <w:pPr>
              <w:ind w:left="660"/>
              <w:spacing w:after="0"/>
              <w:rPr>
                <w:sz w:val="20"/>
                <w:szCs w:val="20"/>
                <w:color w:val="auto"/>
              </w:rPr>
            </w:pPr>
            <w:r>
              <w:rPr>
                <w:rFonts w:ascii="Courier New" w:cs="Courier New" w:eastAsia="Courier New" w:hAnsi="Courier New"/>
                <w:sz w:val="17"/>
                <w:szCs w:val="17"/>
                <w:color w:val="auto"/>
              </w:rPr>
              <w:t>up 24%</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up</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23%</w:t>
            </w:r>
          </w:p>
        </w:tc>
      </w:tr>
    </w:tbl>
    <w:p>
      <w:pPr>
        <w:spacing w:after="0" w:line="200" w:lineRule="exact"/>
        <w:rPr>
          <w:sz w:val="20"/>
          <w:szCs w:val="20"/>
          <w:color w:val="auto"/>
        </w:rPr>
      </w:pPr>
    </w:p>
    <w:p>
      <w:pPr>
        <w:spacing w:after="0" w:line="393"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TI's orders for the third quarter of 1994 were $2926 million, compared with $2050 million in the same period of 1993. Higher semiconductor orders ac-counted for the increase in the components segment. The increase in defense electronics orders reflects the Paveway and HARM contracts. The increase in digital products was in personal productivity products, custom manufacturing services and information technology.</w:t>
      </w:r>
    </w:p>
    <w:p>
      <w:pPr>
        <w:spacing w:after="0" w:line="199"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TI's revenues in the third quarter of 1994 were $2574 million, compared with $2161 million in the third quarter of 1993. The increase in components segment revenues resulted primarily from higher semiconductor revenues, attributable mainly to increased shipments and new products. The increase in digital products segment revenues was primarily in custom manufacturing services and information technology, offsetting lower total royalty revenues in digital products. Last year s third quarter included $37 million in one-time royalties in this segment.</w:t>
      </w:r>
    </w:p>
    <w:p>
      <w:pPr>
        <w:spacing w:after="0" w:line="199"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Profit from operations for the third quarter was $291 million, compared with $218 million in the third quarter of 1993. Components segment profit was up strongly, primarily because of substantial improvement in semiconductor operations and strength in electrical controls. Digital segment profit was flat with the third quarter of 1993 despite the absence of one-time royalties. Operating performance improved.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TI's current estimate of the income tax rate for 1994 is 34.0 percent.</w:t>
      </w:r>
    </w:p>
    <w:p>
      <w:pPr>
        <w:spacing w:after="0" w:line="201"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For the first nine months of 1994, TI's orders were $7890 million, up 24 percent from the first nine months of 1993. The increase in components segment orders resulted primarily from increased semiconductor orders. The increase in defense segment orders was related primarily to the Paveway contract entered in the third quarter and the Javelin contract entered in the second quarter. The increase in digital segment orders was primarily in custom manufacturing services and personal productivity products.</w:t>
      </w:r>
    </w:p>
    <w:p>
      <w:pPr>
        <w:spacing w:after="0" w:line="199" w:lineRule="exact"/>
        <w:rPr>
          <w:sz w:val="20"/>
          <w:szCs w:val="20"/>
          <w:color w:val="auto"/>
        </w:rPr>
      </w:pPr>
    </w:p>
    <w:p>
      <w:pPr>
        <w:jc w:val="both"/>
        <w:ind w:right="2559"/>
        <w:spacing w:after="0" w:line="243" w:lineRule="auto"/>
        <w:rPr>
          <w:sz w:val="20"/>
          <w:szCs w:val="20"/>
          <w:color w:val="auto"/>
        </w:rPr>
      </w:pPr>
      <w:r>
        <w:rPr>
          <w:rFonts w:ascii="Courier New" w:cs="Courier New" w:eastAsia="Courier New" w:hAnsi="Courier New"/>
          <w:sz w:val="17"/>
          <w:szCs w:val="17"/>
          <w:color w:val="auto"/>
        </w:rPr>
        <w:t>Net revenues for the first nine months of 1994 were $7533 million, up 23 percent from $6149 million in the first nine months of 1993. Most of the increase was attributable to new products and increased shipments. The</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7</w:t>
      </w:r>
    </w:p>
    <w:p>
      <w:pPr>
        <w:spacing w:after="0" w:line="397" w:lineRule="exact"/>
        <w:rPr>
          <w:sz w:val="20"/>
          <w:szCs w:val="20"/>
          <w:color w:val="auto"/>
        </w:rPr>
      </w:pPr>
    </w:p>
    <w:p>
      <w:pPr>
        <w:ind w:right="2659"/>
        <w:spacing w:after="0" w:line="244" w:lineRule="auto"/>
        <w:rPr>
          <w:sz w:val="20"/>
          <w:szCs w:val="20"/>
          <w:color w:val="auto"/>
        </w:rPr>
      </w:pPr>
      <w:r>
        <w:rPr>
          <w:rFonts w:ascii="Courier New" w:cs="Courier New" w:eastAsia="Courier New" w:hAnsi="Courier New"/>
          <w:sz w:val="17"/>
          <w:szCs w:val="17"/>
          <w:color w:val="auto"/>
        </w:rPr>
        <w:t>increase in components segment revenues reflects higher semiconductor revenues and higher royalties. Defense segment revenues were down, reflecting the ramp-down of mature production programs. The increase in digital segment revenues was primarily in personal productivity products and custom manufacturing services.</w:t>
      </w:r>
    </w:p>
    <w:p>
      <w:pPr>
        <w:spacing w:after="0" w:line="198"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TI's profit from operations for the first nine months of 1994 was $792 mil-lion, compared with $530 million in the first nine months of 1993. Essentially all the increase was in the components segment, resulting from improved semiconductor operations and higher ongoing royalties.</w:t>
      </w:r>
    </w:p>
    <w:p>
      <w:pPr>
        <w:spacing w:after="0" w:line="198"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In the first quarter of 1994, the company took a pretax charge of $83 million for restructuring of its European operations from the traditional country-by-country approach to business centers with pan-European responsibilities. The charge included cash-related accruals of $58 million for severance as well as $17 million for other costs, plus non-cash asset write-downs of $8 million. This action, primarily affecting semiconductor</w:t>
      </w:r>
    </w:p>
    <w:p>
      <w:pPr>
        <w:sectPr>
          <w:pgSz w:w="11900" w:h="16838" w:orient="portrait"/>
          <w:cols w:equalWidth="0" w:num="1">
            <w:col w:w="10019"/>
          </w:cols>
          <w:pgMar w:left="440" w:top="899" w:right="1440" w:bottom="0" w:gutter="0" w:footer="0" w:header="0"/>
        </w:sectPr>
      </w:pPr>
    </w:p>
    <w:bookmarkStart w:id="7" w:name="page8"/>
    <w:bookmarkEnd w:id="7"/>
    <w:p>
      <w:pPr>
        <w:ind w:right="2459"/>
        <w:spacing w:after="0" w:line="244" w:lineRule="auto"/>
        <w:rPr>
          <w:sz w:val="20"/>
          <w:szCs w:val="20"/>
          <w:color w:val="auto"/>
        </w:rPr>
      </w:pPr>
      <w:r>
        <w:rPr>
          <w:rFonts w:ascii="Courier New" w:cs="Courier New" w:eastAsia="Courier New" w:hAnsi="Courier New"/>
          <w:sz w:val="17"/>
          <w:szCs w:val="17"/>
          <w:color w:val="auto"/>
        </w:rPr>
        <w:t>activities, was expected to be essentially complete by the end of 1994; however, there have been delays in implementation due to extended negotiations with European works councils. The action is expected to result in annual savings of approximately $54 million when fully implemented. Also taken in the first quarter was a pretax charge of $49 million for costs related to the divestiture by early 1995 of nonstrategic product lines, primarily in information technology. The charge included cash-related accruals of $4 million for severance as well as $22 million for other costs, plus non-cash asset write-downs of $23 million. These restructuring and divestiture actions include severance actions affecting approximately 1,000 employees, primarily in Europe.</w:t>
      </w:r>
    </w:p>
    <w:p>
      <w:pPr>
        <w:spacing w:after="0" w:line="201" w:lineRule="exact"/>
        <w:rPr>
          <w:sz w:val="20"/>
          <w:szCs w:val="20"/>
          <w:color w:val="auto"/>
        </w:rPr>
      </w:pPr>
    </w:p>
    <w:p>
      <w:pPr>
        <w:ind w:right="2559"/>
        <w:spacing w:after="0" w:line="244" w:lineRule="auto"/>
        <w:rPr>
          <w:sz w:val="20"/>
          <w:szCs w:val="20"/>
          <w:color w:val="auto"/>
        </w:rPr>
      </w:pPr>
      <w:r>
        <w:rPr>
          <w:rFonts w:ascii="Courier New" w:cs="Courier New" w:eastAsia="Courier New" w:hAnsi="Courier New"/>
          <w:sz w:val="17"/>
          <w:szCs w:val="17"/>
          <w:color w:val="auto"/>
        </w:rPr>
        <w:t>Year-to-date 1994 results also include $69 million in one-time royalty revenues in the first quarter, approximately offsetting the restructuring charge in the components segment. One-time royalties in the first nine months of 1993 were $90 million.</w:t>
      </w:r>
    </w:p>
    <w:p>
      <w:pPr>
        <w:spacing w:after="0" w:line="198"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On August 31, 1994, the district court in Tokyo ruled that Fujitsu's production of 1-megabit and 4-megabit DRAMs and 32K EPROMs does not infringe the company's Kilby patent. The company is appealing the court's decision to the Tokyo High Court. The decision should not have any significant effect on existing licensing agreements. TI continues to expect a significant ongoing stream of royalty revenue throughout the remainder of the decade.</w:t>
      </w:r>
    </w:p>
    <w:p>
      <w:pPr>
        <w:spacing w:after="0" w:line="199" w:lineRule="exact"/>
        <w:rPr>
          <w:sz w:val="20"/>
          <w:szCs w:val="20"/>
          <w:color w:val="auto"/>
        </w:rPr>
      </w:pPr>
    </w:p>
    <w:p>
      <w:pPr>
        <w:ind w:right="2759"/>
        <w:spacing w:after="0" w:line="243" w:lineRule="auto"/>
        <w:rPr>
          <w:sz w:val="20"/>
          <w:szCs w:val="20"/>
          <w:color w:val="auto"/>
        </w:rPr>
      </w:pPr>
      <w:r>
        <w:rPr>
          <w:rFonts w:ascii="Courier New" w:cs="Courier New" w:eastAsia="Courier New" w:hAnsi="Courier New"/>
          <w:sz w:val="17"/>
          <w:szCs w:val="17"/>
          <w:color w:val="auto"/>
        </w:rPr>
        <w:t>TI's financial condition remains strong as third quarter cash flow from operating activities net of additions to property, plant and equipment remains positive.</w:t>
      </w:r>
    </w:p>
    <w:p>
      <w:pPr>
        <w:spacing w:after="0" w:line="200"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During the first three quarters of 1994, cash and cash equivalents plus short-term investments increased by $353 million to $1241 million, primarily because of the cash flow mentioned above. Holders of TI s 2.75% convertible subordinated debentures due 2002 had the option of notifying TI (during the 32-day period beginning July 29, 1994) of their intent to redeem these securities at par during the 30-day period beginning September 29, 1994. All redeeming holders chose September 29 as their redemption date; $76 million of the debentures were redeemed by the company on that date. The $124 million remaining balance has been classified as a long-term liability at the end of the third quarter because the holders' redemption period has lapsed. In early April, the company amended its asset securitization agreement for accounts receivable and reduced the outstanding balance from $175 million to $125 million. On June 17, the company announced an increase in the annual common dividend rate per share</w:t>
      </w:r>
    </w:p>
    <w:p>
      <w:pPr>
        <w:spacing w:after="0" w:line="397"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8</w:t>
      </w:r>
    </w:p>
    <w:p>
      <w:pPr>
        <w:spacing w:after="0" w:line="397" w:lineRule="exact"/>
        <w:rPr>
          <w:sz w:val="20"/>
          <w:szCs w:val="20"/>
          <w:color w:val="auto"/>
        </w:rPr>
      </w:pPr>
    </w:p>
    <w:p>
      <w:pPr>
        <w:ind w:right="2559"/>
        <w:spacing w:after="0" w:line="244" w:lineRule="auto"/>
        <w:rPr>
          <w:sz w:val="20"/>
          <w:szCs w:val="20"/>
          <w:color w:val="auto"/>
        </w:rPr>
      </w:pPr>
      <w:r>
        <w:rPr>
          <w:rFonts w:ascii="Courier New" w:cs="Courier New" w:eastAsia="Courier New" w:hAnsi="Courier New"/>
          <w:sz w:val="17"/>
          <w:szCs w:val="17"/>
          <w:color w:val="auto"/>
        </w:rPr>
        <w:t>from $.72 to $1.00, resulting in approximately $7 million of increased dividend payments per quarter (at current common share balances). TI's debt-to-total-capital ratio was .23 at the end of the third quarter, down from .25 at second quarter's end and .28 at year-end 1993.</w:t>
      </w:r>
    </w:p>
    <w:p>
      <w:pPr>
        <w:spacing w:after="0" w:line="198" w:lineRule="exact"/>
        <w:rPr>
          <w:sz w:val="20"/>
          <w:szCs w:val="20"/>
          <w:color w:val="auto"/>
        </w:rPr>
      </w:pPr>
    </w:p>
    <w:p>
      <w:pPr>
        <w:ind w:right="2559"/>
        <w:spacing w:after="0" w:line="244" w:lineRule="auto"/>
        <w:rPr>
          <w:sz w:val="20"/>
          <w:szCs w:val="20"/>
          <w:color w:val="auto"/>
        </w:rPr>
      </w:pPr>
      <w:r>
        <w:rPr>
          <w:rFonts w:ascii="Courier New" w:cs="Courier New" w:eastAsia="Courier New" w:hAnsi="Courier New"/>
          <w:sz w:val="17"/>
          <w:szCs w:val="17"/>
          <w:color w:val="auto"/>
        </w:rPr>
        <w:t>TI's backlog of unfilled orders as of September 30, 1994, was $4162 million, up $231 million from the end of last year's third quarter. Backlog increased in all businesses except defense electronics and information technology, which were unchanged. Backlog is up $357 million from year-end 1993 because of increases in semiconductors and defense electronics, and up $352 million from the end of the second quarter of 1994, primarily because of higher backlog in defense electronics.</w:t>
      </w:r>
    </w:p>
    <w:p>
      <w:pPr>
        <w:spacing w:after="0" w:line="199" w:lineRule="exact"/>
        <w:rPr>
          <w:sz w:val="20"/>
          <w:szCs w:val="20"/>
          <w:color w:val="auto"/>
        </w:rPr>
      </w:pPr>
    </w:p>
    <w:p>
      <w:pPr>
        <w:ind w:right="2659"/>
        <w:spacing w:after="0" w:line="244" w:lineRule="auto"/>
        <w:rPr>
          <w:sz w:val="20"/>
          <w:szCs w:val="20"/>
          <w:color w:val="auto"/>
        </w:rPr>
      </w:pPr>
      <w:r>
        <w:rPr>
          <w:rFonts w:ascii="Courier New" w:cs="Courier New" w:eastAsia="Courier New" w:hAnsi="Courier New"/>
          <w:sz w:val="17"/>
          <w:szCs w:val="17"/>
          <w:color w:val="auto"/>
        </w:rPr>
        <w:t>TI-funded research and development (R&amp;D) expense was $168 million in the third quarter of 1994, compared with $150 million in the same period of 1993. For the first nine months of 1994, TI-funded R&amp;D was $499 million, compared with $421 million for the first nine months of 1993. The increases were driven primarily by investments in semiconductors and digital imaging.</w:t>
      </w:r>
    </w:p>
    <w:p>
      <w:pPr>
        <w:spacing w:after="0" w:line="199" w:lineRule="exact"/>
        <w:rPr>
          <w:sz w:val="20"/>
          <w:szCs w:val="20"/>
          <w:color w:val="auto"/>
        </w:rPr>
      </w:pPr>
    </w:p>
    <w:p>
      <w:pPr>
        <w:jc w:val="both"/>
        <w:ind w:right="2359"/>
        <w:spacing w:after="0" w:line="244" w:lineRule="auto"/>
        <w:rPr>
          <w:sz w:val="20"/>
          <w:szCs w:val="20"/>
          <w:color w:val="auto"/>
        </w:rPr>
      </w:pPr>
      <w:r>
        <w:rPr>
          <w:rFonts w:ascii="Courier New" w:cs="Courier New" w:eastAsia="Courier New" w:hAnsi="Courier New"/>
          <w:sz w:val="17"/>
          <w:szCs w:val="17"/>
          <w:color w:val="auto"/>
        </w:rPr>
        <w:t>Capital expenditures in the third quarter of this year were $297 million, compared with $186 million in the third quarter of 1993, and $756 million for the first nine months of 1994, compared with $512 million in the first nine months of 1993. Capital expenditures for 1994 are now projected to be more than $1 billion.</w:t>
      </w:r>
    </w:p>
    <w:p>
      <w:pPr>
        <w:spacing w:after="0" w:line="198"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Depreciation in the third quarter of 1994 was $170 million, compared with $157 million in the third quarter of 1993, and $486 million for the first nine months of 1994, compared with $450 million in the same period of 1993.</w:t>
      </w:r>
    </w:p>
    <w:p>
      <w:pPr>
        <w:sectPr>
          <w:pgSz w:w="11900" w:h="16838" w:orient="portrait"/>
          <w:cols w:equalWidth="0" w:num="1">
            <w:col w:w="10019"/>
          </w:cols>
          <w:pgMar w:left="440" w:top="142" w:right="1440" w:bottom="1028" w:gutter="0" w:footer="0" w:header="0"/>
        </w:sectPr>
      </w:pPr>
    </w:p>
    <w:bookmarkStart w:id="8" w:name="page9"/>
    <w:bookmarkEnd w:id="8"/>
    <w:p>
      <w:pPr>
        <w:ind w:left="24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730" w:right="1440" w:bottom="1440" w:gutter="0" w:footer="0" w:header="0"/>
        </w:sectPr>
      </w:pPr>
    </w:p>
    <w:bookmarkStart w:id="9" w:name="page10"/>
    <w:bookmarkEnd w:id="9"/>
    <w:p>
      <w:pPr>
        <w:ind w:left="2160"/>
        <w:spacing w:after="0"/>
        <w:rPr>
          <w:sz w:val="20"/>
          <w:szCs w:val="20"/>
          <w:color w:val="auto"/>
        </w:rPr>
      </w:pPr>
      <w:r>
        <w:rPr>
          <w:rFonts w:ascii="Courier New" w:cs="Courier New" w:eastAsia="Courier New" w:hAnsi="Courier New"/>
          <w:sz w:val="17"/>
          <w:szCs w:val="17"/>
          <w:color w:val="auto"/>
        </w:rPr>
        <w:t>PART II - OTHER INFORMATION</w:t>
      </w:r>
    </w:p>
    <w:p>
      <w:pPr>
        <w:spacing w:after="0" w:line="3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1.</w:t>
        <w:tab/>
        <w:t>Legal Proceedings.</w:t>
      </w:r>
    </w:p>
    <w:p>
      <w:pPr>
        <w:spacing w:after="0" w:line="201" w:lineRule="exact"/>
        <w:rPr>
          <w:sz w:val="20"/>
          <w:szCs w:val="20"/>
          <w:color w:val="auto"/>
        </w:rPr>
      </w:pPr>
    </w:p>
    <w:p>
      <w:pPr>
        <w:ind w:right="2459" w:firstLine="1020"/>
        <w:spacing w:after="0" w:line="244" w:lineRule="auto"/>
        <w:rPr>
          <w:sz w:val="20"/>
          <w:szCs w:val="20"/>
          <w:color w:val="auto"/>
        </w:rPr>
      </w:pPr>
      <w:r>
        <w:rPr>
          <w:rFonts w:ascii="Courier New" w:cs="Courier New" w:eastAsia="Courier New" w:hAnsi="Courier New"/>
          <w:sz w:val="17"/>
          <w:szCs w:val="17"/>
          <w:color w:val="auto"/>
        </w:rPr>
        <w:t>In connection with the Registrant's lawsuit against Fujitsu Limited ("Fijitsu") discussed in Items 3 and 7 of the Registrant's Annual Report on Form 10-K for the year ended December 31, 1993, the Tokyo District Court on August 31, 1994 ruled that Fujitsu's production of 1-megabit and 4-megabit DRAM and 32K EPROMs does not infringe the Registrant's Japanese patent on the invention of the integrated circuit (the "Kilby" patent). The Registrant is appealing the court's decision to the Tokyo High Court.</w:t>
      </w:r>
    </w:p>
    <w:p>
      <w:pPr>
        <w:spacing w:after="0" w:line="39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tab/>
        <w:t>Exhibits and Reports on Form 8-K.</w:t>
      </w:r>
    </w:p>
    <w:p>
      <w:pPr>
        <w:spacing w:after="0" w:line="201" w:lineRule="exact"/>
        <w:rPr>
          <w:sz w:val="20"/>
          <w:szCs w:val="20"/>
          <w:color w:val="auto"/>
        </w:rPr>
      </w:pPr>
    </w:p>
    <w:p>
      <w:pPr>
        <w:ind w:left="1540" w:right="7059" w:hanging="511"/>
        <w:spacing w:after="0" w:line="389" w:lineRule="auto"/>
        <w:tabs>
          <w:tab w:leader="none" w:pos="1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Designation of</w:t>
      </w:r>
    </w:p>
    <w:p>
      <w:pPr>
        <w:sectPr>
          <w:pgSz w:w="11900" w:h="16838" w:orient="portrait"/>
          <w:cols w:equalWidth="0" w:num="1">
            <w:col w:w="10019"/>
          </w:cols>
          <w:pgMar w:left="440" w:top="507" w:right="1440" w:bottom="1440" w:gutter="0" w:footer="0" w:header="0"/>
        </w:sectPr>
      </w:pPr>
    </w:p>
    <w:p>
      <w:pPr>
        <w:ind w:left="1740"/>
        <w:spacing w:after="0"/>
        <w:rPr>
          <w:sz w:val="20"/>
          <w:szCs w:val="20"/>
          <w:color w:val="auto"/>
        </w:rPr>
      </w:pPr>
      <w:r>
        <w:rPr>
          <w:rFonts w:ascii="Courier New" w:cs="Courier New" w:eastAsia="Courier New" w:hAnsi="Courier New"/>
          <w:sz w:val="17"/>
          <w:szCs w:val="17"/>
          <w:color w:val="auto"/>
        </w:rPr>
        <w:t>Exhibits in</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this Report</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Description of 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2960" w:space="620"/>
            <w:col w:w="6439"/>
          </w:cols>
          <w:pgMar w:left="440" w:top="507" w:right="1440" w:bottom="1440" w:gutter="0" w:footer="0" w:header="0"/>
          <w:type w:val="continuous"/>
        </w:sectPr>
      </w:pPr>
    </w:p>
    <w:p>
      <w:pPr>
        <w:spacing w:after="0" w:line="1" w:lineRule="exact"/>
        <w:rPr>
          <w:sz w:val="20"/>
          <w:szCs w:val="20"/>
          <w:color w:val="auto"/>
        </w:rPr>
      </w:pPr>
    </w:p>
    <w:p>
      <w:pPr>
        <w:ind w:left="3580" w:right="3779" w:hanging="1531"/>
        <w:spacing w:after="0" w:line="244" w:lineRule="auto"/>
        <w:tabs>
          <w:tab w:leader="none" w:pos="35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primary and fully diluted earnings per common and common equiv-alent share.</w:t>
      </w:r>
    </w:p>
    <w:p>
      <w:pPr>
        <w:spacing w:after="0" w:line="197" w:lineRule="exact"/>
        <w:rPr>
          <w:rFonts w:ascii="Courier New" w:cs="Courier New" w:eastAsia="Courier New" w:hAnsi="Courier New"/>
          <w:sz w:val="17"/>
          <w:szCs w:val="17"/>
          <w:color w:val="auto"/>
        </w:rPr>
      </w:pPr>
    </w:p>
    <w:p>
      <w:pPr>
        <w:ind w:left="3580" w:right="3479" w:hanging="1531"/>
        <w:spacing w:after="0" w:line="244" w:lineRule="auto"/>
        <w:tabs>
          <w:tab w:leader="none" w:pos="358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w:t>
      </w:r>
    </w:p>
    <w:p>
      <w:pPr>
        <w:spacing w:after="0" w:line="197" w:lineRule="exact"/>
        <w:rPr>
          <w:sz w:val="20"/>
          <w:szCs w:val="20"/>
          <w:color w:val="auto"/>
        </w:rPr>
      </w:pPr>
    </w:p>
    <w:p>
      <w:pPr>
        <w:ind w:left="3580" w:hanging="1531"/>
        <w:spacing w:after="0"/>
        <w:tabs>
          <w:tab w:leader="none" w:pos="358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spacing w:after="0" w:line="396" w:lineRule="exact"/>
        <w:rPr>
          <w:rFonts w:ascii="Courier New" w:cs="Courier New" w:eastAsia="Courier New" w:hAnsi="Courier New"/>
          <w:sz w:val="17"/>
          <w:szCs w:val="17"/>
          <w:color w:val="auto"/>
        </w:rPr>
      </w:pPr>
    </w:p>
    <w:p>
      <w:pPr>
        <w:ind w:left="1540" w:hanging="511"/>
        <w:spacing w:after="0"/>
        <w:tabs>
          <w:tab w:leader="none" w:pos="15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8-K</w:t>
      </w:r>
    </w:p>
    <w:p>
      <w:pPr>
        <w:spacing w:after="0" w:line="199" w:lineRule="exact"/>
        <w:rPr>
          <w:rFonts w:ascii="Courier New" w:cs="Courier New" w:eastAsia="Courier New" w:hAnsi="Courier New"/>
          <w:sz w:val="17"/>
          <w:szCs w:val="17"/>
          <w:color w:val="auto"/>
        </w:rPr>
      </w:pPr>
    </w:p>
    <w:p>
      <w:pPr>
        <w:ind w:left="1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 filed with the Securities and Exchange</w:t>
      </w:r>
    </w:p>
    <w:p>
      <w:pPr>
        <w:spacing w:after="0" w:line="5" w:lineRule="exact"/>
        <w:rPr>
          <w:sz w:val="20"/>
          <w:szCs w:val="20"/>
          <w:color w:val="auto"/>
        </w:rPr>
      </w:pPr>
    </w:p>
    <w:p>
      <w:pPr>
        <w:jc w:val="both"/>
        <w:ind w:right="2559"/>
        <w:spacing w:after="0" w:line="243" w:lineRule="auto"/>
        <w:rPr>
          <w:sz w:val="20"/>
          <w:szCs w:val="20"/>
          <w:color w:val="auto"/>
        </w:rPr>
      </w:pPr>
      <w:r>
        <w:rPr>
          <w:rFonts w:ascii="Courier New" w:cs="Courier New" w:eastAsia="Courier New" w:hAnsi="Courier New"/>
          <w:sz w:val="17"/>
          <w:szCs w:val="17"/>
          <w:color w:val="auto"/>
        </w:rPr>
        <w:t>Commission during the quarter ended September 30, 1994, a Form 8-K dated August 31, 1994, which included a news release regarding the Registrant's patent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019"/>
          </w:cols>
          <w:pgMar w:left="440" w:top="507" w:right="1440" w:bottom="1440" w:gutter="0" w:footer="0" w:header="0"/>
          <w:type w:val="continuous"/>
        </w:sectPr>
      </w:pPr>
    </w:p>
    <w:bookmarkStart w:id="10" w:name="page11"/>
    <w:bookmarkEnd w:id="10"/>
    <w:p>
      <w:pPr>
        <w:jc w:val="center"/>
        <w:ind w:right="2979"/>
        <w:spacing w:after="0"/>
        <w:rPr>
          <w:sz w:val="20"/>
          <w:szCs w:val="20"/>
          <w:color w:val="auto"/>
        </w:rPr>
      </w:pPr>
      <w:r>
        <w:rPr>
          <w:rFonts w:ascii="Courier New" w:cs="Courier New" w:eastAsia="Courier New" w:hAnsi="Courier New"/>
          <w:sz w:val="17"/>
          <w:szCs w:val="17"/>
          <w:color w:val="auto"/>
        </w:rPr>
        <w:t>SIGNATURE</w:t>
      </w:r>
    </w:p>
    <w:p>
      <w:pPr>
        <w:spacing w:after="0" w:line="201" w:lineRule="exact"/>
        <w:rPr>
          <w:sz w:val="20"/>
          <w:szCs w:val="20"/>
          <w:color w:val="auto"/>
        </w:rPr>
      </w:pPr>
    </w:p>
    <w:p>
      <w:pPr>
        <w:ind w:right="2659" w:firstLine="102"/>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TEXAS INSTRUMENTS INCORPORATED</w:t>
      </w:r>
    </w:p>
    <w:p>
      <w:pPr>
        <w:spacing w:after="0" w:line="210"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WILLIAM A. AYLESWORTH</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Senior Vice President,</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Treasurer and</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Chief Financial Officer</w:t>
      </w:r>
    </w:p>
    <w:p>
      <w:pPr>
        <w:spacing w:after="0" w:line="200"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tab/>
        <w:t>October 17,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019"/>
          </w:cols>
          <w:pgMar w:left="440" w:top="703" w:right="1440" w:bottom="1440" w:gutter="0" w:footer="0" w:header="0"/>
        </w:sectPr>
      </w:pPr>
    </w:p>
    <w:bookmarkStart w:id="11" w:name="page12"/>
    <w:bookmarkEnd w:id="11"/>
    <w:p>
      <w:pPr>
        <w:ind w:left="2860"/>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10620"/>
          </w:cols>
          <w:pgMar w:left="440" w:top="1096" w:right="839" w:bottom="1440" w:gutter="0" w:footer="0" w:header="0"/>
        </w:sectPr>
      </w:pP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Designation of</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Paper (P)</w:t>
      </w:r>
    </w:p>
    <w:p>
      <w:pPr>
        <w:spacing w:after="0" w:line="4" w:lineRule="exact"/>
        <w:rPr>
          <w:sz w:val="20"/>
          <w:szCs w:val="20"/>
          <w:color w:val="auto"/>
        </w:rPr>
      </w:pPr>
    </w:p>
    <w:p>
      <w:pPr>
        <w:sectPr>
          <w:pgSz w:w="11900" w:h="16838" w:orient="portrait"/>
          <w:cols w:equalWidth="0" w:num="2">
            <w:col w:w="8980" w:space="720"/>
            <w:col w:w="920"/>
          </w:cols>
          <w:pgMar w:left="440" w:top="1096" w:right="839" w:bottom="1440" w:gutter="0" w:footer="0" w:header="0"/>
          <w:type w:val="continuous"/>
        </w:sectPr>
      </w:pPr>
    </w:p>
    <w:p>
      <w:pPr>
        <w:spacing w:after="0" w:line="1" w:lineRule="exact"/>
        <w:rPr>
          <w:sz w:val="20"/>
          <w:szCs w:val="20"/>
          <w:color w:val="auto"/>
        </w:rPr>
      </w:pPr>
    </w:p>
    <w:p>
      <w:pPr>
        <w:ind w:right="400" w:firstLine="102"/>
        <w:spacing w:after="0" w:line="243" w:lineRule="auto"/>
        <w:rPr>
          <w:sz w:val="20"/>
          <w:szCs w:val="20"/>
          <w:color w:val="auto"/>
        </w:rPr>
      </w:pPr>
      <w:r>
        <w:rPr>
          <w:rFonts w:ascii="Courier New" w:cs="Courier New" w:eastAsia="Courier New" w:hAnsi="Courier New"/>
          <w:sz w:val="17"/>
          <w:szCs w:val="17"/>
          <w:color w:val="auto"/>
        </w:rPr>
        <w:t>Exhibits in this Report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00"/>
        <w:spacing w:after="0" w:line="273" w:lineRule="auto"/>
        <w:rPr>
          <w:sz w:val="20"/>
          <w:szCs w:val="20"/>
          <w:color w:val="auto"/>
        </w:rPr>
      </w:pPr>
      <w:r>
        <w:rPr>
          <w:rFonts w:ascii="Courier New" w:cs="Courier New" w:eastAsia="Courier New" w:hAnsi="Courier New"/>
          <w:sz w:val="16"/>
          <w:szCs w:val="16"/>
          <w:color w:val="auto"/>
        </w:rPr>
        <w:t>Description of Exhibit -----------------------</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7"/>
          <w:szCs w:val="17"/>
          <w:color w:val="auto"/>
        </w:rPr>
        <w: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Electronic (E)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24" w:lineRule="exact"/>
        <w:rPr>
          <w:sz w:val="20"/>
          <w:szCs w:val="20"/>
          <w:color w:val="auto"/>
        </w:rPr>
      </w:pPr>
    </w:p>
    <w:p>
      <w:pPr>
        <w:sectPr>
          <w:pgSz w:w="11900" w:h="16838" w:orient="portrait"/>
          <w:cols w:equalWidth="0" w:num="3">
            <w:col w:w="2040" w:space="720"/>
            <w:col w:w="2540" w:space="720"/>
            <w:col w:w="4600"/>
          </w:cols>
          <w:pgMar w:left="440" w:top="1096" w:right="839" w:bottom="1440" w:gutter="0" w:footer="0" w:header="0"/>
          <w:type w:val="continuous"/>
        </w:sectPr>
      </w:pP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11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Computation of primary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fully diluted earnings per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and common equiv-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alent share.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w:t>
      </w:r>
    </w:p>
    <w:p>
      <w:pPr>
        <w:spacing w:after="0" w:line="798" w:lineRule="exact"/>
        <w:rPr>
          <w:sz w:val="20"/>
          <w:szCs w:val="20"/>
          <w:color w:val="auto"/>
        </w:rPr>
      </w:pPr>
    </w:p>
    <w:p>
      <w:pPr>
        <w:sectPr>
          <w:pgSz w:w="11900" w:h="16838" w:orient="portrait"/>
          <w:cols w:equalWidth="0" w:num="3">
            <w:col w:w="1940" w:space="720"/>
            <w:col w:w="3160" w:space="720"/>
            <w:col w:w="4080"/>
          </w:cols>
          <w:pgMar w:left="440" w:top="1096" w:right="839" w:bottom="1440" w:gutter="0" w:footer="0" w:header="0"/>
          <w:type w:val="continuous"/>
        </w:sectPr>
      </w:pP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12</w:t>
      </w:r>
    </w:p>
    <w:p>
      <w:pPr>
        <w:spacing w:after="0" w:line="20" w:lineRule="exact"/>
        <w:rPr>
          <w:sz w:val="20"/>
          <w:szCs w:val="20"/>
          <w:color w:val="auto"/>
        </w:rPr>
      </w:pPr>
      <w:r>
        <w:rPr>
          <w:sz w:val="20"/>
          <w:szCs w:val="20"/>
          <w:color w:val="auto"/>
        </w:rPr>
        <w:br w:type="column"/>
      </w:r>
    </w:p>
    <w:p>
      <w:pPr>
        <w:ind w:right="200"/>
        <w:spacing w:after="0" w:line="244" w:lineRule="auto"/>
        <w:rPr>
          <w:sz w:val="20"/>
          <w:szCs w:val="20"/>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pacing w:after="0" w:line="995" w:lineRule="exact"/>
        <w:rPr>
          <w:sz w:val="20"/>
          <w:szCs w:val="20"/>
          <w:color w:val="auto"/>
        </w:rPr>
      </w:pPr>
    </w:p>
    <w:p>
      <w:pPr>
        <w:sectPr>
          <w:pgSz w:w="11900" w:h="16838" w:orient="portrait"/>
          <w:cols w:equalWidth="0" w:num="3">
            <w:col w:w="1940" w:space="720"/>
            <w:col w:w="3160" w:space="720"/>
            <w:col w:w="4080"/>
          </w:cols>
          <w:pgMar w:left="440" w:top="1096" w:right="839" w:bottom="144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ectPr>
          <w:pgSz w:w="11900" w:h="16838" w:orient="portrait"/>
          <w:cols w:equalWidth="0" w:num="3">
            <w:col w:w="1940" w:space="720"/>
            <w:col w:w="3160" w:space="720"/>
            <w:col w:w="4080"/>
          </w:cols>
          <w:pgMar w:left="440" w:top="1096" w:right="8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93"/>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400"/>
              <w:spacing w:after="0"/>
              <w:rPr>
                <w:sz w:val="20"/>
                <w:szCs w:val="20"/>
                <w:color w:val="auto"/>
              </w:rPr>
            </w:pPr>
            <w:r>
              <w:rPr>
                <w:rFonts w:ascii="Courier New" w:cs="Courier New" w:eastAsia="Courier New" w:hAnsi="Courier New"/>
                <w:sz w:val="17"/>
                <w:szCs w:val="17"/>
                <w:color w:val="auto"/>
              </w:rPr>
              <w:t>EXHIBIT</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w w:val="87"/>
              </w:rPr>
              <w:t>11</w:t>
            </w: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6"/>
        </w:trPr>
        <w:tc>
          <w:tcPr>
            <w:tcW w:w="6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7"/>
              </w:rPr>
              <w:t>----------</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785"/>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7860" w:type="dxa"/>
            <w:vAlign w:val="bottom"/>
            <w:gridSpan w:val="4"/>
          </w:tcPr>
          <w:p>
            <w:pPr>
              <w:ind w:left="320"/>
              <w:spacing w:after="0"/>
              <w:rPr>
                <w:sz w:val="20"/>
                <w:szCs w:val="20"/>
                <w:color w:val="auto"/>
              </w:rPr>
            </w:pPr>
            <w:r>
              <w:rPr>
                <w:rFonts w:ascii="Courier New" w:cs="Courier New" w:eastAsia="Courier New" w:hAnsi="Courier New"/>
                <w:sz w:val="17"/>
                <w:szCs w:val="17"/>
                <w:color w:val="auto"/>
              </w:rPr>
              <w:t>PRIMARY AND FULLY DILUTED EARNINGS PER COMMON AND COMMON EQUIVALENT SHARE</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6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 thousands, except per-share amounts.)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785"/>
        </w:trPr>
        <w:tc>
          <w:tcPr>
            <w:tcW w:w="6340" w:type="dxa"/>
            <w:vAlign w:val="bottom"/>
          </w:tcPr>
          <w:p>
            <w:pPr>
              <w:spacing w:after="0"/>
              <w:rPr>
                <w:sz w:val="24"/>
                <w:szCs w:val="24"/>
                <w:color w:val="auto"/>
              </w:rPr>
            </w:pPr>
          </w:p>
        </w:tc>
        <w:tc>
          <w:tcPr>
            <w:tcW w:w="2480" w:type="dxa"/>
            <w:vAlign w:val="bottom"/>
            <w:gridSpan w:val="4"/>
          </w:tcPr>
          <w:p>
            <w:pPr>
              <w:spacing w:after="0"/>
              <w:rPr>
                <w:sz w:val="20"/>
                <w:szCs w:val="20"/>
                <w:color w:val="auto"/>
              </w:rPr>
            </w:pPr>
            <w:r>
              <w:rPr>
                <w:rFonts w:ascii="Courier New" w:cs="Courier New" w:eastAsia="Courier New" w:hAnsi="Courier New"/>
                <w:sz w:val="17"/>
                <w:szCs w:val="17"/>
                <w:color w:val="auto"/>
              </w:rPr>
              <w:t>For Three Months Ended</w:t>
            </w:r>
          </w:p>
        </w:tc>
        <w:tc>
          <w:tcPr>
            <w:tcW w:w="2500" w:type="dxa"/>
            <w:vAlign w:val="bottom"/>
            <w:gridSpan w:val="4"/>
          </w:tcPr>
          <w:p>
            <w:pPr>
              <w:ind w:left="260"/>
              <w:spacing w:after="0"/>
              <w:rPr>
                <w:sz w:val="20"/>
                <w:szCs w:val="20"/>
                <w:color w:val="auto"/>
              </w:rPr>
            </w:pPr>
            <w:r>
              <w:rPr>
                <w:rFonts w:ascii="Courier New" w:cs="Courier New" w:eastAsia="Courier New" w:hAnsi="Courier New"/>
                <w:sz w:val="17"/>
                <w:szCs w:val="17"/>
                <w:color w:val="auto"/>
              </w:rPr>
              <w:t>For Nine Months Ended</w:t>
            </w:r>
          </w:p>
        </w:tc>
      </w:tr>
      <w:tr>
        <w:trPr>
          <w:trHeight w:val="196"/>
        </w:trPr>
        <w:tc>
          <w:tcPr>
            <w:tcW w:w="634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Courier New" w:cs="Courier New" w:eastAsia="Courier New" w:hAnsi="Courier New"/>
                <w:sz w:val="13"/>
                <w:szCs w:val="13"/>
                <w:color w:val="auto"/>
                <w:w w:val="72"/>
              </w:rPr>
              <w:t>----------------------</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00" w:type="dxa"/>
            <w:vAlign w:val="bottom"/>
            <w:gridSpan w:val="4"/>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Courier New" w:cs="Courier New" w:eastAsia="Courier New" w:hAnsi="Courier New"/>
                <w:sz w:val="17"/>
                <w:szCs w:val="17"/>
                <w:color w:val="auto"/>
              </w:rPr>
              <w:t>Sept 30</w:t>
            </w:r>
          </w:p>
        </w:tc>
        <w:tc>
          <w:tcPr>
            <w:tcW w:w="1220" w:type="dxa"/>
            <w:vAlign w:val="bottom"/>
            <w:gridSpan w:val="2"/>
          </w:tcPr>
          <w:p>
            <w:pPr>
              <w:jc w:val="right"/>
              <w:ind w:right="355"/>
              <w:spacing w:after="0"/>
              <w:rPr>
                <w:sz w:val="20"/>
                <w:szCs w:val="20"/>
                <w:color w:val="auto"/>
              </w:rPr>
            </w:pPr>
            <w:r>
              <w:rPr>
                <w:rFonts w:ascii="Courier New" w:cs="Courier New" w:eastAsia="Courier New" w:hAnsi="Courier New"/>
                <w:sz w:val="17"/>
                <w:szCs w:val="17"/>
                <w:color w:val="auto"/>
              </w:rPr>
              <w:t>Sept 30</w:t>
            </w:r>
          </w:p>
        </w:tc>
        <w:tc>
          <w:tcPr>
            <w:tcW w:w="134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Sept 30</w:t>
            </w:r>
          </w:p>
        </w:tc>
        <w:tc>
          <w:tcPr>
            <w:tcW w:w="11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Sept 30</w:t>
            </w:r>
          </w:p>
        </w:tc>
      </w:tr>
      <w:tr>
        <w:trPr>
          <w:trHeight w:val="196"/>
        </w:trPr>
        <w:tc>
          <w:tcPr>
            <w:tcW w:w="6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1994</w:t>
            </w:r>
          </w:p>
        </w:tc>
        <w:tc>
          <w:tcPr>
            <w:tcW w:w="260" w:type="dxa"/>
            <w:vAlign w:val="bottom"/>
          </w:tcPr>
          <w:p>
            <w:pPr>
              <w:spacing w:after="0"/>
              <w:rPr>
                <w:sz w:val="17"/>
                <w:szCs w:val="17"/>
                <w:color w:val="auto"/>
              </w:rPr>
            </w:pPr>
          </w:p>
        </w:tc>
        <w:tc>
          <w:tcPr>
            <w:tcW w:w="960" w:type="dxa"/>
            <w:vAlign w:val="bottom"/>
          </w:tcPr>
          <w:p>
            <w:pPr>
              <w:jc w:val="right"/>
              <w:ind w:right="475"/>
              <w:spacing w:after="0"/>
              <w:rPr>
                <w:sz w:val="20"/>
                <w:szCs w:val="20"/>
                <w:color w:val="auto"/>
              </w:rPr>
            </w:pPr>
            <w:r>
              <w:rPr>
                <w:rFonts w:ascii="Courier New" w:cs="Courier New" w:eastAsia="Courier New" w:hAnsi="Courier New"/>
                <w:sz w:val="17"/>
                <w:szCs w:val="17"/>
                <w:color w:val="auto"/>
                <w:w w:val="93"/>
              </w:rPr>
              <w:t>1993</w:t>
            </w:r>
          </w:p>
        </w:tc>
        <w:tc>
          <w:tcPr>
            <w:tcW w:w="360" w:type="dxa"/>
            <w:vAlign w:val="bottom"/>
          </w:tcPr>
          <w:p>
            <w:pPr>
              <w:spacing w:after="0"/>
              <w:rPr>
                <w:sz w:val="17"/>
                <w:szCs w:val="17"/>
                <w:color w:val="auto"/>
              </w:rPr>
            </w:pPr>
          </w:p>
        </w:tc>
        <w:tc>
          <w:tcPr>
            <w:tcW w:w="9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1994</w:t>
            </w:r>
          </w:p>
        </w:tc>
        <w:tc>
          <w:tcPr>
            <w:tcW w:w="360" w:type="dxa"/>
            <w:vAlign w:val="bottom"/>
          </w:tcPr>
          <w:p>
            <w:pPr>
              <w:spacing w:after="0"/>
              <w:rPr>
                <w:sz w:val="17"/>
                <w:szCs w:val="17"/>
                <w:color w:val="auto"/>
              </w:rPr>
            </w:pPr>
          </w:p>
        </w:tc>
        <w:tc>
          <w:tcPr>
            <w:tcW w:w="8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1993</w:t>
            </w:r>
          </w:p>
        </w:tc>
      </w:tr>
      <w:tr>
        <w:trPr>
          <w:trHeight w:val="196"/>
        </w:trPr>
        <w:tc>
          <w:tcPr>
            <w:tcW w:w="6340" w:type="dxa"/>
            <w:vAlign w:val="bottom"/>
          </w:tcPr>
          <w:p>
            <w:pPr>
              <w:spacing w:after="0"/>
              <w:rPr>
                <w:sz w:val="17"/>
                <w:szCs w:val="17"/>
                <w:color w:val="auto"/>
              </w:rPr>
            </w:pPr>
          </w:p>
        </w:tc>
        <w:tc>
          <w:tcPr>
            <w:tcW w:w="126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w w:val="95"/>
              </w:rPr>
              <w:t>--------</w:t>
            </w:r>
          </w:p>
        </w:tc>
        <w:tc>
          <w:tcPr>
            <w:tcW w:w="12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126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w w:val="95"/>
              </w:rPr>
              <w:t>$185,652</w:t>
            </w:r>
          </w:p>
        </w:tc>
        <w:tc>
          <w:tcPr>
            <w:tcW w:w="12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$146,224</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$503,292</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$342,644</w:t>
            </w:r>
          </w:p>
        </w:tc>
      </w:tr>
      <w:tr>
        <w:trPr>
          <w:trHeight w:val="196"/>
        </w:trPr>
        <w:tc>
          <w:tcPr>
            <w:tcW w:w="6340" w:type="dxa"/>
            <w:vAlign w:val="bottom"/>
          </w:tcPr>
          <w:p>
            <w:pPr>
              <w:ind w:left="200"/>
              <w:spacing w:after="0"/>
              <w:rPr>
                <w:sz w:val="20"/>
                <w:szCs w:val="20"/>
                <w:color w:val="auto"/>
              </w:rPr>
            </w:pPr>
            <w:r>
              <w:rPr>
                <w:rFonts w:ascii="Courier New" w:cs="Courier New" w:eastAsia="Courier New" w:hAnsi="Courier New"/>
                <w:sz w:val="17"/>
                <w:szCs w:val="17"/>
                <w:color w:val="auto"/>
              </w:rPr>
              <w:t>Less preferred dividends accrued: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Market auction preferred...............................</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(593)</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(1,839)</w:t>
            </w: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Money market preferred.................................</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(588)</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(1,909)</w:t>
            </w: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Series A conversion preferred..........................</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w w:val="97"/>
              </w:rPr>
              <w:t>(3,654)</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(16,097)</w:t>
            </w:r>
          </w:p>
        </w:tc>
      </w:tr>
      <w:tr>
        <w:trPr>
          <w:trHeight w:val="196"/>
        </w:trPr>
        <w:tc>
          <w:tcPr>
            <w:tcW w:w="6340" w:type="dxa"/>
            <w:vAlign w:val="bottom"/>
          </w:tcPr>
          <w:p>
            <w:pPr>
              <w:ind w:left="200"/>
              <w:spacing w:after="0"/>
              <w:rPr>
                <w:sz w:val="20"/>
                <w:szCs w:val="20"/>
                <w:color w:val="auto"/>
              </w:rPr>
            </w:pPr>
            <w:r>
              <w:rPr>
                <w:rFonts w:ascii="Courier New" w:cs="Courier New" w:eastAsia="Courier New" w:hAnsi="Courier New"/>
                <w:sz w:val="17"/>
                <w:szCs w:val="17"/>
                <w:color w:val="auto"/>
              </w:rPr>
              <w:t>Add: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Dividends on series A conversion preferred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shares assumed converted.............................</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3,654</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16,097</w:t>
            </w:r>
          </w:p>
        </w:tc>
      </w:tr>
      <w:tr>
        <w:trPr>
          <w:trHeight w:val="196"/>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Interest, net of tax and profit sharing effect, on</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convertible debentures assumed converted.............</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666</w:t>
            </w:r>
          </w:p>
        </w:tc>
        <w:tc>
          <w:tcPr>
            <w:tcW w:w="260" w:type="dxa"/>
            <w:vAlign w:val="bottom"/>
          </w:tcPr>
          <w:p>
            <w:pPr>
              <w:spacing w:after="0"/>
              <w:rPr>
                <w:sz w:val="17"/>
                <w:szCs w:val="17"/>
                <w:color w:val="auto"/>
              </w:rPr>
            </w:pP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676</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1,995</w:t>
            </w:r>
          </w:p>
        </w:tc>
        <w:tc>
          <w:tcPr>
            <w:tcW w:w="3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2,005</w:t>
            </w:r>
          </w:p>
        </w:tc>
      </w:tr>
      <w:tr>
        <w:trPr>
          <w:trHeight w:val="196"/>
        </w:trPr>
        <w:tc>
          <w:tcPr>
            <w:tcW w:w="6340" w:type="dxa"/>
            <w:vAlign w:val="bottom"/>
          </w:tcPr>
          <w:p>
            <w:pPr>
              <w:spacing w:after="0"/>
              <w:rPr>
                <w:sz w:val="17"/>
                <w:szCs w:val="17"/>
                <w:color w:val="auto"/>
              </w:rPr>
            </w:pPr>
          </w:p>
        </w:tc>
        <w:tc>
          <w:tcPr>
            <w:tcW w:w="126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w w:val="95"/>
              </w:rPr>
              <w:t>--------</w:t>
            </w:r>
          </w:p>
        </w:tc>
        <w:tc>
          <w:tcPr>
            <w:tcW w:w="12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Adjusted income before cumulative effect</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of accounting changes....................................</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5"/>
              </w:rPr>
              <w:t>186,318</w:t>
            </w:r>
          </w:p>
        </w:tc>
        <w:tc>
          <w:tcPr>
            <w:tcW w:w="12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145,719</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7"/>
              </w:rPr>
              <w:t>505,287</w:t>
            </w:r>
          </w:p>
        </w:tc>
        <w:tc>
          <w:tcPr>
            <w:tcW w:w="3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5"/>
              </w:rPr>
              <w:t>340,901</w:t>
            </w: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w w:val="99"/>
              </w:rPr>
              <w:t>Cumulative effect of accounting changes....................</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(4,173)</w:t>
            </w:r>
          </w:p>
        </w:tc>
      </w:tr>
      <w:tr>
        <w:trPr>
          <w:trHeight w:val="196"/>
        </w:trPr>
        <w:tc>
          <w:tcPr>
            <w:tcW w:w="6340" w:type="dxa"/>
            <w:vAlign w:val="bottom"/>
          </w:tcPr>
          <w:p>
            <w:pPr>
              <w:spacing w:after="0"/>
              <w:rPr>
                <w:sz w:val="17"/>
                <w:szCs w:val="17"/>
                <w:color w:val="auto"/>
              </w:rPr>
            </w:pPr>
          </w:p>
        </w:tc>
        <w:tc>
          <w:tcPr>
            <w:tcW w:w="126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w w:val="95"/>
              </w:rPr>
              <w:t>--------</w:t>
            </w:r>
          </w:p>
        </w:tc>
        <w:tc>
          <w:tcPr>
            <w:tcW w:w="12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w w:val="99"/>
              </w:rPr>
              <w:t>Adjusted net income........................................</w:t>
            </w:r>
          </w:p>
        </w:tc>
        <w:tc>
          <w:tcPr>
            <w:tcW w:w="126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w w:val="95"/>
              </w:rPr>
              <w:t>$186,318</w:t>
            </w:r>
          </w:p>
        </w:tc>
        <w:tc>
          <w:tcPr>
            <w:tcW w:w="12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$145,719</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$505,287</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$336,728</w:t>
            </w:r>
          </w:p>
        </w:tc>
      </w:tr>
      <w:tr>
        <w:trPr>
          <w:trHeight w:val="196"/>
        </w:trPr>
        <w:tc>
          <w:tcPr>
            <w:tcW w:w="6340" w:type="dxa"/>
            <w:vAlign w:val="bottom"/>
          </w:tcPr>
          <w:p>
            <w:pPr>
              <w:spacing w:after="0"/>
              <w:rPr>
                <w:sz w:val="17"/>
                <w:szCs w:val="17"/>
                <w:color w:val="auto"/>
              </w:rPr>
            </w:pPr>
          </w:p>
        </w:tc>
        <w:tc>
          <w:tcPr>
            <w:tcW w:w="126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w w:val="95"/>
              </w:rPr>
              <w:t>========</w:t>
            </w:r>
          </w:p>
        </w:tc>
        <w:tc>
          <w:tcPr>
            <w:tcW w:w="12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589"/>
        </w:trPr>
        <w:tc>
          <w:tcPr>
            <w:tcW w:w="634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w w:val="99"/>
              </w:rPr>
              <w:t>Weighted average common shares outstanding.................</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92,430</w:t>
            </w:r>
          </w:p>
        </w:tc>
        <w:tc>
          <w:tcPr>
            <w:tcW w:w="260" w:type="dxa"/>
            <w:vAlign w:val="bottom"/>
          </w:tcPr>
          <w:p>
            <w:pPr>
              <w:spacing w:after="0"/>
              <w:rPr>
                <w:sz w:val="17"/>
                <w:szCs w:val="17"/>
                <w:color w:val="auto"/>
              </w:rPr>
            </w:pP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w w:val="97"/>
              </w:rPr>
              <w:t>86,886</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91,862</w:t>
            </w:r>
          </w:p>
        </w:tc>
        <w:tc>
          <w:tcPr>
            <w:tcW w:w="3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84,367</w:t>
            </w:r>
          </w:p>
        </w:tc>
      </w:tr>
      <w:tr>
        <w:trPr>
          <w:trHeight w:val="196"/>
        </w:trPr>
        <w:tc>
          <w:tcPr>
            <w:tcW w:w="6340" w:type="dxa"/>
            <w:vAlign w:val="bottom"/>
          </w:tcPr>
          <w:p>
            <w:pPr>
              <w:ind w:left="20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Stock option and compensation plans....................</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1,166</w:t>
            </w:r>
          </w:p>
        </w:tc>
        <w:tc>
          <w:tcPr>
            <w:tcW w:w="260" w:type="dxa"/>
            <w:vAlign w:val="bottom"/>
          </w:tcPr>
          <w:p>
            <w:pPr>
              <w:spacing w:after="0"/>
              <w:rPr>
                <w:sz w:val="17"/>
                <w:szCs w:val="17"/>
                <w:color w:val="auto"/>
              </w:rPr>
            </w:pP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1,740</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1,250</w:t>
            </w:r>
          </w:p>
        </w:tc>
        <w:tc>
          <w:tcPr>
            <w:tcW w:w="3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1,469</w:t>
            </w: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Convertible debentures.................................</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2,393</w:t>
            </w:r>
          </w:p>
        </w:tc>
        <w:tc>
          <w:tcPr>
            <w:tcW w:w="260" w:type="dxa"/>
            <w:vAlign w:val="bottom"/>
          </w:tcPr>
          <w:p>
            <w:pPr>
              <w:spacing w:after="0"/>
              <w:rPr>
                <w:sz w:val="17"/>
                <w:szCs w:val="17"/>
                <w:color w:val="auto"/>
              </w:rPr>
            </w:pP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2,413</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2,407</w:t>
            </w:r>
          </w:p>
        </w:tc>
        <w:tc>
          <w:tcPr>
            <w:tcW w:w="3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2,413</w:t>
            </w: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Series A conversion preferred..........................</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3,354</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5,241</w:t>
            </w:r>
          </w:p>
        </w:tc>
      </w:tr>
      <w:tr>
        <w:trPr>
          <w:trHeight w:val="196"/>
        </w:trPr>
        <w:tc>
          <w:tcPr>
            <w:tcW w:w="6340" w:type="dxa"/>
            <w:vAlign w:val="bottom"/>
          </w:tcPr>
          <w:p>
            <w:pPr>
              <w:spacing w:after="0"/>
              <w:rPr>
                <w:sz w:val="17"/>
                <w:szCs w:val="17"/>
                <w:color w:val="auto"/>
              </w:rPr>
            </w:pPr>
          </w:p>
        </w:tc>
        <w:tc>
          <w:tcPr>
            <w:tcW w:w="126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w w:val="95"/>
              </w:rPr>
              <w:t>--------</w:t>
            </w:r>
          </w:p>
        </w:tc>
        <w:tc>
          <w:tcPr>
            <w:tcW w:w="12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95,989</w:t>
            </w:r>
          </w:p>
        </w:tc>
        <w:tc>
          <w:tcPr>
            <w:tcW w:w="260" w:type="dxa"/>
            <w:vAlign w:val="bottom"/>
          </w:tcPr>
          <w:p>
            <w:pPr>
              <w:spacing w:after="0"/>
              <w:rPr>
                <w:sz w:val="17"/>
                <w:szCs w:val="17"/>
                <w:color w:val="auto"/>
              </w:rPr>
            </w:pP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w w:val="97"/>
              </w:rPr>
              <w:t>94,393</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95,519</w:t>
            </w:r>
          </w:p>
        </w:tc>
        <w:tc>
          <w:tcPr>
            <w:tcW w:w="3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93,490</w:t>
            </w:r>
          </w:p>
        </w:tc>
      </w:tr>
      <w:tr>
        <w:trPr>
          <w:trHeight w:val="196"/>
        </w:trPr>
        <w:tc>
          <w:tcPr>
            <w:tcW w:w="6340" w:type="dxa"/>
            <w:vAlign w:val="bottom"/>
          </w:tcPr>
          <w:p>
            <w:pPr>
              <w:spacing w:after="0"/>
              <w:rPr>
                <w:sz w:val="17"/>
                <w:szCs w:val="17"/>
                <w:color w:val="auto"/>
              </w:rPr>
            </w:pPr>
          </w:p>
        </w:tc>
        <w:tc>
          <w:tcPr>
            <w:tcW w:w="126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w w:val="95"/>
              </w:rPr>
              <w:t>========</w:t>
            </w:r>
          </w:p>
        </w:tc>
        <w:tc>
          <w:tcPr>
            <w:tcW w:w="12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1.94</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1.54</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5.29</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3.65</w:t>
            </w: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Cumulative effect of accounting changes..................</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(0.05)</w:t>
            </w:r>
          </w:p>
        </w:tc>
      </w:tr>
      <w:tr>
        <w:trPr>
          <w:trHeight w:val="196"/>
        </w:trPr>
        <w:tc>
          <w:tcPr>
            <w:tcW w:w="6340" w:type="dxa"/>
            <w:vAlign w:val="bottom"/>
          </w:tcPr>
          <w:p>
            <w:pPr>
              <w:spacing w:after="0"/>
              <w:rPr>
                <w:sz w:val="17"/>
                <w:szCs w:val="17"/>
                <w:color w:val="auto"/>
              </w:rPr>
            </w:pPr>
          </w:p>
        </w:tc>
        <w:tc>
          <w:tcPr>
            <w:tcW w:w="126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w w:val="95"/>
              </w:rPr>
              <w:t>--------</w:t>
            </w:r>
          </w:p>
        </w:tc>
        <w:tc>
          <w:tcPr>
            <w:tcW w:w="12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Net income...............................................</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1.94</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1.54</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5.29</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3.60</w:t>
            </w:r>
          </w:p>
        </w:tc>
      </w:tr>
      <w:tr>
        <w:trPr>
          <w:trHeight w:val="196"/>
        </w:trPr>
        <w:tc>
          <w:tcPr>
            <w:tcW w:w="6340" w:type="dxa"/>
            <w:vAlign w:val="bottom"/>
          </w:tcPr>
          <w:p>
            <w:pPr>
              <w:spacing w:after="0"/>
              <w:rPr>
                <w:sz w:val="17"/>
                <w:szCs w:val="17"/>
                <w:color w:val="auto"/>
              </w:rPr>
            </w:pPr>
          </w:p>
        </w:tc>
        <w:tc>
          <w:tcPr>
            <w:tcW w:w="126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w w:val="95"/>
              </w:rPr>
              <w:t>========</w:t>
            </w:r>
          </w:p>
        </w:tc>
        <w:tc>
          <w:tcPr>
            <w:tcW w:w="12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Earnings per Common Share Assuming Full Dilution:</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w w:val="99"/>
              </w:rPr>
              <w:t>Weighted average common shares outstanding.................</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92,430</w:t>
            </w:r>
          </w:p>
        </w:tc>
        <w:tc>
          <w:tcPr>
            <w:tcW w:w="260" w:type="dxa"/>
            <w:vAlign w:val="bottom"/>
          </w:tcPr>
          <w:p>
            <w:pPr>
              <w:spacing w:after="0"/>
              <w:rPr>
                <w:sz w:val="17"/>
                <w:szCs w:val="17"/>
                <w:color w:val="auto"/>
              </w:rPr>
            </w:pP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w w:val="97"/>
              </w:rPr>
              <w:t>86,886</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91,862</w:t>
            </w:r>
          </w:p>
        </w:tc>
        <w:tc>
          <w:tcPr>
            <w:tcW w:w="3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84,367</w:t>
            </w:r>
          </w:p>
        </w:tc>
      </w:tr>
      <w:tr>
        <w:trPr>
          <w:trHeight w:val="196"/>
        </w:trPr>
        <w:tc>
          <w:tcPr>
            <w:tcW w:w="6340" w:type="dxa"/>
            <w:vAlign w:val="bottom"/>
          </w:tcPr>
          <w:p>
            <w:pPr>
              <w:ind w:left="20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Stock option and compensation plans....................</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1,166</w:t>
            </w:r>
          </w:p>
        </w:tc>
        <w:tc>
          <w:tcPr>
            <w:tcW w:w="260" w:type="dxa"/>
            <w:vAlign w:val="bottom"/>
          </w:tcPr>
          <w:p>
            <w:pPr>
              <w:spacing w:after="0"/>
              <w:rPr>
                <w:sz w:val="17"/>
                <w:szCs w:val="17"/>
                <w:color w:val="auto"/>
              </w:rPr>
            </w:pP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1,756</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1,262</w:t>
            </w:r>
          </w:p>
        </w:tc>
        <w:tc>
          <w:tcPr>
            <w:tcW w:w="3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1,852</w:t>
            </w: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Convertible debentures.................................</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2,393</w:t>
            </w:r>
          </w:p>
        </w:tc>
        <w:tc>
          <w:tcPr>
            <w:tcW w:w="260" w:type="dxa"/>
            <w:vAlign w:val="bottom"/>
          </w:tcPr>
          <w:p>
            <w:pPr>
              <w:spacing w:after="0"/>
              <w:rPr>
                <w:sz w:val="17"/>
                <w:szCs w:val="17"/>
                <w:color w:val="auto"/>
              </w:rPr>
            </w:pP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2,413</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2,407</w:t>
            </w:r>
          </w:p>
        </w:tc>
        <w:tc>
          <w:tcPr>
            <w:tcW w:w="3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2,413</w:t>
            </w: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Series A conversion preferred..........................</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3,354</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5,241</w:t>
            </w:r>
          </w:p>
        </w:tc>
      </w:tr>
      <w:tr>
        <w:trPr>
          <w:trHeight w:val="196"/>
        </w:trPr>
        <w:tc>
          <w:tcPr>
            <w:tcW w:w="6340" w:type="dxa"/>
            <w:vAlign w:val="bottom"/>
          </w:tcPr>
          <w:p>
            <w:pPr>
              <w:spacing w:after="0"/>
              <w:rPr>
                <w:sz w:val="17"/>
                <w:szCs w:val="17"/>
                <w:color w:val="auto"/>
              </w:rPr>
            </w:pPr>
          </w:p>
        </w:tc>
        <w:tc>
          <w:tcPr>
            <w:tcW w:w="126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w w:val="95"/>
              </w:rPr>
              <w:t>--------</w:t>
            </w:r>
          </w:p>
        </w:tc>
        <w:tc>
          <w:tcPr>
            <w:tcW w:w="12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95,989</w:t>
            </w:r>
          </w:p>
        </w:tc>
        <w:tc>
          <w:tcPr>
            <w:tcW w:w="260" w:type="dxa"/>
            <w:vAlign w:val="bottom"/>
          </w:tcPr>
          <w:p>
            <w:pPr>
              <w:spacing w:after="0"/>
              <w:rPr>
                <w:sz w:val="17"/>
                <w:szCs w:val="17"/>
                <w:color w:val="auto"/>
              </w:rPr>
            </w:pP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w w:val="97"/>
              </w:rPr>
              <w:t>94,409</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95,531</w:t>
            </w:r>
          </w:p>
        </w:tc>
        <w:tc>
          <w:tcPr>
            <w:tcW w:w="3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93,873</w:t>
            </w:r>
          </w:p>
        </w:tc>
      </w:tr>
      <w:tr>
        <w:trPr>
          <w:trHeight w:val="196"/>
        </w:trPr>
        <w:tc>
          <w:tcPr>
            <w:tcW w:w="6340" w:type="dxa"/>
            <w:vAlign w:val="bottom"/>
          </w:tcPr>
          <w:p>
            <w:pPr>
              <w:spacing w:after="0"/>
              <w:rPr>
                <w:sz w:val="17"/>
                <w:szCs w:val="17"/>
                <w:color w:val="auto"/>
              </w:rPr>
            </w:pPr>
          </w:p>
        </w:tc>
        <w:tc>
          <w:tcPr>
            <w:tcW w:w="126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w w:val="95"/>
              </w:rPr>
              <w:t>========</w:t>
            </w:r>
          </w:p>
        </w:tc>
        <w:tc>
          <w:tcPr>
            <w:tcW w:w="12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340" w:type="dxa"/>
            <w:vAlign w:val="bottom"/>
          </w:tcPr>
          <w:p>
            <w:pPr>
              <w:spacing w:after="0"/>
              <w:rPr>
                <w:sz w:val="20"/>
                <w:szCs w:val="20"/>
                <w:color w:val="auto"/>
              </w:rPr>
            </w:pPr>
            <w:r>
              <w:rPr>
                <w:rFonts w:ascii="Courier New" w:cs="Courier New" w:eastAsia="Courier New" w:hAnsi="Courier New"/>
                <w:sz w:val="17"/>
                <w:szCs w:val="17"/>
                <w:color w:val="auto"/>
              </w:rPr>
              <w:t>Earnings per Common Share Assuming Full Dilution:</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1.94</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1.54</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5.29</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3.63</w:t>
            </w: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Cumulative effect of accounting changes..................</w:t>
            </w:r>
          </w:p>
        </w:tc>
        <w:tc>
          <w:tcPr>
            <w:tcW w:w="100" w:type="dxa"/>
            <w:vAlign w:val="bottom"/>
          </w:tcPr>
          <w:p>
            <w:pPr>
              <w:spacing w:after="0"/>
              <w:rPr>
                <w:sz w:val="17"/>
                <w:szCs w:val="17"/>
                <w:color w:val="auto"/>
              </w:rPr>
            </w:pP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(0.04)</w:t>
            </w:r>
          </w:p>
        </w:tc>
      </w:tr>
      <w:tr>
        <w:trPr>
          <w:trHeight w:val="196"/>
        </w:trPr>
        <w:tc>
          <w:tcPr>
            <w:tcW w:w="6340" w:type="dxa"/>
            <w:vAlign w:val="bottom"/>
          </w:tcPr>
          <w:p>
            <w:pPr>
              <w:spacing w:after="0"/>
              <w:rPr>
                <w:sz w:val="17"/>
                <w:szCs w:val="17"/>
                <w:color w:val="auto"/>
              </w:rPr>
            </w:pPr>
          </w:p>
        </w:tc>
        <w:tc>
          <w:tcPr>
            <w:tcW w:w="126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w w:val="95"/>
              </w:rPr>
              <w:t>--------</w:t>
            </w:r>
          </w:p>
        </w:tc>
        <w:tc>
          <w:tcPr>
            <w:tcW w:w="12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Net income...............................................</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11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1.94</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1.54</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5.29</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3.59</w:t>
            </w:r>
          </w:p>
        </w:tc>
      </w:tr>
      <w:tr>
        <w:trPr>
          <w:trHeight w:val="196"/>
        </w:trPr>
        <w:tc>
          <w:tcPr>
            <w:tcW w:w="6340" w:type="dxa"/>
            <w:vAlign w:val="bottom"/>
          </w:tcPr>
          <w:p>
            <w:pPr>
              <w:spacing w:after="0"/>
              <w:rPr>
                <w:sz w:val="17"/>
                <w:szCs w:val="17"/>
                <w:color w:val="auto"/>
              </w:rPr>
            </w:pPr>
          </w:p>
        </w:tc>
        <w:tc>
          <w:tcPr>
            <w:tcW w:w="126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w w:val="95"/>
              </w:rPr>
              <w:t>========</w:t>
            </w:r>
          </w:p>
        </w:tc>
        <w:tc>
          <w:tcPr>
            <w:tcW w:w="12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320"/>
          </w:cols>
          <w:pgMar w:left="240" w:top="729" w:right="339" w:bottom="1440" w:gutter="0" w:footer="0" w:header="0"/>
        </w:sectPr>
      </w:pPr>
    </w:p>
    <w:bookmarkStart w:id="13" w:name="page14"/>
    <w:bookmarkEnd w:id="13"/>
    <w:p>
      <w:pPr>
        <w:ind w:left="6840"/>
        <w:spacing w:after="0"/>
        <w:rPr>
          <w:sz w:val="20"/>
          <w:szCs w:val="20"/>
          <w:color w:val="auto"/>
        </w:rPr>
      </w:pPr>
      <w:r>
        <w:rPr>
          <w:rFonts w:ascii="Courier New" w:cs="Courier New" w:eastAsia="Courier New" w:hAnsi="Courier New"/>
          <w:sz w:val="17"/>
          <w:szCs w:val="17"/>
          <w:color w:val="auto"/>
        </w:rPr>
        <w:t>EXHIBIT 12</w:t>
      </w:r>
    </w:p>
    <w:p>
      <w:pPr>
        <w:spacing w:after="0" w:line="4" w:lineRule="exact"/>
        <w:rPr>
          <w:sz w:val="20"/>
          <w:szCs w:val="20"/>
          <w:color w:val="auto"/>
        </w:rPr>
      </w:pPr>
    </w:p>
    <w:p>
      <w:pPr>
        <w:ind w:left="684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5" w:lineRule="exact"/>
        <w:rPr>
          <w:sz w:val="20"/>
          <w:szCs w:val="20"/>
          <w:color w:val="auto"/>
        </w:rPr>
      </w:pPr>
    </w:p>
    <w:p>
      <w:pPr>
        <w:jc w:val="center"/>
        <w:ind w:left="340" w:right="1640"/>
        <w:spacing w:after="0" w:line="243" w:lineRule="auto"/>
        <w:rPr>
          <w:sz w:val="20"/>
          <w:szCs w:val="20"/>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 (Dollars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For Nine Months</w:t>
            </w:r>
          </w:p>
        </w:tc>
      </w:tr>
      <w:tr>
        <w:trPr>
          <w:trHeight w:val="196"/>
        </w:trPr>
        <w:tc>
          <w:tcPr>
            <w:tcW w:w="4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gridSpan w:val="4"/>
          </w:tcPr>
          <w:p>
            <w:pPr>
              <w:jc w:val="right"/>
              <w:ind w:right="15"/>
              <w:spacing w:after="0"/>
              <w:rPr>
                <w:sz w:val="20"/>
                <w:szCs w:val="20"/>
                <w:color w:val="auto"/>
              </w:rPr>
            </w:pPr>
            <w:r>
              <w:rPr>
                <w:rFonts w:ascii="Courier New" w:cs="Courier New" w:eastAsia="Courier New" w:hAnsi="Courier New"/>
                <w:sz w:val="17"/>
                <w:szCs w:val="17"/>
                <w:color w:val="auto"/>
              </w:rPr>
              <w:t>Ended Sept 30</w:t>
            </w:r>
          </w:p>
        </w:tc>
      </w:tr>
      <w:tr>
        <w:trPr>
          <w:trHeight w:val="196"/>
        </w:trPr>
        <w:tc>
          <w:tcPr>
            <w:tcW w:w="4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3"/>
              </w:rPr>
              <w:t>1989</w:t>
            </w:r>
          </w:p>
        </w:tc>
        <w:tc>
          <w:tcPr>
            <w:tcW w:w="26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3"/>
              </w:rPr>
              <w:t>1990</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1991</w:t>
            </w:r>
          </w:p>
        </w:tc>
        <w:tc>
          <w:tcPr>
            <w:tcW w:w="200" w:type="dxa"/>
            <w:vAlign w:val="bottom"/>
          </w:tcPr>
          <w:p>
            <w:pPr>
              <w:spacing w:after="0"/>
              <w:rPr>
                <w:sz w:val="17"/>
                <w:szCs w:val="17"/>
                <w:color w:val="auto"/>
              </w:rPr>
            </w:pPr>
          </w:p>
        </w:tc>
        <w:tc>
          <w:tcPr>
            <w:tcW w:w="5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1992</w:t>
            </w:r>
          </w:p>
        </w:tc>
        <w:tc>
          <w:tcPr>
            <w:tcW w:w="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3"/>
              </w:rPr>
              <w:t>1993</w:t>
            </w:r>
          </w:p>
        </w:tc>
        <w:tc>
          <w:tcPr>
            <w:tcW w:w="36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3"/>
              </w:rPr>
              <w:t>1993</w:t>
            </w:r>
          </w:p>
        </w:tc>
        <w:tc>
          <w:tcPr>
            <w:tcW w:w="2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1994</w:t>
            </w:r>
          </w:p>
        </w:tc>
      </w:tr>
      <w:tr>
        <w:trPr>
          <w:trHeight w:val="196"/>
        </w:trPr>
        <w:tc>
          <w:tcPr>
            <w:tcW w:w="4440" w:type="dxa"/>
            <w:vAlign w:val="bottom"/>
          </w:tcPr>
          <w:p>
            <w:pPr>
              <w:spacing w:after="0"/>
              <w:rPr>
                <w:sz w:val="17"/>
                <w:szCs w:val="17"/>
                <w:color w:val="auto"/>
              </w:rPr>
            </w:pPr>
          </w:p>
        </w:tc>
        <w:tc>
          <w:tcPr>
            <w:tcW w:w="7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44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4440" w:type="dxa"/>
            <w:vAlign w:val="bottom"/>
          </w:tcPr>
          <w:p>
            <w:pPr>
              <w:ind w:left="200"/>
              <w:spacing w:after="0"/>
              <w:rPr>
                <w:sz w:val="20"/>
                <w:szCs w:val="20"/>
                <w:color w:val="auto"/>
              </w:rPr>
            </w:pPr>
            <w:r>
              <w:rPr>
                <w:rFonts w:ascii="Courier New" w:cs="Courier New" w:eastAsia="Courier New" w:hAnsi="Courier New"/>
                <w:sz w:val="17"/>
                <w:szCs w:val="17"/>
                <w:color w:val="auto"/>
              </w:rPr>
              <w:t>and fixed charges: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Income (loss) before cumulative</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effect of accounting changes,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interest expense on loans,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capitalized interest amortized,</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5160" w:type="dxa"/>
            <w:vAlign w:val="bottom"/>
            <w:gridSpan w:val="3"/>
          </w:tcPr>
          <w:p>
            <w:pPr>
              <w:ind w:left="620"/>
              <w:spacing w:after="0"/>
              <w:rPr>
                <w:sz w:val="20"/>
                <w:szCs w:val="20"/>
                <w:color w:val="auto"/>
              </w:rPr>
            </w:pPr>
            <w:r>
              <w:rPr>
                <w:rFonts w:ascii="Courier New" w:cs="Courier New" w:eastAsia="Courier New" w:hAnsi="Courier New"/>
                <w:sz w:val="17"/>
                <w:szCs w:val="17"/>
                <w:color w:val="auto"/>
              </w:rPr>
              <w:t>and provision for income taxes....... $ 387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14</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$(250)</w:t>
            </w:r>
          </w:p>
        </w:tc>
        <w:tc>
          <w:tcPr>
            <w:tcW w:w="7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$ 433</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$ 755</w:t>
            </w:r>
          </w:p>
        </w:tc>
        <w:tc>
          <w:tcPr>
            <w:tcW w:w="9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$ 538</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$ 804</w:t>
            </w:r>
          </w:p>
        </w:tc>
      </w:tr>
      <w:tr>
        <w:trPr>
          <w:trHeight w:val="196"/>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Add interest attributable to</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rental and lease expense.............</w:t>
            </w:r>
          </w:p>
        </w:tc>
        <w:tc>
          <w:tcPr>
            <w:tcW w:w="16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47</w:t>
            </w:r>
          </w:p>
        </w:tc>
        <w:tc>
          <w:tcPr>
            <w:tcW w:w="26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50</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43</w:t>
            </w:r>
          </w:p>
        </w:tc>
        <w:tc>
          <w:tcPr>
            <w:tcW w:w="200" w:type="dxa"/>
            <w:vAlign w:val="bottom"/>
          </w:tcPr>
          <w:p>
            <w:pPr>
              <w:spacing w:after="0"/>
              <w:rPr>
                <w:sz w:val="17"/>
                <w:szCs w:val="17"/>
                <w:color w:val="auto"/>
              </w:rPr>
            </w:pPr>
          </w:p>
        </w:tc>
        <w:tc>
          <w:tcPr>
            <w:tcW w:w="5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42</w:t>
            </w:r>
          </w:p>
        </w:tc>
        <w:tc>
          <w:tcPr>
            <w:tcW w:w="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c>
          <w:tcPr>
            <w:tcW w:w="36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28</w:t>
            </w:r>
          </w:p>
        </w:tc>
        <w:tc>
          <w:tcPr>
            <w:tcW w:w="2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196"/>
        </w:trPr>
        <w:tc>
          <w:tcPr>
            <w:tcW w:w="4440" w:type="dxa"/>
            <w:vAlign w:val="bottom"/>
          </w:tcPr>
          <w:p>
            <w:pPr>
              <w:spacing w:after="0"/>
              <w:rPr>
                <w:sz w:val="17"/>
                <w:szCs w:val="17"/>
                <w:color w:val="auto"/>
              </w:rPr>
            </w:pPr>
          </w:p>
        </w:tc>
        <w:tc>
          <w:tcPr>
            <w:tcW w:w="7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440" w:type="dxa"/>
            <w:vAlign w:val="bottom"/>
          </w:tcPr>
          <w:p>
            <w:pPr>
              <w:spacing w:after="0"/>
              <w:rPr>
                <w:sz w:val="17"/>
                <w:szCs w:val="17"/>
                <w:color w:val="auto"/>
              </w:rPr>
            </w:pPr>
          </w:p>
        </w:tc>
        <w:tc>
          <w:tcPr>
            <w:tcW w:w="7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$ 434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64</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$(207)</w:t>
            </w:r>
          </w:p>
        </w:tc>
        <w:tc>
          <w:tcPr>
            <w:tcW w:w="7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$ 475</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$ 793</w:t>
            </w:r>
          </w:p>
        </w:tc>
        <w:tc>
          <w:tcPr>
            <w:tcW w:w="9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$ 566</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$ 835</w:t>
            </w:r>
          </w:p>
        </w:tc>
      </w:tr>
      <w:tr>
        <w:trPr>
          <w:trHeight w:val="196"/>
        </w:trPr>
        <w:tc>
          <w:tcPr>
            <w:tcW w:w="4440" w:type="dxa"/>
            <w:vAlign w:val="bottom"/>
          </w:tcPr>
          <w:p>
            <w:pPr>
              <w:spacing w:after="0"/>
              <w:rPr>
                <w:sz w:val="17"/>
                <w:szCs w:val="17"/>
                <w:color w:val="auto"/>
              </w:rPr>
            </w:pPr>
          </w:p>
        </w:tc>
        <w:tc>
          <w:tcPr>
            <w:tcW w:w="7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44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Total interest on loans (expensed</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and capitalized).....................</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47</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59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57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r>
      <w:tr>
        <w:trPr>
          <w:trHeight w:val="196"/>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Interest attributable to rental</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and lease expense....................</w:t>
            </w:r>
          </w:p>
        </w:tc>
        <w:tc>
          <w:tcPr>
            <w:tcW w:w="16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47</w:t>
            </w:r>
          </w:p>
        </w:tc>
        <w:tc>
          <w:tcPr>
            <w:tcW w:w="26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50</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43</w:t>
            </w:r>
          </w:p>
        </w:tc>
        <w:tc>
          <w:tcPr>
            <w:tcW w:w="200" w:type="dxa"/>
            <w:vAlign w:val="bottom"/>
          </w:tcPr>
          <w:p>
            <w:pPr>
              <w:spacing w:after="0"/>
              <w:rPr>
                <w:sz w:val="17"/>
                <w:szCs w:val="17"/>
                <w:color w:val="auto"/>
              </w:rPr>
            </w:pPr>
          </w:p>
        </w:tc>
        <w:tc>
          <w:tcPr>
            <w:tcW w:w="5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42</w:t>
            </w:r>
          </w:p>
        </w:tc>
        <w:tc>
          <w:tcPr>
            <w:tcW w:w="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c>
          <w:tcPr>
            <w:tcW w:w="36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28</w:t>
            </w:r>
          </w:p>
        </w:tc>
        <w:tc>
          <w:tcPr>
            <w:tcW w:w="2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196"/>
        </w:trPr>
        <w:tc>
          <w:tcPr>
            <w:tcW w:w="4440" w:type="dxa"/>
            <w:vAlign w:val="bottom"/>
          </w:tcPr>
          <w:p>
            <w:pPr>
              <w:spacing w:after="0"/>
              <w:rPr>
                <w:sz w:val="17"/>
                <w:szCs w:val="17"/>
                <w:color w:val="auto"/>
              </w:rPr>
            </w:pPr>
          </w:p>
        </w:tc>
        <w:tc>
          <w:tcPr>
            <w:tcW w:w="7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97</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$ 102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99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93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73</w:t>
            </w:r>
          </w:p>
        </w:tc>
      </w:tr>
      <w:tr>
        <w:trPr>
          <w:trHeight w:val="196"/>
        </w:trPr>
        <w:tc>
          <w:tcPr>
            <w:tcW w:w="4440" w:type="dxa"/>
            <w:vAlign w:val="bottom"/>
          </w:tcPr>
          <w:p>
            <w:pPr>
              <w:spacing w:after="0"/>
              <w:rPr>
                <w:sz w:val="17"/>
                <w:szCs w:val="17"/>
                <w:color w:val="auto"/>
              </w:rPr>
            </w:pPr>
          </w:p>
        </w:tc>
        <w:tc>
          <w:tcPr>
            <w:tcW w:w="7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440" w:type="dxa"/>
            <w:vAlign w:val="bottom"/>
          </w:tcPr>
          <w:p>
            <w:pPr>
              <w:spacing w:after="0"/>
              <w:rPr>
                <w:sz w:val="20"/>
                <w:szCs w:val="20"/>
                <w:color w:val="auto"/>
              </w:rPr>
            </w:pPr>
            <w:r>
              <w:rPr>
                <w:rFonts w:ascii="Courier New" w:cs="Courier New" w:eastAsia="Courier New" w:hAnsi="Courier New"/>
                <w:sz w:val="17"/>
                <w:szCs w:val="17"/>
                <w:color w:val="auto"/>
              </w:rPr>
              <w:t>Combined fixed charges and</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444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dividends: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Fixed charges..........................</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97</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$ 102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99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93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73</w:t>
            </w:r>
          </w:p>
        </w:tc>
      </w:tr>
      <w:tr>
        <w:trPr>
          <w:trHeight w:val="196"/>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Preferred stock dividends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440" w:type="dxa"/>
            <w:vAlign w:val="bottom"/>
          </w:tcPr>
          <w:p>
            <w:pPr>
              <w:ind w:left="520"/>
              <w:spacing w:after="0"/>
              <w:rPr>
                <w:sz w:val="20"/>
                <w:szCs w:val="20"/>
                <w:color w:val="auto"/>
              </w:rPr>
            </w:pPr>
            <w:r>
              <w:rPr>
                <w:rFonts w:ascii="Courier New" w:cs="Courier New" w:eastAsia="Courier New" w:hAnsi="Courier New"/>
                <w:sz w:val="17"/>
                <w:szCs w:val="17"/>
                <w:color w:val="auto"/>
              </w:rPr>
              <w:t>(adjusted as appropriate to a</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pretax equivalent basis).............</w:t>
            </w:r>
          </w:p>
        </w:tc>
        <w:tc>
          <w:tcPr>
            <w:tcW w:w="16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47</w:t>
            </w:r>
          </w:p>
        </w:tc>
        <w:tc>
          <w:tcPr>
            <w:tcW w:w="26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36</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w:t>
            </w:r>
          </w:p>
        </w:tc>
        <w:tc>
          <w:tcPr>
            <w:tcW w:w="200" w:type="dxa"/>
            <w:vAlign w:val="bottom"/>
          </w:tcPr>
          <w:p>
            <w:pPr>
              <w:spacing w:after="0"/>
              <w:rPr>
                <w:sz w:val="17"/>
                <w:szCs w:val="17"/>
                <w:color w:val="auto"/>
              </w:rPr>
            </w:pPr>
          </w:p>
        </w:tc>
        <w:tc>
          <w:tcPr>
            <w:tcW w:w="5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55</w:t>
            </w:r>
          </w:p>
        </w:tc>
        <w:tc>
          <w:tcPr>
            <w:tcW w:w="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c>
          <w:tcPr>
            <w:tcW w:w="36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29</w:t>
            </w:r>
          </w:p>
        </w:tc>
        <w:tc>
          <w:tcPr>
            <w:tcW w:w="2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440" w:type="dxa"/>
            <w:vAlign w:val="bottom"/>
          </w:tcPr>
          <w:p>
            <w:pPr>
              <w:spacing w:after="0"/>
              <w:rPr>
                <w:sz w:val="17"/>
                <w:szCs w:val="17"/>
                <w:color w:val="auto"/>
              </w:rPr>
            </w:pPr>
          </w:p>
        </w:tc>
        <w:tc>
          <w:tcPr>
            <w:tcW w:w="7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440" w:type="dxa"/>
            <w:vAlign w:val="bottom"/>
          </w:tcPr>
          <w:p>
            <w:pPr>
              <w:ind w:left="420"/>
              <w:spacing w:after="0"/>
              <w:rPr>
                <w:sz w:val="20"/>
                <w:szCs w:val="20"/>
                <w:color w:val="auto"/>
              </w:rPr>
            </w:pPr>
            <w:r>
              <w:rPr>
                <w:rFonts w:ascii="Courier New" w:cs="Courier New" w:eastAsia="Courier New" w:hAnsi="Courier New"/>
                <w:sz w:val="17"/>
                <w:szCs w:val="17"/>
                <w:color w:val="auto"/>
              </w:rPr>
              <w:t>Combined fixed charges and</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440" w:type="dxa"/>
            <w:vAlign w:val="bottom"/>
          </w:tcPr>
          <w:p>
            <w:pPr>
              <w:ind w:left="620"/>
              <w:spacing w:after="0"/>
              <w:rPr>
                <w:sz w:val="20"/>
                <w:szCs w:val="20"/>
                <w:color w:val="auto"/>
              </w:rPr>
            </w:pPr>
            <w:r>
              <w:rPr>
                <w:rFonts w:ascii="Courier New" w:cs="Courier New" w:eastAsia="Courier New" w:hAnsi="Courier New"/>
                <w:sz w:val="17"/>
                <w:szCs w:val="17"/>
                <w:color w:val="auto"/>
              </w:rPr>
              <w:t>preferred stock dividends............</w:t>
            </w:r>
          </w:p>
        </w:tc>
        <w:tc>
          <w:tcPr>
            <w:tcW w:w="7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$ 132</w:t>
            </w:r>
          </w:p>
        </w:tc>
        <w:tc>
          <w:tcPr>
            <w:tcW w:w="8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$ 133</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$ 136</w:t>
            </w:r>
          </w:p>
        </w:tc>
        <w:tc>
          <w:tcPr>
            <w:tcW w:w="7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$ 154</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$ 122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73</w:t>
            </w:r>
          </w:p>
        </w:tc>
      </w:tr>
      <w:tr>
        <w:trPr>
          <w:trHeight w:val="196"/>
        </w:trPr>
        <w:tc>
          <w:tcPr>
            <w:tcW w:w="4440" w:type="dxa"/>
            <w:vAlign w:val="bottom"/>
          </w:tcPr>
          <w:p>
            <w:pPr>
              <w:spacing w:after="0"/>
              <w:rPr>
                <w:sz w:val="17"/>
                <w:szCs w:val="17"/>
                <w:color w:val="auto"/>
              </w:rPr>
            </w:pPr>
          </w:p>
        </w:tc>
        <w:tc>
          <w:tcPr>
            <w:tcW w:w="7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440" w:type="dxa"/>
            <w:vAlign w:val="bottom"/>
          </w:tcPr>
          <w:p>
            <w:pPr>
              <w:spacing w:after="0"/>
              <w:rPr>
                <w:sz w:val="20"/>
                <w:szCs w:val="20"/>
                <w:color w:val="auto"/>
              </w:rPr>
            </w:pPr>
            <w:r>
              <w:rPr>
                <w:rFonts w:ascii="Courier New" w:cs="Courier New" w:eastAsia="Courier New" w:hAnsi="Courier New"/>
                <w:sz w:val="17"/>
                <w:szCs w:val="17"/>
                <w:color w:val="auto"/>
              </w:rPr>
              <w:t>Ratio of earnings to fixed charges.........</w:t>
            </w:r>
          </w:p>
        </w:tc>
        <w:tc>
          <w:tcPr>
            <w:tcW w:w="160" w:type="dxa"/>
            <w:vAlign w:val="bottom"/>
          </w:tcPr>
          <w:p>
            <w:pPr>
              <w:spacing w:after="0"/>
              <w:rPr>
                <w:sz w:val="24"/>
                <w:szCs w:val="24"/>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5.1</w:t>
            </w:r>
          </w:p>
        </w:tc>
        <w:tc>
          <w:tcPr>
            <w:tcW w:w="260" w:type="dxa"/>
            <w:vAlign w:val="bottom"/>
          </w:tcPr>
          <w:p>
            <w:pPr>
              <w:spacing w:after="0"/>
              <w:rPr>
                <w:sz w:val="24"/>
                <w:szCs w:val="24"/>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5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4.8</w:t>
            </w: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8.5</w:t>
            </w:r>
          </w:p>
        </w:tc>
        <w:tc>
          <w:tcPr>
            <w:tcW w:w="360" w:type="dxa"/>
            <w:vAlign w:val="bottom"/>
          </w:tcPr>
          <w:p>
            <w:pPr>
              <w:spacing w:after="0"/>
              <w:rPr>
                <w:sz w:val="24"/>
                <w:szCs w:val="24"/>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8.2</w:t>
            </w: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11.4</w:t>
            </w:r>
          </w:p>
        </w:tc>
      </w:tr>
      <w:tr>
        <w:trPr>
          <w:trHeight w:val="196"/>
        </w:trPr>
        <w:tc>
          <w:tcPr>
            <w:tcW w:w="4440" w:type="dxa"/>
            <w:vAlign w:val="bottom"/>
          </w:tcPr>
          <w:p>
            <w:pPr>
              <w:spacing w:after="0"/>
              <w:rPr>
                <w:sz w:val="17"/>
                <w:szCs w:val="17"/>
                <w:color w:val="auto"/>
              </w:rPr>
            </w:pPr>
          </w:p>
        </w:tc>
        <w:tc>
          <w:tcPr>
            <w:tcW w:w="7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440" w:type="dxa"/>
            <w:vAlign w:val="bottom"/>
          </w:tcPr>
          <w:p>
            <w:pPr>
              <w:spacing w:after="0"/>
              <w:rPr>
                <w:sz w:val="20"/>
                <w:szCs w:val="20"/>
                <w:color w:val="auto"/>
              </w:rPr>
            </w:pPr>
            <w:r>
              <w:rPr>
                <w:rFonts w:ascii="Courier New" w:cs="Courier New" w:eastAsia="Courier New" w:hAnsi="Courier New"/>
                <w:sz w:val="17"/>
                <w:szCs w:val="17"/>
                <w:color w:val="auto"/>
              </w:rPr>
              <w:t>Ratio of earnings to combined</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4440" w:type="dxa"/>
            <w:vAlign w:val="bottom"/>
          </w:tcPr>
          <w:p>
            <w:pPr>
              <w:ind w:left="200"/>
              <w:spacing w:after="0"/>
              <w:rPr>
                <w:sz w:val="20"/>
                <w:szCs w:val="20"/>
                <w:color w:val="auto"/>
              </w:rPr>
            </w:pPr>
            <w:r>
              <w:rPr>
                <w:rFonts w:ascii="Courier New" w:cs="Courier New" w:eastAsia="Courier New" w:hAnsi="Courier New"/>
                <w:sz w:val="17"/>
                <w:szCs w:val="17"/>
                <w:color w:val="auto"/>
              </w:rPr>
              <w:t>fixed charges and preferred</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440" w:type="dxa"/>
            <w:vAlign w:val="bottom"/>
          </w:tcPr>
          <w:p>
            <w:pPr>
              <w:ind w:left="200"/>
              <w:spacing w:after="0"/>
              <w:rPr>
                <w:sz w:val="20"/>
                <w:szCs w:val="20"/>
                <w:color w:val="auto"/>
              </w:rPr>
            </w:pPr>
            <w:r>
              <w:rPr>
                <w:rFonts w:ascii="Courier New" w:cs="Courier New" w:eastAsia="Courier New" w:hAnsi="Courier New"/>
                <w:sz w:val="17"/>
                <w:szCs w:val="17"/>
                <w:color w:val="auto"/>
              </w:rPr>
              <w:t>stock dividends..........................</w:t>
            </w:r>
          </w:p>
        </w:tc>
        <w:tc>
          <w:tcPr>
            <w:tcW w:w="16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3.3</w:t>
            </w:r>
          </w:p>
        </w:tc>
        <w:tc>
          <w:tcPr>
            <w:tcW w:w="26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5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3.1</w:t>
            </w:r>
          </w:p>
        </w:tc>
        <w:tc>
          <w:tcPr>
            <w:tcW w:w="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c>
          <w:tcPr>
            <w:tcW w:w="360" w:type="dxa"/>
            <w:vAlign w:val="bottom"/>
          </w:tcPr>
          <w:p>
            <w:pPr>
              <w:spacing w:after="0"/>
              <w:rPr>
                <w:sz w:val="17"/>
                <w:szCs w:val="17"/>
                <w:color w:val="auto"/>
              </w:rPr>
            </w:pPr>
          </w:p>
        </w:tc>
        <w:tc>
          <w:tcPr>
            <w:tcW w:w="5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5.8</w:t>
            </w:r>
          </w:p>
        </w:tc>
        <w:tc>
          <w:tcPr>
            <w:tcW w:w="2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11.4</w:t>
            </w:r>
          </w:p>
        </w:tc>
      </w:tr>
      <w:tr>
        <w:trPr>
          <w:trHeight w:val="196"/>
        </w:trPr>
        <w:tc>
          <w:tcPr>
            <w:tcW w:w="4440" w:type="dxa"/>
            <w:vAlign w:val="bottom"/>
          </w:tcPr>
          <w:p>
            <w:pPr>
              <w:spacing w:after="0"/>
              <w:rPr>
                <w:sz w:val="17"/>
                <w:szCs w:val="17"/>
                <w:color w:val="auto"/>
              </w:rPr>
            </w:pPr>
          </w:p>
        </w:tc>
        <w:tc>
          <w:tcPr>
            <w:tcW w:w="7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jc w:val="both"/>
        <w:ind w:left="100" w:right="619" w:firstLine="109"/>
        <w:spacing w:after="0" w:line="487" w:lineRule="auto"/>
        <w:tabs>
          <w:tab w:leader="none" w:pos="406"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meaningful. The coverage deficiency was $33 million in 1990 and $309 million in 1991. ** Not meaningful. The coverage deficiency was $69 million in 1990 and $343 million in 1991.</w:t>
      </w:r>
    </w:p>
    <w:p>
      <w:pPr>
        <w:sectPr>
          <w:pgSz w:w="11900" w:h="16838" w:orient="portrait"/>
          <w:cols w:equalWidth="0" w:num="1">
            <w:col w:w="10219"/>
          </w:cols>
          <w:pgMar w:left="240" w:top="729" w:right="1440" w:bottom="1440" w:gutter="0" w:footer="0" w:header="0"/>
        </w:sectPr>
      </w:pPr>
    </w:p>
    <w:bookmarkStart w:id="14" w:name="page15"/>
    <w:bookmarkEnd w:id="14"/>
    <w:p>
      <w:pPr>
        <w:ind w:left="60"/>
        <w:spacing w:after="0"/>
        <w:rPr>
          <w:sz w:val="20"/>
          <w:szCs w:val="20"/>
          <w:color w:val="auto"/>
        </w:rPr>
      </w:pPr>
      <w:r>
        <w:rPr>
          <w:rFonts w:ascii="Courier New" w:cs="Courier New" w:eastAsia="Courier New" w:hAnsi="Courier New"/>
          <w:sz w:val="17"/>
          <w:szCs w:val="17"/>
          <w:color w:val="auto"/>
        </w:rPr>
        <w:t>5</w:t>
      </w:r>
    </w:p>
    <w:p>
      <w:pPr>
        <w:spacing w:after="0" w:line="201" w:lineRule="exact"/>
        <w:rPr>
          <w:sz w:val="20"/>
          <w:szCs w:val="20"/>
          <w:color w:val="auto"/>
        </w:rPr>
      </w:pPr>
    </w:p>
    <w:p>
      <w:pPr>
        <w:ind w:right="2239"/>
        <w:spacing w:after="0" w:line="264"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FINANCIAL STATEMENTS OF TEXAS INSTRUMENTS INCORPORATED AND SUBSIDIARIES AS OF SEPTEMBER 30, 1994, AND FOR THE NINE MONTHS THEN ENDED, and and is qualified in its entirety by reference to such financial statements.</w:t>
      </w:r>
    </w:p>
    <w:p>
      <w:pPr>
        <w:spacing w:after="0" w:line="18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1,000,000</w:t>
      </w:r>
    </w:p>
    <w:p>
      <w:pPr>
        <w:spacing w:after="0" w:line="396"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9-MOS</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DEC-31-1994</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SEP-30-1994</w:t>
      </w:r>
    </w:p>
    <w:p>
      <w:pPr>
        <w:spacing w:after="0" w:line="4" w:lineRule="exact"/>
        <w:rPr>
          <w:sz w:val="20"/>
          <w:szCs w:val="20"/>
          <w:color w:val="auto"/>
        </w:rPr>
      </w:pPr>
    </w:p>
    <w:p>
      <w:pPr>
        <w:ind w:left="4560"/>
        <w:spacing w:after="0"/>
        <w:rPr>
          <w:sz w:val="20"/>
          <w:szCs w:val="20"/>
          <w:color w:val="auto"/>
        </w:rPr>
      </w:pPr>
      <w:r>
        <w:rPr>
          <w:rFonts w:ascii="Courier New" w:cs="Courier New" w:eastAsia="Courier New" w:hAnsi="Courier New"/>
          <w:sz w:val="17"/>
          <w:szCs w:val="17"/>
          <w:color w:val="auto"/>
        </w:rPr>
        <w:t>713</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528</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1,458</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50</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870</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3,969</w:t>
      </w:r>
    </w:p>
    <w:p>
      <w:pPr>
        <w:spacing w:after="0" w:line="4"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4,818</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2,371</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6,843</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2,184</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813</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93</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2,770</w:t>
      </w:r>
    </w:p>
    <w:p>
      <w:pPr>
        <w:spacing w:after="0" w:line="4"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6,843</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7"/>
          <w:szCs w:val="17"/>
          <w:color w:val="auto"/>
        </w:rPr>
        <w:t>7,533</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7,533</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5,441</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5,441</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271</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33</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763</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260</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503</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503</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5.29</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0</w:t>
      </w:r>
    </w:p>
    <w:sectPr>
      <w:pgSz w:w="11900" w:h="16838" w:orient="portrait"/>
      <w:cols w:equalWidth="0" w:num="1">
        <w:col w:w="10179"/>
      </w:cols>
      <w:pgMar w:left="280" w:top="5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1"/>
    </w:lvl>
  </w:abstractNum>
  <w:abstractNum w:abstractNumId="3">
    <w:nsid w:val="46E87CCD"/>
    <w:multiLevelType w:val="hybridMultilevel"/>
    <w:lvl w:ilvl="0">
      <w:lvlJc w:val="left"/>
      <w:lvlText w:val="%1"/>
      <w:numFmt w:val="lowerLetter"/>
      <w:start w:val="1"/>
    </w:lvl>
    <w:lvl w:ilvl="1">
      <w:lvlJc w:val="left"/>
      <w:lvlText w:val="%2"/>
      <w:numFmt w:val="decimal"/>
      <w:start w:val="27"/>
    </w:lvl>
  </w:abstractNum>
  <w:abstractNum w:abstractNumId="4">
    <w:nsid w:val="3D1B58BA"/>
    <w:multiLevelType w:val="hybridMultilevel"/>
    <w:lvl w:ilvl="0">
      <w:lvlJc w:val="left"/>
      <w:lvlText w:val="(%1)"/>
      <w:numFmt w:val="lowerLetter"/>
      <w:start w:val="2"/>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2019-12-13T07:51:26Z</dcterms:created>
  <dcterms:modified xsi:type="dcterms:W3CDTF">2019-12-13T07:51:26Z</dcterms:modified>
</cp:coreProperties>
</file>