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13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029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11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02/20/2009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111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11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60"/>
              <w:spacing w:after="0" w:line="132" w:lineRule="exact"/>
              <w:rPr>
                <w:sz w:val="20"/>
                <w:szCs w:val="20"/>
                <w:color w:val="auto"/>
              </w:rPr>
            </w:pPr>
            <w:r>
              <w:rPr>
                <w:rFonts w:ascii="Arial" w:cs="Arial" w:eastAsia="Arial" w:hAnsi="Arial"/>
                <w:sz w:val="12"/>
                <w:szCs w:val="12"/>
                <w:b w:val="1"/>
                <w:bCs w:val="1"/>
                <w:color w:val="auto"/>
              </w:rPr>
              <w:t>Date</w:t>
            </w:r>
          </w:p>
        </w:tc>
        <w:tc>
          <w:tcPr>
            <w:tcW w:w="500" w:type="dxa"/>
            <w:vAlign w:val="bottom"/>
          </w:tcPr>
          <w:p>
            <w:pPr>
              <w:spacing w:after="0"/>
              <w:rPr>
                <w:sz w:val="11"/>
                <w:szCs w:val="11"/>
                <w:color w:val="auto"/>
              </w:rPr>
            </w:pPr>
          </w:p>
        </w:tc>
        <w:tc>
          <w:tcPr>
            <w:tcW w:w="118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10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60"/>
              <w:spacing w:after="0" w:line="134"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280" w:type="dxa"/>
            <w:vAlign w:val="bottom"/>
          </w:tcPr>
          <w:p>
            <w:pPr>
              <w:spacing w:after="0"/>
              <w:rPr>
                <w:sz w:val="11"/>
                <w:szCs w:val="11"/>
                <w:color w:val="auto"/>
              </w:rPr>
            </w:pPr>
          </w:p>
        </w:tc>
        <w:tc>
          <w:tcPr>
            <w:tcW w:w="10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Owned Following</w:t>
            </w:r>
          </w:p>
        </w:tc>
        <w:tc>
          <w:tcPr>
            <w:tcW w:w="10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gridSpan w:val="4"/>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jc w:val="center"/>
              <w:ind w:left="189"/>
              <w:spacing w:after="0"/>
              <w:rPr>
                <w:sz w:val="20"/>
                <w:szCs w:val="20"/>
                <w:color w:val="auto"/>
              </w:rPr>
            </w:pPr>
            <w:r>
              <w:rPr>
                <w:rFonts w:ascii="Arial" w:cs="Arial" w:eastAsia="Arial" w:hAnsi="Arial"/>
                <w:sz w:val="17"/>
                <w:szCs w:val="17"/>
                <w:color w:val="0000FF"/>
                <w:w w:val="92"/>
              </w:rPr>
              <w:t>26,012</w:t>
            </w:r>
          </w:p>
        </w:tc>
        <w:tc>
          <w:tcPr>
            <w:tcW w:w="280" w:type="dxa"/>
            <w:vAlign w:val="bottom"/>
          </w:tcPr>
          <w:p>
            <w:pPr>
              <w:spacing w:after="0"/>
              <w:rPr>
                <w:sz w:val="23"/>
                <w:szCs w:val="23"/>
                <w:color w:val="auto"/>
              </w:rPr>
            </w:pPr>
          </w:p>
        </w:tc>
        <w:tc>
          <w:tcPr>
            <w:tcW w:w="640" w:type="dxa"/>
            <w:vAlign w:val="bottom"/>
          </w:tcPr>
          <w:p>
            <w:pPr>
              <w:jc w:val="center"/>
              <w:ind w:left="305"/>
              <w:spacing w:after="0"/>
              <w:rPr>
                <w:sz w:val="20"/>
                <w:szCs w:val="20"/>
                <w:color w:val="auto"/>
              </w:rPr>
            </w:pPr>
            <w:r>
              <w:rPr>
                <w:rFonts w:ascii="Arial" w:cs="Arial" w:eastAsia="Arial" w:hAnsi="Arial"/>
                <w:sz w:val="17"/>
                <w:szCs w:val="17"/>
                <w:color w:val="0000FF"/>
              </w:rPr>
              <w:t>D</w:t>
            </w: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2"/>
            <w:vMerge w:val="restart"/>
          </w:tcPr>
          <w:p>
            <w:pPr>
              <w:jc w:val="center"/>
              <w:ind w:left="189"/>
              <w:spacing w:after="0"/>
              <w:rPr>
                <w:sz w:val="20"/>
                <w:szCs w:val="20"/>
                <w:color w:val="auto"/>
              </w:rPr>
            </w:pPr>
            <w:r>
              <w:rPr>
                <w:rFonts w:ascii="Arial" w:cs="Arial" w:eastAsia="Arial" w:hAnsi="Arial"/>
                <w:sz w:val="17"/>
                <w:szCs w:val="17"/>
                <w:color w:val="0000FF"/>
                <w:w w:val="91"/>
              </w:rPr>
              <w:t>413,349</w:t>
            </w:r>
          </w:p>
        </w:tc>
        <w:tc>
          <w:tcPr>
            <w:tcW w:w="280" w:type="dxa"/>
            <w:vAlign w:val="bottom"/>
          </w:tcPr>
          <w:p>
            <w:pPr>
              <w:spacing w:after="0"/>
              <w:rPr>
                <w:sz w:val="22"/>
                <w:szCs w:val="22"/>
                <w:color w:val="auto"/>
              </w:rPr>
            </w:pPr>
          </w:p>
        </w:tc>
        <w:tc>
          <w:tcPr>
            <w:tcW w:w="640" w:type="dxa"/>
            <w:vAlign w:val="bottom"/>
            <w:vMerge w:val="restart"/>
          </w:tcPr>
          <w:p>
            <w:pPr>
              <w:jc w:val="center"/>
              <w:ind w:left="305"/>
              <w:spacing w:after="0"/>
              <w:rPr>
                <w:sz w:val="20"/>
                <w:szCs w:val="20"/>
                <w:color w:val="auto"/>
              </w:rPr>
            </w:pPr>
            <w:r>
              <w:rPr>
                <w:rFonts w:ascii="Arial" w:cs="Arial" w:eastAsia="Arial" w:hAnsi="Arial"/>
                <w:sz w:val="17"/>
                <w:szCs w:val="17"/>
                <w:color w:val="0000FF"/>
              </w:rPr>
              <w:t>I</w:t>
            </w:r>
          </w:p>
        </w:tc>
        <w:tc>
          <w:tcPr>
            <w:tcW w:w="42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gridSpan w:val="2"/>
            <w:vMerge w:val="restart"/>
          </w:tcPr>
          <w:p>
            <w:pPr>
              <w:spacing w:after="0"/>
              <w:rPr>
                <w:sz w:val="20"/>
                <w:szCs w:val="20"/>
                <w:color w:val="auto"/>
              </w:rPr>
            </w:pPr>
            <w:r>
              <w:rPr>
                <w:rFonts w:ascii="Arial" w:cs="Arial" w:eastAsia="Arial" w:hAnsi="Arial"/>
                <w:sz w:val="17"/>
                <w:szCs w:val="17"/>
                <w:color w:val="0000FF"/>
                <w:w w:val="91"/>
              </w:rPr>
              <w:t>Partnership</w:t>
            </w:r>
            <w:r>
              <w:rPr>
                <w:rFonts w:ascii="Arial" w:cs="Arial" w:eastAsia="Arial" w:hAnsi="Arial"/>
                <w:sz w:val="22"/>
                <w:szCs w:val="22"/>
                <w:color w:val="008000"/>
                <w:w w:val="91"/>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left="189"/>
              <w:spacing w:after="0"/>
              <w:rPr>
                <w:sz w:val="20"/>
                <w:szCs w:val="20"/>
                <w:color w:val="auto"/>
              </w:rPr>
            </w:pPr>
            <w:r>
              <w:rPr>
                <w:rFonts w:ascii="Arial" w:cs="Arial" w:eastAsia="Arial" w:hAnsi="Arial"/>
                <w:sz w:val="17"/>
                <w:szCs w:val="17"/>
                <w:color w:val="0000FF"/>
                <w:w w:val="91"/>
              </w:rPr>
              <w:t>151,550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left="305"/>
              <w:spacing w:after="0"/>
              <w:rPr>
                <w:sz w:val="20"/>
                <w:szCs w:val="20"/>
                <w:color w:val="auto"/>
              </w:rPr>
            </w:pPr>
            <w:r>
              <w:rPr>
                <w:rFonts w:ascii="Arial" w:cs="Arial" w:eastAsia="Arial" w:hAnsi="Arial"/>
                <w:sz w:val="17"/>
                <w:szCs w:val="17"/>
                <w:color w:val="0000FF"/>
              </w:rPr>
              <w:t>I</w:t>
            </w:r>
          </w:p>
        </w:tc>
        <w:tc>
          <w:tcPr>
            <w:tcW w:w="4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0000FF"/>
              </w:rPr>
              <w:t>By Trust</w:t>
            </w:r>
            <w:r>
              <w:rPr>
                <w:rFonts w:ascii="Arial" w:cs="Arial" w:eastAsia="Arial" w:hAnsi="Arial"/>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0"/>
              </w:rPr>
              <w:t>2,977.57</w:t>
            </w:r>
          </w:p>
        </w:tc>
        <w:tc>
          <w:tcPr>
            <w:tcW w:w="640" w:type="dxa"/>
            <w:vAlign w:val="bottom"/>
            <w:vMerge w:val="restart"/>
          </w:tcPr>
          <w:p>
            <w:pPr>
              <w:jc w:val="center"/>
              <w:ind w:left="305"/>
              <w:spacing w:after="0"/>
              <w:rPr>
                <w:sz w:val="20"/>
                <w:szCs w:val="20"/>
                <w:color w:val="auto"/>
              </w:rPr>
            </w:pPr>
            <w:r>
              <w:rPr>
                <w:rFonts w:ascii="Arial" w:cs="Arial" w:eastAsia="Arial" w:hAnsi="Arial"/>
                <w:sz w:val="17"/>
                <w:szCs w:val="17"/>
                <w:color w:val="0000FF"/>
              </w:rPr>
              <w:t>I</w:t>
            </w:r>
          </w:p>
        </w:tc>
        <w:tc>
          <w:tcPr>
            <w:tcW w:w="420" w:type="dxa"/>
            <w:vAlign w:val="bottom"/>
          </w:tcPr>
          <w:p>
            <w:pPr>
              <w:spacing w:after="0"/>
              <w:rPr>
                <w:sz w:val="22"/>
                <w:szCs w:val="22"/>
                <w:color w:val="auto"/>
              </w:rPr>
            </w:pPr>
          </w:p>
        </w:tc>
        <w:tc>
          <w:tcPr>
            <w:tcW w:w="1100" w:type="dxa"/>
            <w:vAlign w:val="bottom"/>
            <w:gridSpan w:val="4"/>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gridSpan w:val="2"/>
            <w:vMerge w:val="restart"/>
          </w:tcPr>
          <w:p>
            <w:pPr>
              <w:spacing w:after="0"/>
              <w:rPr>
                <w:sz w:val="20"/>
                <w:szCs w:val="20"/>
                <w:color w:val="auto"/>
              </w:rPr>
            </w:pPr>
            <w:r>
              <w:rPr>
                <w:rFonts w:ascii="Arial" w:cs="Arial" w:eastAsia="Arial" w:hAnsi="Arial"/>
                <w:sz w:val="17"/>
                <w:szCs w:val="17"/>
                <w:color w:val="0000FF"/>
              </w:rPr>
              <w:t>-401(k)</w:t>
            </w:r>
            <w:r>
              <w:rPr>
                <w:rFonts w:ascii="Arial" w:cs="Arial" w:eastAsia="Arial" w:hAnsi="Arial"/>
                <w:sz w:val="22"/>
                <w:szCs w:val="22"/>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2"/>
            <w:vMerge w:val="restart"/>
          </w:tcPr>
          <w:p>
            <w:pPr>
              <w:jc w:val="center"/>
              <w:ind w:left="189"/>
              <w:spacing w:after="0"/>
              <w:rPr>
                <w:sz w:val="20"/>
                <w:szCs w:val="20"/>
                <w:color w:val="auto"/>
              </w:rPr>
            </w:pPr>
            <w:r>
              <w:rPr>
                <w:rFonts w:ascii="Arial" w:cs="Arial" w:eastAsia="Arial" w:hAnsi="Arial"/>
                <w:sz w:val="17"/>
                <w:szCs w:val="17"/>
                <w:color w:val="0000FF"/>
                <w:w w:val="92"/>
              </w:rPr>
              <w:t>479.73</w:t>
            </w:r>
          </w:p>
        </w:tc>
        <w:tc>
          <w:tcPr>
            <w:tcW w:w="280" w:type="dxa"/>
            <w:vAlign w:val="bottom"/>
          </w:tcPr>
          <w:p>
            <w:pPr>
              <w:spacing w:after="0"/>
              <w:rPr>
                <w:sz w:val="22"/>
                <w:szCs w:val="22"/>
                <w:color w:val="auto"/>
              </w:rPr>
            </w:pPr>
          </w:p>
        </w:tc>
        <w:tc>
          <w:tcPr>
            <w:tcW w:w="640" w:type="dxa"/>
            <w:vAlign w:val="bottom"/>
            <w:vMerge w:val="restart"/>
          </w:tcPr>
          <w:p>
            <w:pPr>
              <w:jc w:val="center"/>
              <w:ind w:left="305"/>
              <w:spacing w:after="0"/>
              <w:rPr>
                <w:sz w:val="20"/>
                <w:szCs w:val="20"/>
                <w:color w:val="auto"/>
              </w:rPr>
            </w:pPr>
            <w:r>
              <w:rPr>
                <w:rFonts w:ascii="Arial" w:cs="Arial" w:eastAsia="Arial" w:hAnsi="Arial"/>
                <w:sz w:val="17"/>
                <w:szCs w:val="17"/>
                <w:color w:val="0000FF"/>
              </w:rPr>
              <w:t>I</w:t>
            </w:r>
          </w:p>
        </w:tc>
        <w:tc>
          <w:tcPr>
            <w:tcW w:w="420" w:type="dxa"/>
            <w:vAlign w:val="bottom"/>
          </w:tcPr>
          <w:p>
            <w:pPr>
              <w:spacing w:after="0"/>
              <w:rPr>
                <w:sz w:val="22"/>
                <w:szCs w:val="22"/>
                <w:color w:val="auto"/>
              </w:rPr>
            </w:pPr>
          </w:p>
        </w:tc>
        <w:tc>
          <w:tcPr>
            <w:tcW w:w="1100" w:type="dxa"/>
            <w:vAlign w:val="bottom"/>
            <w:gridSpan w:val="4"/>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vMerge w:val="restart"/>
          </w:tcPr>
          <w:p>
            <w:pPr>
              <w:spacing w:after="0" w:line="276" w:lineRule="exact"/>
              <w:rPr>
                <w:sz w:val="20"/>
                <w:szCs w:val="20"/>
                <w:color w:val="auto"/>
              </w:rPr>
            </w:pPr>
            <w:r>
              <w:rPr>
                <w:rFonts w:ascii="Arial" w:cs="Arial" w:eastAsia="Arial" w:hAnsi="Arial"/>
                <w:sz w:val="32"/>
                <w:szCs w:val="32"/>
                <w:color w:val="0000FF"/>
                <w:w w:val="81"/>
                <w:vertAlign w:val="subscript"/>
              </w:rPr>
              <w:t>PS</w:t>
            </w:r>
            <w:r>
              <w:rPr>
                <w:rFonts w:ascii="Arial" w:cs="Arial" w:eastAsia="Arial" w:hAnsi="Arial"/>
                <w:sz w:val="11"/>
                <w:szCs w:val="11"/>
                <w:color w:val="008000"/>
                <w:w w:val="81"/>
              </w:rPr>
              <w:t>(4)</w:t>
            </w: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vMerge w:val="continue"/>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Form:</w:t>
            </w:r>
          </w:p>
        </w:tc>
        <w:tc>
          <w:tcPr>
            <w:tcW w:w="36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Owned</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(Instr. 4)</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55"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02/20/2009</w:t>
            </w:r>
          </w:p>
        </w:tc>
        <w:tc>
          <w:tcPr>
            <w:tcW w:w="1180" w:type="dxa"/>
            <w:vAlign w:val="bottom"/>
          </w:tcPr>
          <w:p>
            <w:pPr>
              <w:spacing w:after="0"/>
              <w:rPr>
                <w:sz w:val="22"/>
                <w:szCs w:val="22"/>
                <w:color w:val="auto"/>
              </w:rPr>
            </w:pPr>
          </w:p>
        </w:tc>
        <w:tc>
          <w:tcPr>
            <w:tcW w:w="500" w:type="dxa"/>
            <w:vAlign w:val="bottom"/>
          </w:tcPr>
          <w:p>
            <w:pPr>
              <w:ind w:left="180"/>
              <w:spacing w:after="0"/>
              <w:rPr>
                <w:sz w:val="20"/>
                <w:szCs w:val="20"/>
                <w:color w:val="auto"/>
              </w:rPr>
            </w:pPr>
            <w:r>
              <w:rPr>
                <w:rFonts w:ascii="Arial" w:cs="Arial" w:eastAsia="Arial" w:hAnsi="Arial"/>
                <w:sz w:val="13"/>
                <w:szCs w:val="13"/>
                <w:color w:val="0000FF"/>
              </w:rPr>
              <w:t>A</w:t>
            </w:r>
          </w:p>
        </w:tc>
        <w:tc>
          <w:tcPr>
            <w:tcW w:w="340" w:type="dxa"/>
            <w:vAlign w:val="bottom"/>
          </w:tcPr>
          <w:p>
            <w:pPr>
              <w:spacing w:after="0"/>
              <w:rPr>
                <w:sz w:val="22"/>
                <w:szCs w:val="22"/>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0000FF"/>
              </w:rPr>
              <w:t>445.63</w:t>
            </w:r>
          </w:p>
        </w:tc>
        <w:tc>
          <w:tcPr>
            <w:tcW w:w="320" w:type="dxa"/>
            <w:vAlign w:val="bottom"/>
          </w:tcPr>
          <w:p>
            <w:pPr>
              <w:spacing w:after="0"/>
              <w:rPr>
                <w:sz w:val="22"/>
                <w:szCs w:val="22"/>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(6)</w:t>
            </w:r>
          </w:p>
        </w:tc>
        <w:tc>
          <w:tcPr>
            <w:tcW w:w="740" w:type="dxa"/>
            <w:vAlign w:val="bottom"/>
          </w:tcPr>
          <w:p>
            <w:pPr>
              <w:ind w:left="320"/>
              <w:spacing w:after="0"/>
              <w:rPr>
                <w:sz w:val="20"/>
                <w:szCs w:val="20"/>
                <w:color w:val="auto"/>
              </w:rPr>
            </w:pPr>
            <w:r>
              <w:rPr>
                <w:rFonts w:ascii="Arial" w:cs="Arial" w:eastAsia="Arial" w:hAnsi="Arial"/>
                <w:sz w:val="11"/>
                <w:szCs w:val="11"/>
                <w:color w:val="008000"/>
              </w:rPr>
              <w:t>(6)</w:t>
            </w:r>
          </w:p>
        </w:tc>
        <w:tc>
          <w:tcPr>
            <w:tcW w:w="620" w:type="dxa"/>
            <w:vAlign w:val="bottom"/>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gridSpan w:val="2"/>
          </w:tcPr>
          <w:p>
            <w:pPr>
              <w:ind w:left="100"/>
              <w:spacing w:after="0"/>
              <w:rPr>
                <w:sz w:val="20"/>
                <w:szCs w:val="20"/>
                <w:color w:val="auto"/>
              </w:rPr>
            </w:pPr>
            <w:r>
              <w:rPr>
                <w:rFonts w:ascii="Arial" w:cs="Arial" w:eastAsia="Arial" w:hAnsi="Arial"/>
                <w:sz w:val="17"/>
                <w:szCs w:val="17"/>
                <w:color w:val="0000FF"/>
                <w:w w:val="96"/>
              </w:rPr>
              <w:t>445.63</w:t>
            </w:r>
          </w:p>
        </w:tc>
        <w:tc>
          <w:tcPr>
            <w:tcW w:w="82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14.96</w:t>
            </w:r>
          </w:p>
        </w:tc>
        <w:tc>
          <w:tcPr>
            <w:tcW w:w="920" w:type="dxa"/>
            <w:vAlign w:val="bottom"/>
            <w:gridSpan w:val="2"/>
          </w:tcPr>
          <w:p>
            <w:pPr>
              <w:ind w:left="80"/>
              <w:spacing w:after="0"/>
              <w:rPr>
                <w:sz w:val="20"/>
                <w:szCs w:val="20"/>
                <w:color w:val="auto"/>
              </w:rPr>
            </w:pPr>
            <w:r>
              <w:rPr>
                <w:rFonts w:ascii="Arial" w:cs="Arial" w:eastAsia="Arial" w:hAnsi="Arial"/>
                <w:sz w:val="13"/>
                <w:szCs w:val="13"/>
                <w:color w:val="0000FF"/>
              </w:rPr>
              <w:t>29,823.17</w:t>
            </w:r>
            <w:r>
              <w:rPr>
                <w:rFonts w:ascii="Arial" w:cs="Arial" w:eastAsia="Arial" w:hAnsi="Arial"/>
                <w:sz w:val="22"/>
                <w:szCs w:val="22"/>
                <w:color w:val="008000"/>
                <w:vertAlign w:val="superscript"/>
              </w:rPr>
              <w:t>(6)</w:t>
            </w:r>
          </w:p>
        </w:tc>
        <w:tc>
          <w:tcPr>
            <w:tcW w:w="420" w:type="dxa"/>
            <w:vAlign w:val="bottom"/>
          </w:tcPr>
          <w:p>
            <w:pPr>
              <w:ind w:left="320"/>
              <w:spacing w:after="0"/>
              <w:rPr>
                <w:sz w:val="20"/>
                <w:szCs w:val="20"/>
                <w:color w:val="auto"/>
              </w:rPr>
            </w:pPr>
            <w:r>
              <w:rPr>
                <w:rFonts w:ascii="Arial" w:cs="Arial" w:eastAsia="Arial" w:hAnsi="Arial"/>
                <w:sz w:val="13"/>
                <w:szCs w:val="13"/>
                <w:color w:val="0000FF"/>
                <w:w w:val="84"/>
              </w:rPr>
              <w:t>D</w:t>
            </w: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family limited partnership of which the reporting person is a general partner. Reporting person disclaims beneficial ownership except to the extent of his pecuniary interest in the partnership.</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1-31-09. (Interests in this account are denominated in units. Consequently, share amount shown is an estimate.) This statement does not include changes in beneficial ownership of shares held in this account occurring after 1-31-09 that are eligible for deferred reporting on Form 5.</w:t>
      </w:r>
    </w:p>
    <w:p>
      <w:pPr>
        <w:spacing w:after="0" w:line="10" w:lineRule="exact"/>
        <w:rPr>
          <w:rFonts w:ascii="Arial" w:cs="Arial" w:eastAsia="Arial" w:hAnsi="Arial"/>
          <w:sz w:val="13"/>
          <w:szCs w:val="13"/>
          <w:color w:val="008000"/>
        </w:rPr>
      </w:pPr>
    </w:p>
    <w:p>
      <w:pPr>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1-31-09. (Interests in this account are denominated in units. Consequently, share amount shown is an estimate.) This statement does not include changes in beneficial ownership of shares held in such account occurring after 1-31-09 that are eligible for deferred reporting on Form 5. Beneficial ownership by reporting person disclaimed.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 End-of-period holdings include stock units acquired pursuant to the dividend reinvestment provision of the Plan.</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Cynthia H. Haynes,</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02/23/2009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1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2019-12-16T23:29:51Z</dcterms:created>
  <dcterms:modified xsi:type="dcterms:W3CDTF">2019-12-16T23:29:51Z</dcterms:modified>
</cp:coreProperties>
</file>