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536575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DATE OF REPORT (DATE OF EARLIEST EVENT REPORTED): April 21,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556260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787" w:right="7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36"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787" w:right="759" w:bottom="1440" w:gutter="0" w:footer="0" w:header="0"/>
          <w:type w:val="continuous"/>
        </w:sectPr>
      </w:pPr>
    </w:p>
    <w:p>
      <w:pPr>
        <w:spacing w:after="0" w:line="102"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787" w:right="75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703580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787"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Registrant's news release dated April 21, 2008, regarding its first quarter 2008 results of operations and financial condition is attached hereto as Exhibit 99 and is incorporated by reference herein.</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9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Thomas J. Engibous retired as an executive officer and Chairman of the Board of the Registrant effective April 17, 2008. Notice of his retirement was previously given in a Form 8-K filed on January 17, 2008.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32"/>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43"/>
        </w:trPr>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April 21, 2008 (furnished pursuant to Item 2.02)</w:t>
            </w: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April 21,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68" w:right="239" w:bottom="86"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financial results for 1Q08</w:t>
      </w:r>
    </w:p>
    <w:p>
      <w:pPr>
        <w:spacing w:after="0" w:line="200" w:lineRule="exact"/>
        <w:rPr>
          <w:sz w:val="20"/>
          <w:szCs w:val="20"/>
          <w:color w:val="auto"/>
        </w:rPr>
      </w:pPr>
    </w:p>
    <w:p>
      <w:pPr>
        <w:spacing w:after="0" w:line="289" w:lineRule="exact"/>
        <w:rPr>
          <w:sz w:val="20"/>
          <w:szCs w:val="20"/>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is $3.27 billion</w:t>
      </w:r>
    </w:p>
    <w:p>
      <w:pPr>
        <w:spacing w:after="0" w:line="23"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is $0.49, including discrete tax items of $0.06</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High-performance analog revenue up 20 percent from year ago</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Except as noted, financial results are for continuing operations. The sale of TI’s former Sensors &amp; Controls business was completed on April 27, 2006, and that business is reported as a discontinued operation.</w:t>
      </w:r>
    </w:p>
    <w:p>
      <w:pPr>
        <w:spacing w:after="0" w:line="19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DALLAS (April 21, 2008) – Financial results from Texas Instruments Incorporated (TI) (NYSE:TXN) for the first quarter reflect the company’s strengthening position in the market for analog semiconductors.</w:t>
      </w:r>
    </w:p>
    <w:p>
      <w:pPr>
        <w:spacing w:after="0" w:line="19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TI revenue was up 3 percent from the year-ago quarter, led by 20 percent growth in high-performance analog semiconductors. TI’s operating profit grew 19 percent. “Analog is making us stronger and will be a great growth opportunity for a very long time. Analog goes into almost every piece of electronic equipment that is made, and at TI we have the technology and the manufacturing power to serve much more of this market than we are addressing today. There also are clear benefits to our operating profit, which has grown faster than revenue, and to our cash flow, which we can return to shareholders or reinvest in growth," said Rich Templeton, TI’s chairman, president and CEO.</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Compared with the fourth quarter, TI revenue declined 8 percent primarily due to weaker sales into cell phones, especially high-end cell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phones. “Given uncertainty in the near-term economy, we have become more conservative with our outlook for the second quarter. More strategically,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believe our long-term opportunity is excellent. We’re continuing to do the things needed to be the better choice for our customers, such as adding sales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applications engineers, investing in new products, and increasing assembly/test capability,” Templeton said.</w:t>
      </w:r>
    </w:p>
    <w:p>
      <w:pPr>
        <w:spacing w:after="0" w:line="23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addition to traditional markets in communications and entertainment, analog semiconductors and digital signal processors are at the heart of solving some of the world’s most challenging problems in healthcare, energy and security. We’ve achieved early positions in each of these, all of which are just beginning to leverage semiconductor technology,” Templeton said.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TI financial results</w:t>
      </w:r>
    </w:p>
    <w:p>
      <w:pPr>
        <w:spacing w:after="0" w:line="256" w:lineRule="exact"/>
        <w:rPr>
          <w:sz w:val="20"/>
          <w:szCs w:val="20"/>
          <w:color w:val="auto"/>
        </w:rPr>
      </w:pPr>
    </w:p>
    <w:p>
      <w:pPr>
        <w:ind w:left="340" w:hanging="143"/>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 was $3.27 billion, up $81 million, or 3 percent, from a year ago. Compared with the prior quarter, revenue decreased $284 million, or 8 percent.</w:t>
      </w:r>
    </w:p>
    <w:p>
      <w:pPr>
        <w:spacing w:after="0" w:line="275" w:lineRule="exact"/>
        <w:rPr>
          <w:rFonts w:ascii="Arial" w:cs="Arial" w:eastAsia="Arial" w:hAnsi="Arial"/>
          <w:sz w:val="16"/>
          <w:szCs w:val="16"/>
          <w:color w:val="auto"/>
        </w:rPr>
      </w:pPr>
    </w:p>
    <w:p>
      <w:pPr>
        <w:ind w:left="340" w:hanging="143"/>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was $1.76 billion, or 53.7 percent of revenue. This was up $119 million from a year ago. Gross profit declined $170 million from the prior quarter.</w:t>
      </w:r>
    </w:p>
    <w:p>
      <w:pPr>
        <w:spacing w:after="0" w:line="197" w:lineRule="exact"/>
        <w:rPr>
          <w:rFonts w:ascii="Arial" w:cs="Arial" w:eastAsia="Arial" w:hAnsi="Arial"/>
          <w:sz w:val="18"/>
          <w:szCs w:val="18"/>
          <w:color w:val="auto"/>
        </w:rPr>
      </w:pPr>
    </w:p>
    <w:p>
      <w:pPr>
        <w:jc w:val="both"/>
        <w:ind w:left="340" w:hanging="143"/>
        <w:spacing w:after="0" w:line="25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expenses were $514 million for research and development (R&amp;D) and $435 million for selling, general and administrative (SG&amp;A). R&amp;D expense decreased $38 million from a year ago as the company continues to benefit from its collaborative work with foundries on advanced digital process technologies. R&amp;D expense was about the same as the prior quarter. SG&amp;A expense increased $30 million from the year-ago quarter primarily due to higher investments in field sales and customer support, especially for emerging regions. SG&amp;A expense increased $13 million from the prior quarter.</w:t>
      </w:r>
    </w:p>
    <w:p>
      <w:pPr>
        <w:spacing w:after="0" w:line="215"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was $807 million, or 24.7 percent of revenue. This was an increase of $127 million from the year-ago quarter. Operating profit decreased $189 million from the prior quarter.</w:t>
      </w:r>
    </w:p>
    <w:p>
      <w:pPr>
        <w:spacing w:after="0" w:line="197" w:lineRule="exact"/>
        <w:rPr>
          <w:rFonts w:ascii="Arial" w:cs="Arial" w:eastAsia="Arial" w:hAnsi="Arial"/>
          <w:sz w:val="18"/>
          <w:szCs w:val="18"/>
          <w:color w:val="auto"/>
        </w:rPr>
      </w:pPr>
    </w:p>
    <w:p>
      <w:pPr>
        <w:ind w:left="340" w:right="20" w:hanging="143"/>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income was $33 million. This was down $6 million from the year-ago quarter and down $13 million from the prior quarter due to lower interest income.</w:t>
      </w:r>
    </w:p>
    <w:p>
      <w:pPr>
        <w:spacing w:after="0" w:line="197" w:lineRule="exact"/>
        <w:rPr>
          <w:sz w:val="20"/>
          <w:szCs w:val="20"/>
          <w:color w:val="auto"/>
        </w:rPr>
      </w:pPr>
    </w:p>
    <w:p>
      <w:pPr>
        <w:jc w:val="both"/>
        <w:ind w:left="340" w:hanging="134"/>
        <w:spacing w:after="0" w:line="264" w:lineRule="auto"/>
        <w:rPr>
          <w:sz w:val="20"/>
          <w:szCs w:val="20"/>
          <w:color w:val="auto"/>
        </w:rPr>
      </w:pPr>
      <w:r>
        <w:rPr>
          <w:rFonts w:ascii="Arial" w:cs="Arial" w:eastAsia="Arial" w:hAnsi="Arial"/>
          <w:sz w:val="18"/>
          <w:szCs w:val="18"/>
          <w:color w:val="auto"/>
        </w:rPr>
        <w:t>· Income from continuing operations was $662 million, including a discrete tax benefit of $81 million associated with the company’s decision to indefinitely reinvest the accumulated earnings of a non-U.S. subsidiary. Income from continuing operations increased $146 million from the year-ago quarter and declined $91 million from the prior quarter.</w:t>
      </w:r>
    </w:p>
    <w:p>
      <w:pPr>
        <w:spacing w:after="0" w:line="208" w:lineRule="exact"/>
        <w:rPr>
          <w:sz w:val="20"/>
          <w:szCs w:val="20"/>
          <w:color w:val="auto"/>
        </w:rPr>
      </w:pPr>
    </w:p>
    <w:p>
      <w:pPr>
        <w:ind w:left="340" w:hanging="143"/>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per share (EPS) were $0.49 and included a discrete tax benefit of $0.06. EPS increased $0.14 from the year-ago quarter and decreased $0.05 from the prior quarter.</w:t>
      </w:r>
    </w:p>
    <w:p>
      <w:pPr>
        <w:spacing w:after="0" w:line="197"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Orders were $3.32 billion. This was an increase of $111 million from the year-ago quarter and a decline of $164 million from the prior quarter.</w:t>
      </w:r>
    </w:p>
    <w:p>
      <w:pPr>
        <w:spacing w:after="0" w:line="263" w:lineRule="exact"/>
        <w:rPr>
          <w:rFonts w:ascii="Arial" w:cs="Arial" w:eastAsia="Arial" w:hAnsi="Arial"/>
          <w:sz w:val="17"/>
          <w:szCs w:val="17"/>
          <w:color w:val="auto"/>
        </w:rPr>
      </w:pPr>
    </w:p>
    <w:p>
      <w:pPr>
        <w:ind w:left="340" w:hanging="143"/>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Cash flow from operations was $641 million, an increase of $87 million from a year ago and a decrease of $781 million from the prior quarter.</w:t>
      </w:r>
    </w:p>
    <w:p>
      <w:pPr>
        <w:spacing w:after="0" w:line="263" w:lineRule="exact"/>
        <w:rPr>
          <w:rFonts w:ascii="Arial" w:cs="Arial" w:eastAsia="Arial" w:hAnsi="Arial"/>
          <w:sz w:val="17"/>
          <w:szCs w:val="17"/>
          <w:color w:val="auto"/>
        </w:rPr>
      </w:pPr>
    </w:p>
    <w:p>
      <w:pPr>
        <w:jc w:val="both"/>
        <w:ind w:left="340" w:hanging="143"/>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receivable were $1.67 billion at the end of the quarter. This was a decrease of $87 million from the year-ago quarter and a decrease of $73 million from the prior quarter. Days sales outstanding were 46 at the end of the quarter compared with 50 a year ago and 44 at the end of the prior quarter.</w:t>
      </w:r>
    </w:p>
    <w:p>
      <w:pPr>
        <w:spacing w:after="0" w:line="208" w:lineRule="exact"/>
        <w:rPr>
          <w:rFonts w:ascii="Arial" w:cs="Arial" w:eastAsia="Arial" w:hAnsi="Arial"/>
          <w:sz w:val="18"/>
          <w:szCs w:val="18"/>
          <w:color w:val="auto"/>
        </w:rPr>
      </w:pPr>
    </w:p>
    <w:p>
      <w:pPr>
        <w:ind w:left="340" w:right="20" w:hanging="143"/>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Inventory was $1.58 billion at the end of the quarter. This was $169 million higher than the year-ago quarter and $160 million higher than the prior quarter. Days of inventory at the end of the first quarter were 94, up 12 days from a year ago and up 16 days from the prior quarter.</w:t>
      </w:r>
    </w:p>
    <w:p>
      <w:pPr>
        <w:spacing w:after="0" w:line="173" w:lineRule="exact"/>
        <w:rPr>
          <w:rFonts w:ascii="Arial" w:cs="Arial" w:eastAsia="Arial" w:hAnsi="Arial"/>
          <w:sz w:val="17"/>
          <w:szCs w:val="17"/>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spending totaled $219 million. Depreciation was $241 million.</w:t>
      </w:r>
    </w:p>
    <w:p>
      <w:pPr>
        <w:sectPr>
          <w:pgSz w:w="11900" w:h="16838" w:orient="portrait"/>
          <w:cols w:equalWidth="0" w:num="1">
            <w:col w:w="11420"/>
          </w:cols>
          <w:pgMar w:left="240" w:top="125" w:right="239" w:bottom="0" w:gutter="0" w:footer="0" w:header="0"/>
        </w:sectPr>
      </w:pPr>
    </w:p>
    <w:bookmarkStart w:id="3" w:name="page4"/>
    <w:bookmarkEnd w:id="3"/>
    <w:p>
      <w:pPr>
        <w:jc w:val="both"/>
        <w:ind w:left="340" w:hanging="143"/>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cash (cash and cash equivalents plus short-term investments) was $1.88 billion at the end of the quarter. This was $1.46 billion lower than a year ago and $1.05 billion lower than the prior quarter. The company reduced its holdings of auction-rate securities, which are based on pools of student loans that are guaranteed by the U.S. Department of Education, by $473 million from the end of the prior quarter. As of the end of the first quarter, TI reclassified its remaining auction-rate securities, which have a fair value of $551 million, from short-term investments to long-term investments due to reduced liquidity for these securities. The company used $874 million in the quarter to repurchase 28.6 million shares of its common stock and paid dividends of $133 million.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For the second quarter of 2008, TI currently expects its financial results to fall within the following ranges:</w:t>
      </w:r>
    </w:p>
    <w:p>
      <w:pPr>
        <w:spacing w:after="0" w:line="246" w:lineRule="exact"/>
        <w:rPr>
          <w:sz w:val="20"/>
          <w:szCs w:val="20"/>
          <w:color w:val="auto"/>
        </w:rPr>
      </w:pPr>
    </w:p>
    <w:p>
      <w:pPr>
        <w:ind w:left="5020"/>
        <w:spacing w:after="0"/>
        <w:tabs>
          <w:tab w:leader="none" w:pos="6480" w:val="left"/>
        </w:tabs>
        <w:rPr>
          <w:sz w:val="20"/>
          <w:szCs w:val="20"/>
          <w:color w:val="auto"/>
        </w:rPr>
      </w:pPr>
      <w:r>
        <w:rPr>
          <w:rFonts w:ascii="Arial" w:cs="Arial" w:eastAsia="Arial" w:hAnsi="Arial"/>
          <w:sz w:val="18"/>
          <w:szCs w:val="18"/>
          <w:color w:val="auto"/>
        </w:rPr>
        <w:t>Total TI revenue:</w:t>
      </w:r>
      <w:r>
        <w:rPr>
          <w:sz w:val="20"/>
          <w:szCs w:val="20"/>
          <w:color w:val="auto"/>
        </w:rPr>
        <w:tab/>
      </w:r>
      <w:r>
        <w:rPr>
          <w:rFonts w:ascii="Arial" w:cs="Arial" w:eastAsia="Arial" w:hAnsi="Arial"/>
          <w:sz w:val="16"/>
          <w:szCs w:val="16"/>
          <w:color w:val="auto"/>
        </w:rPr>
        <w:t>$3.24 - 3.50 billion</w:t>
      </w:r>
    </w:p>
    <w:p>
      <w:pPr>
        <w:spacing w:after="0" w:line="23" w:lineRule="exact"/>
        <w:rPr>
          <w:sz w:val="20"/>
          <w:szCs w:val="20"/>
          <w:color w:val="auto"/>
        </w:rPr>
      </w:pPr>
    </w:p>
    <w:p>
      <w:pPr>
        <w:ind w:left="4520"/>
        <w:spacing w:after="0"/>
        <w:tabs>
          <w:tab w:leader="none" w:pos="6480" w:val="left"/>
        </w:tabs>
        <w:rPr>
          <w:sz w:val="20"/>
          <w:szCs w:val="20"/>
          <w:color w:val="auto"/>
        </w:rPr>
      </w:pPr>
      <w:r>
        <w:rPr>
          <w:rFonts w:ascii="Arial" w:cs="Arial" w:eastAsia="Arial" w:hAnsi="Arial"/>
          <w:sz w:val="18"/>
          <w:szCs w:val="18"/>
          <w:color w:val="auto"/>
        </w:rPr>
        <w:t>Semiconductor revenue:</w:t>
      </w:r>
      <w:r>
        <w:rPr>
          <w:sz w:val="20"/>
          <w:szCs w:val="20"/>
          <w:color w:val="auto"/>
        </w:rPr>
        <w:tab/>
      </w:r>
      <w:r>
        <w:rPr>
          <w:rFonts w:ascii="Arial" w:cs="Arial" w:eastAsia="Arial" w:hAnsi="Arial"/>
          <w:sz w:val="16"/>
          <w:szCs w:val="16"/>
          <w:color w:val="auto"/>
        </w:rPr>
        <w:t>$3.08 - 3.32 billion</w:t>
      </w:r>
    </w:p>
    <w:p>
      <w:pPr>
        <w:spacing w:after="0" w:line="9" w:lineRule="exact"/>
        <w:rPr>
          <w:sz w:val="20"/>
          <w:szCs w:val="20"/>
          <w:color w:val="auto"/>
        </w:rPr>
      </w:pPr>
    </w:p>
    <w:p>
      <w:pPr>
        <w:ind w:left="3980"/>
        <w:spacing w:after="0"/>
        <w:tabs>
          <w:tab w:leader="none" w:pos="6480" w:val="left"/>
        </w:tabs>
        <w:rPr>
          <w:sz w:val="20"/>
          <w:szCs w:val="20"/>
          <w:color w:val="auto"/>
        </w:rPr>
      </w:pPr>
      <w:r>
        <w:rPr>
          <w:rFonts w:ascii="Arial" w:cs="Arial" w:eastAsia="Arial" w:hAnsi="Arial"/>
          <w:sz w:val="18"/>
          <w:szCs w:val="18"/>
          <w:color w:val="auto"/>
        </w:rPr>
        <w:t>Education Technology revenue:</w:t>
      </w:r>
      <w:r>
        <w:rPr>
          <w:sz w:val="20"/>
          <w:szCs w:val="20"/>
          <w:color w:val="auto"/>
        </w:rPr>
        <w:tab/>
      </w:r>
      <w:r>
        <w:rPr>
          <w:rFonts w:ascii="Arial" w:cs="Arial" w:eastAsia="Arial" w:hAnsi="Arial"/>
          <w:sz w:val="16"/>
          <w:szCs w:val="16"/>
          <w:color w:val="auto"/>
        </w:rPr>
        <w:t>$160 - 180 million</w:t>
      </w:r>
    </w:p>
    <w:p>
      <w:pPr>
        <w:spacing w:after="0" w:line="9" w:lineRule="exact"/>
        <w:rPr>
          <w:sz w:val="20"/>
          <w:szCs w:val="20"/>
          <w:color w:val="auto"/>
        </w:rPr>
      </w:pPr>
    </w:p>
    <w:p>
      <w:pPr>
        <w:ind w:left="5920"/>
        <w:spacing w:after="0"/>
        <w:tabs>
          <w:tab w:leader="none" w:pos="6480" w:val="left"/>
        </w:tabs>
        <w:rPr>
          <w:sz w:val="20"/>
          <w:szCs w:val="20"/>
          <w:color w:val="auto"/>
        </w:rPr>
      </w:pPr>
      <w:r>
        <w:rPr>
          <w:rFonts w:ascii="Arial" w:cs="Arial" w:eastAsia="Arial" w:hAnsi="Arial"/>
          <w:sz w:val="18"/>
          <w:szCs w:val="18"/>
          <w:color w:val="auto"/>
        </w:rPr>
        <w:t>EPS:</w:t>
        <w:tab/>
        <w:t>$0.42 – 0.48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update its second-quarter outlook on June 9, 2008.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2008, TI continues to expect the following:</w:t>
      </w:r>
    </w:p>
    <w:p>
      <w:pPr>
        <w:spacing w:after="0" w:line="252" w:lineRule="exact"/>
        <w:rPr>
          <w:sz w:val="20"/>
          <w:szCs w:val="20"/>
          <w:color w:val="auto"/>
        </w:rPr>
      </w:pPr>
    </w:p>
    <w:p>
      <w:pPr>
        <w:ind w:left="5200"/>
        <w:spacing w:after="0"/>
        <w:tabs>
          <w:tab w:leader="none" w:pos="6480" w:val="left"/>
        </w:tabs>
        <w:rPr>
          <w:sz w:val="20"/>
          <w:szCs w:val="20"/>
          <w:color w:val="auto"/>
        </w:rPr>
      </w:pPr>
      <w:r>
        <w:rPr>
          <w:rFonts w:ascii="Arial" w:cs="Arial" w:eastAsia="Arial" w:hAnsi="Arial"/>
          <w:sz w:val="18"/>
          <w:szCs w:val="18"/>
          <w:color w:val="auto"/>
        </w:rPr>
        <w:t>R&amp;D expense:</w:t>
      </w:r>
      <w:r>
        <w:rPr>
          <w:sz w:val="20"/>
          <w:szCs w:val="20"/>
          <w:color w:val="auto"/>
        </w:rPr>
        <w:tab/>
      </w:r>
      <w:r>
        <w:rPr>
          <w:rFonts w:ascii="Arial" w:cs="Arial" w:eastAsia="Arial" w:hAnsi="Arial"/>
          <w:sz w:val="17"/>
          <w:szCs w:val="17"/>
          <w:color w:val="auto"/>
        </w:rPr>
        <w:t>$2.0 billion</w:t>
      </w:r>
    </w:p>
    <w:p>
      <w:pPr>
        <w:spacing w:after="0" w:line="23" w:lineRule="exact"/>
        <w:rPr>
          <w:sz w:val="20"/>
          <w:szCs w:val="20"/>
          <w:color w:val="auto"/>
        </w:rPr>
      </w:pPr>
    </w:p>
    <w:p>
      <w:pPr>
        <w:ind w:left="4740"/>
        <w:spacing w:after="0"/>
        <w:tabs>
          <w:tab w:leader="none" w:pos="6480" w:val="left"/>
        </w:tabs>
        <w:rPr>
          <w:sz w:val="20"/>
          <w:szCs w:val="20"/>
          <w:color w:val="auto"/>
        </w:rPr>
      </w:pPr>
      <w:r>
        <w:rPr>
          <w:rFonts w:ascii="Arial" w:cs="Arial" w:eastAsia="Arial" w:hAnsi="Arial"/>
          <w:sz w:val="18"/>
          <w:szCs w:val="18"/>
          <w:color w:val="auto"/>
        </w:rPr>
        <w:t>Capital expenditures:</w:t>
      </w:r>
      <w:r>
        <w:rPr>
          <w:sz w:val="20"/>
          <w:szCs w:val="20"/>
          <w:color w:val="auto"/>
        </w:rPr>
        <w:tab/>
      </w:r>
      <w:r>
        <w:rPr>
          <w:rFonts w:ascii="Arial" w:cs="Arial" w:eastAsia="Arial" w:hAnsi="Arial"/>
          <w:sz w:val="17"/>
          <w:szCs w:val="17"/>
          <w:color w:val="auto"/>
        </w:rPr>
        <w:t>$0.9 billion</w:t>
      </w:r>
    </w:p>
    <w:p>
      <w:pPr>
        <w:spacing w:after="0" w:line="9" w:lineRule="exact"/>
        <w:rPr>
          <w:sz w:val="20"/>
          <w:szCs w:val="20"/>
          <w:color w:val="auto"/>
        </w:rPr>
      </w:pPr>
    </w:p>
    <w:p>
      <w:pPr>
        <w:ind w:left="5300"/>
        <w:spacing w:after="0"/>
        <w:tabs>
          <w:tab w:leader="none" w:pos="6480" w:val="left"/>
        </w:tabs>
        <w:rPr>
          <w:sz w:val="20"/>
          <w:szCs w:val="20"/>
          <w:color w:val="auto"/>
        </w:rPr>
      </w:pPr>
      <w:r>
        <w:rPr>
          <w:rFonts w:ascii="Arial" w:cs="Arial" w:eastAsia="Arial" w:hAnsi="Arial"/>
          <w:sz w:val="18"/>
          <w:szCs w:val="18"/>
          <w:color w:val="auto"/>
        </w:rPr>
        <w:t>Depreciation:</w:t>
        <w:tab/>
        <w:t>$1.0 billion</w:t>
      </w:r>
    </w:p>
    <w:p>
      <w:pPr>
        <w:spacing w:after="0" w:line="9" w:lineRule="exact"/>
        <w:rPr>
          <w:sz w:val="20"/>
          <w:szCs w:val="20"/>
          <w:color w:val="auto"/>
        </w:rPr>
      </w:pPr>
    </w:p>
    <w:p>
      <w:pPr>
        <w:ind w:left="4440"/>
        <w:spacing w:after="0"/>
        <w:tabs>
          <w:tab w:leader="none" w:pos="6480" w:val="left"/>
        </w:tabs>
        <w:rPr>
          <w:sz w:val="20"/>
          <w:szCs w:val="20"/>
          <w:color w:val="auto"/>
        </w:rPr>
      </w:pPr>
      <w:r>
        <w:rPr>
          <w:rFonts w:ascii="Arial" w:cs="Arial" w:eastAsia="Arial" w:hAnsi="Arial"/>
          <w:sz w:val="18"/>
          <w:szCs w:val="18"/>
          <w:color w:val="auto"/>
        </w:rPr>
        <w:t>Annual effective tax rate:</w:t>
      </w:r>
      <w:r>
        <w:rPr>
          <w:sz w:val="20"/>
          <w:szCs w:val="20"/>
          <w:color w:val="auto"/>
        </w:rPr>
        <w:tab/>
      </w: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rPr>
              <w:t>For Three Months Ended</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6"/>
              </w:rPr>
              <w:t>Mar. 31, 2008</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Dec. 31, 2007</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Mar. 31, 2007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3,272</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3,556</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Cost of revenue</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1,516</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1,630</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1,756</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1,926</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514</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508</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435</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422</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Total operating costs and expenses</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2,465</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2,560</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807</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996</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33</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840</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1,042</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178</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289</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662</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753</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from discontinued operations, net of taxes</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662</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756</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.50</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.49</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.49</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1,327</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1,372</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1,347</w:t>
            </w:r>
          </w:p>
        </w:tc>
        <w:tc>
          <w:tcPr>
            <w:tcW w:w="40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1,399</w:t>
            </w:r>
          </w:p>
        </w:tc>
        <w:tc>
          <w:tcPr>
            <w:tcW w:w="4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53.7%</w:t>
            </w:r>
          </w:p>
        </w:tc>
        <w:tc>
          <w:tcPr>
            <w:tcW w:w="4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54.2%</w:t>
            </w: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15.7%</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SG&amp;A</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13.3%</w:t>
            </w:r>
          </w:p>
        </w:tc>
        <w:tc>
          <w:tcPr>
            <w:tcW w:w="4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24.7%</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848"/>
        </w:trPr>
        <w:tc>
          <w:tcPr>
            <w:tcW w:w="20" w:type="dxa"/>
            <w:vAlign w:val="bottom"/>
          </w:tcPr>
          <w:p>
            <w:pPr>
              <w:spacing w:after="0"/>
              <w:rPr>
                <w:sz w:val="24"/>
                <w:szCs w:val="24"/>
                <w:color w:val="auto"/>
              </w:rPr>
            </w:pPr>
          </w:p>
        </w:tc>
        <w:tc>
          <w:tcPr>
            <w:tcW w:w="72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Mar. 31,</w:t>
            </w:r>
          </w:p>
        </w:tc>
        <w:tc>
          <w:tcPr>
            <w:tcW w:w="1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Mar.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ind w:right="62"/>
              <w:spacing w:after="0"/>
              <w:rPr>
                <w:sz w:val="20"/>
                <w:szCs w:val="20"/>
                <w:color w:val="auto"/>
              </w:rPr>
            </w:pPr>
            <w:r>
              <w:rPr>
                <w:rFonts w:ascii="Arial" w:cs="Arial" w:eastAsia="Arial" w:hAnsi="Arial"/>
                <w:sz w:val="5"/>
                <w:szCs w:val="5"/>
                <w:b w:val="1"/>
                <w:bCs w:val="1"/>
                <w:color w:val="auto"/>
                <w:w w:val="70"/>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1,450</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9"/>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8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($25), ($26) and ($25)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1,669</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943</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1,578</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193</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5,975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7,493</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7,715</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3,585</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838</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618</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122</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ind w:right="62"/>
              <w:spacing w:after="0"/>
              <w:rPr>
                <w:sz w:val="20"/>
                <w:szCs w:val="20"/>
                <w:color w:val="auto"/>
              </w:rPr>
            </w:pPr>
            <w:r>
              <w:rPr>
                <w:rFonts w:ascii="Arial" w:cs="Arial" w:eastAsia="Arial" w:hAnsi="Arial"/>
                <w:sz w:val="5"/>
                <w:szCs w:val="5"/>
                <w:b w:val="1"/>
                <w:bCs w:val="1"/>
                <w:color w:val="auto"/>
                <w:w w:val="70"/>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12,338</w:t>
            </w: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ind w:right="79"/>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12,667</w:t>
            </w:r>
          </w:p>
        </w:tc>
        <w:tc>
          <w:tcPr>
            <w:tcW w:w="180" w:type="dxa"/>
            <w:vAlign w:val="bottom"/>
            <w:tcBorders>
              <w:left w:val="single" w:sz="8" w:color="CCEEFF"/>
            </w:tcBorders>
            <w:shd w:val="clear" w:color="auto" w:fill="CCEEFF"/>
          </w:tcPr>
          <w:p>
            <w:pPr>
              <w:spacing w:after="0"/>
              <w:rPr>
                <w:sz w:val="22"/>
                <w:szCs w:val="2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14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jc w:val="right"/>
              <w:ind w:right="62"/>
              <w:spacing w:after="0"/>
              <w:rPr>
                <w:sz w:val="20"/>
                <w:szCs w:val="20"/>
                <w:color w:val="auto"/>
              </w:rPr>
            </w:pPr>
            <w:r>
              <w:rPr>
                <w:rFonts w:ascii="Arial" w:cs="Arial" w:eastAsia="Arial" w:hAnsi="Arial"/>
                <w:sz w:val="5"/>
                <w:szCs w:val="5"/>
                <w:b w:val="1"/>
                <w:bCs w:val="1"/>
                <w:color w:val="auto"/>
                <w:w w:val="70"/>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9"/>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871</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profit sharing and retirement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Underfunded retirement plans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191</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382</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20" w:type="dxa"/>
            <w:vAlign w:val="bottom"/>
            <w:vMerge w:val="restart"/>
          </w:tcPr>
          <w:p>
            <w:pPr>
              <w:spacing w:after="0"/>
              <w:rPr>
                <w:sz w:val="24"/>
                <w:szCs w:val="24"/>
                <w:color w:val="auto"/>
              </w:rPr>
            </w:pPr>
          </w:p>
        </w:tc>
        <w:tc>
          <w:tcPr>
            <w:tcW w:w="7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140" w:type="dxa"/>
            <w:vAlign w:val="bottom"/>
          </w:tcPr>
          <w:p>
            <w:pPr>
              <w:spacing w:after="0"/>
              <w:rPr>
                <w:sz w:val="17"/>
                <w:szCs w:val="17"/>
                <w:color w:val="auto"/>
              </w:rPr>
            </w:pPr>
          </w:p>
        </w:tc>
        <w:tc>
          <w:tcPr>
            <w:tcW w:w="1240" w:type="dxa"/>
            <w:vAlign w:val="bottom"/>
            <w:gridSpan w:val="3"/>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preferred. None issued.</w:t>
            </w:r>
          </w:p>
        </w:tc>
        <w:tc>
          <w:tcPr>
            <w:tcW w:w="140" w:type="dxa"/>
            <w:vAlign w:val="bottom"/>
          </w:tcPr>
          <w:p>
            <w:pPr>
              <w:spacing w:after="0"/>
              <w:rPr>
                <w:sz w:val="20"/>
                <w:szCs w:val="20"/>
                <w:color w:val="auto"/>
              </w:rPr>
            </w:pPr>
          </w:p>
        </w:tc>
        <w:tc>
          <w:tcPr>
            <w:tcW w:w="124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Borders>
              <w:right w:val="single" w:sz="8" w:color="CCEEFF"/>
            </w:tcBorders>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$1 par value. Authorized -- 2,400,000,000 shares. Shares issued: March 31, 2008</w:t>
            </w:r>
          </w:p>
        </w:tc>
        <w:tc>
          <w:tcPr>
            <w:tcW w:w="14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3"/>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-- 1,739,660,927; Dec. 31, 2007 -- 1,739,632,601; March 31, 2007 -- 1,739,211,844</w:t>
            </w:r>
          </w:p>
        </w:tc>
        <w:tc>
          <w:tcPr>
            <w:tcW w:w="14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3"/>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1,740</w:t>
            </w:r>
          </w:p>
        </w:tc>
        <w:tc>
          <w:tcPr>
            <w:tcW w:w="1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14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926</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20,318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19,788</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Shares: March 31, 2008 -- 416,925,336; Dec. 31, 2007 -- 396,421,798; March 31, 2007 --</w:t>
            </w:r>
          </w:p>
        </w:tc>
        <w:tc>
          <w:tcPr>
            <w:tcW w:w="140" w:type="dxa"/>
            <w:vAlign w:val="bottom"/>
          </w:tcPr>
          <w:p>
            <w:pPr>
              <w:spacing w:after="0"/>
              <w:rPr>
                <w:sz w:val="18"/>
                <w:szCs w:val="18"/>
                <w:color w:val="auto"/>
              </w:rPr>
            </w:pP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rPr>
              <w:t>(12,776)</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ind w:left="340"/>
              <w:spacing w:after="0"/>
              <w:rPr>
                <w:sz w:val="20"/>
                <w:szCs w:val="20"/>
                <w:color w:val="auto"/>
              </w:rPr>
            </w:pPr>
            <w:r>
              <w:rPr>
                <w:rFonts w:ascii="Arial" w:cs="Arial" w:eastAsia="Arial" w:hAnsi="Arial"/>
                <w:sz w:val="18"/>
                <w:szCs w:val="18"/>
                <w:color w:val="auto"/>
              </w:rPr>
              <w:t>305,502,566</w:t>
            </w:r>
          </w:p>
        </w:tc>
        <w:tc>
          <w:tcPr>
            <w:tcW w:w="140" w:type="dxa"/>
            <w:vAlign w:val="bottom"/>
          </w:tcPr>
          <w:p>
            <w:pPr>
              <w:spacing w:after="0"/>
              <w:rPr>
                <w:sz w:val="20"/>
                <w:szCs w:val="20"/>
                <w:color w:val="auto"/>
              </w:rPr>
            </w:pPr>
          </w:p>
        </w:tc>
        <w:tc>
          <w:tcPr>
            <w:tcW w:w="124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(12,160)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 net of taxes</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9,857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9,975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12,338</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12,667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13,750</w:t>
            </w:r>
          </w:p>
        </w:tc>
        <w:tc>
          <w:tcPr>
            <w:tcW w:w="0" w:type="dxa"/>
            <w:vAlign w:val="bottom"/>
          </w:tcPr>
          <w:p>
            <w:pPr>
              <w:spacing w:after="0"/>
              <w:rPr>
                <w:sz w:val="1"/>
                <w:szCs w:val="1"/>
                <w:color w:val="auto"/>
              </w:rPr>
            </w:pPr>
          </w:p>
        </w:tc>
      </w:tr>
      <w:tr>
        <w:trPr>
          <w:trHeight w:val="1057"/>
        </w:trPr>
        <w:tc>
          <w:tcPr>
            <w:tcW w:w="20" w:type="dxa"/>
            <w:vAlign w:val="bottom"/>
          </w:tcPr>
          <w:p>
            <w:pPr>
              <w:spacing w:after="0"/>
              <w:rPr>
                <w:sz w:val="24"/>
                <w:szCs w:val="24"/>
                <w:color w:val="auto"/>
              </w:rPr>
            </w:pPr>
          </w:p>
        </w:tc>
        <w:tc>
          <w:tcPr>
            <w:tcW w:w="7420" w:type="dxa"/>
            <w:vAlign w:val="bottom"/>
            <w:tcBorders>
              <w:top w:val="single" w:sz="8" w:color="CCEEFF"/>
              <w:bottom w:val="single" w:sz="8" w:color="808080"/>
            </w:tcBorders>
          </w:tcPr>
          <w:p>
            <w:pPr>
              <w:spacing w:after="0"/>
              <w:rPr>
                <w:sz w:val="24"/>
                <w:szCs w:val="24"/>
                <w:color w:val="auto"/>
              </w:rPr>
            </w:pPr>
          </w:p>
        </w:tc>
        <w:tc>
          <w:tcPr>
            <w:tcW w:w="140" w:type="dxa"/>
            <w:vAlign w:val="bottom"/>
            <w:tcBorders>
              <w:top w:val="single" w:sz="8" w:color="auto"/>
              <w:bottom w:val="single" w:sz="8" w:color="808080"/>
            </w:tcBorders>
          </w:tcPr>
          <w:p>
            <w:pPr>
              <w:spacing w:after="0"/>
              <w:rPr>
                <w:sz w:val="24"/>
                <w:szCs w:val="24"/>
                <w:color w:val="auto"/>
              </w:rPr>
            </w:pPr>
          </w:p>
        </w:tc>
        <w:tc>
          <w:tcPr>
            <w:tcW w:w="940" w:type="dxa"/>
            <w:vAlign w:val="bottom"/>
            <w:tcBorders>
              <w:top w:val="single" w:sz="8" w:color="auto"/>
              <w:bottom w:val="single" w:sz="8" w:color="808080"/>
            </w:tcBorders>
          </w:tcPr>
          <w:p>
            <w:pPr>
              <w:spacing w:after="0"/>
              <w:rPr>
                <w:sz w:val="24"/>
                <w:szCs w:val="24"/>
                <w:color w:val="auto"/>
              </w:rPr>
            </w:pPr>
          </w:p>
        </w:tc>
        <w:tc>
          <w:tcPr>
            <w:tcW w:w="8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160" w:type="dxa"/>
            <w:vAlign w:val="bottom"/>
            <w:tcBorders>
              <w:top w:val="single" w:sz="8" w:color="auto"/>
              <w:bottom w:val="single" w:sz="8" w:color="808080"/>
            </w:tcBorders>
          </w:tcPr>
          <w:p>
            <w:pPr>
              <w:spacing w:after="0"/>
              <w:rPr>
                <w:sz w:val="24"/>
                <w:szCs w:val="24"/>
                <w:color w:val="auto"/>
              </w:rPr>
            </w:pPr>
          </w:p>
        </w:tc>
        <w:tc>
          <w:tcPr>
            <w:tcW w:w="920" w:type="dxa"/>
            <w:vAlign w:val="bottom"/>
            <w:tcBorders>
              <w:top w:val="single" w:sz="8" w:color="auto"/>
              <w:bottom w:val="single" w:sz="8" w:color="808080"/>
            </w:tcBorders>
          </w:tcPr>
          <w:p>
            <w:pPr>
              <w:spacing w:after="0"/>
              <w:rPr>
                <w:sz w:val="24"/>
                <w:szCs w:val="24"/>
                <w:color w:val="auto"/>
              </w:rPr>
            </w:pPr>
          </w:p>
        </w:tc>
        <w:tc>
          <w:tcPr>
            <w:tcW w:w="18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60" w:type="dxa"/>
            <w:vAlign w:val="bottom"/>
            <w:tcBorders>
              <w:top w:val="single" w:sz="8" w:color="auto"/>
              <w:bottom w:val="single" w:sz="8" w:color="808080"/>
            </w:tcBorders>
          </w:tcPr>
          <w:p>
            <w:pPr>
              <w:spacing w:after="0"/>
              <w:rPr>
                <w:sz w:val="24"/>
                <w:szCs w:val="24"/>
                <w:color w:val="auto"/>
              </w:rPr>
            </w:pPr>
          </w:p>
        </w:tc>
        <w:tc>
          <w:tcPr>
            <w:tcW w:w="94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8"/>
                <w:szCs w:val="18"/>
                <w:b w:val="1"/>
                <w:bCs w:val="1"/>
                <w:color w:val="auto"/>
              </w:rPr>
              <w:t>For Three Months Ended</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Mar. 31, 2008</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1"/>
              </w:rPr>
              <w:t>Dec. 31, 2007</w:t>
            </w:r>
          </w:p>
        </w:tc>
        <w:tc>
          <w:tcPr>
            <w:tcW w:w="100" w:type="dxa"/>
            <w:vAlign w:val="bottom"/>
          </w:tcPr>
          <w:p>
            <w:pPr>
              <w:spacing w:after="0"/>
              <w:rPr>
                <w:sz w:val="19"/>
                <w:szCs w:val="19"/>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Mar. 31, 2007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40"/>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662</w:t>
            </w:r>
          </w:p>
        </w:tc>
        <w:tc>
          <w:tcPr>
            <w:tcW w:w="380" w:type="dxa"/>
            <w:vAlign w:val="bottom"/>
          </w:tcPr>
          <w:p>
            <w:pPr>
              <w:jc w:val="right"/>
              <w:ind w:right="2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756</w:t>
            </w:r>
          </w:p>
        </w:tc>
        <w:tc>
          <w:tcPr>
            <w:tcW w:w="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Adjustments to reconcile net income to cash provided by operating</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activities of continuing operations:</w:t>
            </w: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241</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Amortization of acquisition-related</w:t>
            </w:r>
          </w:p>
        </w:tc>
        <w:tc>
          <w:tcPr>
            <w:tcW w:w="4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40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Arial" w:cs="Arial" w:eastAsia="Arial" w:hAnsi="Arial"/>
                <w:sz w:val="18"/>
                <w:szCs w:val="18"/>
                <w:color w:val="auto"/>
              </w:rPr>
              <w:t>Losses on sales of assets</w:t>
            </w:r>
          </w:p>
        </w:tc>
        <w:tc>
          <w:tcPr>
            <w:tcW w:w="4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w:t>
            </w:r>
          </w:p>
        </w:tc>
        <w:tc>
          <w:tcPr>
            <w:tcW w:w="3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(160)</w:t>
            </w:r>
          </w:p>
        </w:tc>
        <w:tc>
          <w:tcPr>
            <w:tcW w:w="3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(179)</w:t>
            </w:r>
          </w:p>
        </w:tc>
        <w:tc>
          <w:tcPr>
            <w:tcW w:w="3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payable</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165</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Arial" w:cs="Arial" w:eastAsia="Arial" w:hAnsi="Arial"/>
                <w:sz w:val="18"/>
                <w:szCs w:val="18"/>
                <w:color w:val="auto"/>
              </w:rPr>
              <w:t>Accrued profit sharing and retirement</w:t>
            </w:r>
          </w:p>
        </w:tc>
        <w:tc>
          <w:tcPr>
            <w:tcW w:w="4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(122)</w:t>
            </w:r>
          </w:p>
        </w:tc>
        <w:tc>
          <w:tcPr>
            <w:tcW w:w="3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Change in funded status of retirement plans and accrued retirement</w:t>
            </w:r>
          </w:p>
        </w:tc>
        <w:tc>
          <w:tcPr>
            <w:tcW w:w="4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w:t>
            </w:r>
          </w:p>
        </w:tc>
        <w:tc>
          <w:tcPr>
            <w:tcW w:w="3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4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641</w:t>
            </w:r>
          </w:p>
        </w:tc>
        <w:tc>
          <w:tcPr>
            <w:tcW w:w="3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(219)</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Purchases of cash investments</w:t>
            </w:r>
          </w:p>
        </w:tc>
        <w:tc>
          <w:tcPr>
            <w:tcW w:w="4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(362)</w:t>
            </w:r>
          </w:p>
        </w:tc>
        <w:tc>
          <w:tcPr>
            <w:tcW w:w="3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cash investments</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958</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Purchases of long-term investments</w:t>
            </w:r>
          </w:p>
        </w:tc>
        <w:tc>
          <w:tcPr>
            <w:tcW w:w="4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w:t>
            </w:r>
          </w:p>
        </w:tc>
        <w:tc>
          <w:tcPr>
            <w:tcW w:w="3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of long-term investments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(used in) investing activities of continuing</w:t>
            </w:r>
          </w:p>
        </w:tc>
        <w:tc>
          <w:tcPr>
            <w:tcW w:w="40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391</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operations</w:t>
            </w:r>
          </w:p>
        </w:tc>
        <w:tc>
          <w:tcPr>
            <w:tcW w:w="40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4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(133)</w:t>
            </w:r>
          </w:p>
        </w:tc>
        <w:tc>
          <w:tcPr>
            <w:tcW w:w="3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(874)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cash used in financing activities of continuing operations</w:t>
            </w:r>
          </w:p>
        </w:tc>
        <w:tc>
          <w:tcPr>
            <w:tcW w:w="4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(918)</w:t>
            </w:r>
          </w:p>
        </w:tc>
        <w:tc>
          <w:tcPr>
            <w:tcW w:w="3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4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w:t>
            </w:r>
          </w:p>
        </w:tc>
        <w:tc>
          <w:tcPr>
            <w:tcW w:w="3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122</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1,328</w:t>
            </w:r>
          </w:p>
        </w:tc>
        <w:tc>
          <w:tcPr>
            <w:tcW w:w="3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1,450</w:t>
            </w:r>
          </w:p>
        </w:tc>
        <w:tc>
          <w:tcPr>
            <w:tcW w:w="380" w:type="dxa"/>
            <w:vAlign w:val="bottom"/>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1,328</w:t>
            </w:r>
          </w:p>
        </w:tc>
        <w:tc>
          <w:tcPr>
            <w:tcW w:w="5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Segment Net Revenue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center"/>
              <w:ind w:left="650"/>
              <w:spacing w:after="0"/>
              <w:rPr>
                <w:sz w:val="20"/>
                <w:szCs w:val="20"/>
                <w:color w:val="auto"/>
              </w:rPr>
            </w:pPr>
            <w:r>
              <w:rPr>
                <w:rFonts w:ascii="Arial" w:cs="Arial" w:eastAsia="Arial" w:hAnsi="Arial"/>
                <w:sz w:val="18"/>
                <w:szCs w:val="18"/>
                <w:b w:val="1"/>
                <w:bCs w:val="1"/>
                <w:color w:val="auto"/>
                <w:w w:val="92"/>
              </w:rPr>
              <w:t>For Three Months Ended</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5"/>
              </w:rPr>
              <w:t>Mar. 31,</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Dec. 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5"/>
              </w:rPr>
              <w:t>Mar.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4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Education Technology</w:t>
            </w: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4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3,272</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894"/>
        </w:trPr>
        <w:tc>
          <w:tcPr>
            <w:tcW w:w="20" w:type="dxa"/>
            <w:vAlign w:val="bottom"/>
          </w:tcPr>
          <w:p>
            <w:pPr>
              <w:spacing w:after="0"/>
              <w:rPr>
                <w:sz w:val="24"/>
                <w:szCs w:val="24"/>
                <w:color w:val="auto"/>
              </w:rPr>
            </w:pPr>
          </w:p>
        </w:tc>
        <w:tc>
          <w:tcPr>
            <w:tcW w:w="3240" w:type="dxa"/>
            <w:vAlign w:val="bottom"/>
            <w:tcBorders>
              <w:top w:val="single" w:sz="8" w:color="CCEEFF"/>
            </w:tcBorders>
          </w:tcPr>
          <w:p>
            <w:pPr>
              <w:spacing w:after="0"/>
              <w:rPr>
                <w:sz w:val="24"/>
                <w:szCs w:val="24"/>
                <w:color w:val="auto"/>
              </w:rPr>
            </w:pPr>
          </w:p>
        </w:tc>
        <w:tc>
          <w:tcPr>
            <w:tcW w:w="4180" w:type="dxa"/>
            <w:vAlign w:val="bottom"/>
            <w:tcBorders>
              <w:top w:val="single" w:sz="8" w:color="CCEEFF"/>
            </w:tcBorders>
          </w:tcPr>
          <w:p>
            <w:pPr>
              <w:jc w:val="right"/>
              <w:ind w:right="810"/>
              <w:spacing w:after="0"/>
              <w:rPr>
                <w:sz w:val="20"/>
                <w:szCs w:val="20"/>
                <w:color w:val="auto"/>
              </w:rPr>
            </w:pPr>
            <w:r>
              <w:rPr>
                <w:rFonts w:ascii="Arial" w:cs="Arial" w:eastAsia="Arial" w:hAnsi="Arial"/>
                <w:sz w:val="18"/>
                <w:szCs w:val="18"/>
                <w:b w:val="1"/>
                <w:bCs w:val="1"/>
                <w:color w:val="auto"/>
              </w:rPr>
              <w:t>Segment Profit (Loss)</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360" w:type="dxa"/>
            <w:vAlign w:val="bottom"/>
            <w:gridSpan w:val="2"/>
          </w:tcPr>
          <w:p>
            <w:pPr>
              <w:jc w:val="right"/>
              <w:ind w:right="1140"/>
              <w:spacing w:after="0"/>
              <w:rPr>
                <w:sz w:val="20"/>
                <w:szCs w:val="20"/>
                <w:color w:val="auto"/>
              </w:rPr>
            </w:pPr>
            <w:r>
              <w:rPr>
                <w:rFonts w:ascii="Arial" w:cs="Arial" w:eastAsia="Arial" w:hAnsi="Arial"/>
                <w:sz w:val="18"/>
                <w:szCs w:val="18"/>
                <w:b w:val="1"/>
                <w:bCs w:val="1"/>
                <w:color w:val="auto"/>
              </w:rPr>
              <w:t>(Millions of dollars)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center"/>
              <w:ind w:left="650"/>
              <w:spacing w:after="0"/>
              <w:rPr>
                <w:sz w:val="20"/>
                <w:szCs w:val="20"/>
                <w:color w:val="auto"/>
              </w:rPr>
            </w:pPr>
            <w:r>
              <w:rPr>
                <w:rFonts w:ascii="Arial" w:cs="Arial" w:eastAsia="Arial" w:hAnsi="Arial"/>
                <w:sz w:val="18"/>
                <w:szCs w:val="18"/>
                <w:b w:val="1"/>
                <w:bCs w:val="1"/>
                <w:color w:val="auto"/>
                <w:w w:val="92"/>
              </w:rPr>
              <w:t>For Three Months Ended</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5"/>
              </w:rPr>
              <w:t>Mar. 31,</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Dec. 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5"/>
              </w:rPr>
              <w:t>Mar.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4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Education Technology</w:t>
            </w: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4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Profit from operations</w:t>
            </w:r>
          </w:p>
        </w:tc>
        <w:tc>
          <w:tcPr>
            <w:tcW w:w="4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807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996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*Corporate includes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Semiconductor segment</w:t>
      </w:r>
    </w:p>
    <w:p>
      <w:pPr>
        <w:spacing w:after="0" w:line="256" w:lineRule="exact"/>
        <w:rPr>
          <w:sz w:val="20"/>
          <w:szCs w:val="20"/>
          <w:color w:val="auto"/>
        </w:rPr>
      </w:pPr>
    </w:p>
    <w:p>
      <w:pPr>
        <w:jc w:val="both"/>
        <w:ind w:left="340" w:right="20" w:hanging="143"/>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was $3.19 billion. This was 2 percent higher than a year ago primarily due to higher sales of analog products, especially high-performance analog products. Revenue declined 8 percent from the prior quarter primarily due to lower demand for digital signal processing products sold into cell phone applications.</w:t>
      </w:r>
    </w:p>
    <w:p>
      <w:pPr>
        <w:spacing w:after="0" w:line="208" w:lineRule="exact"/>
        <w:rPr>
          <w:rFonts w:ascii="Arial" w:cs="Arial" w:eastAsia="Arial" w:hAnsi="Arial"/>
          <w:sz w:val="18"/>
          <w:szCs w:val="18"/>
          <w:color w:val="auto"/>
        </w:rPr>
      </w:pPr>
    </w:p>
    <w:p>
      <w:pPr>
        <w:jc w:val="both"/>
        <w:ind w:left="980" w:hanging="143"/>
        <w:spacing w:after="0" w:line="241" w:lineRule="auto"/>
        <w:tabs>
          <w:tab w:leader="none" w:pos="980" w:val="left"/>
        </w:tabs>
        <w:numPr>
          <w:ilvl w:val="1"/>
          <w:numId w:val="7"/>
        </w:numPr>
        <w:rPr>
          <w:rFonts w:ascii="Arial" w:cs="Arial" w:eastAsia="Arial" w:hAnsi="Arial"/>
          <w:sz w:val="22"/>
          <w:szCs w:val="22"/>
          <w:color w:val="auto"/>
        </w:rPr>
      </w:pPr>
      <w:r>
        <w:rPr>
          <w:rFonts w:ascii="Arial" w:cs="Arial" w:eastAsia="Arial" w:hAnsi="Arial"/>
          <w:sz w:val="18"/>
          <w:szCs w:val="18"/>
          <w:color w:val="auto"/>
        </w:rPr>
        <w:t>Analog product revenue was $1.32 billion. This was up 6 percent compared with a year ago due to stronger demand for high-performance analog products. Revenue was down 4 percent from the prior quarter primarily due to weaker demand for application-specific analog products sold into hard-disk drive and cell phone applications. Revenue from high-performance analog products increased 20 percent from a year ago and was about even with the prior quarter.</w:t>
      </w:r>
    </w:p>
    <w:p>
      <w:pPr>
        <w:spacing w:after="0" w:line="229" w:lineRule="exact"/>
        <w:rPr>
          <w:rFonts w:ascii="Arial" w:cs="Arial" w:eastAsia="Arial" w:hAnsi="Arial"/>
          <w:sz w:val="22"/>
          <w:szCs w:val="22"/>
          <w:color w:val="auto"/>
        </w:rPr>
      </w:pPr>
    </w:p>
    <w:p>
      <w:pPr>
        <w:ind w:left="980" w:hanging="143"/>
        <w:spacing w:after="0" w:line="232" w:lineRule="auto"/>
        <w:tabs>
          <w:tab w:leader="none" w:pos="980" w:val="left"/>
        </w:tabs>
        <w:numPr>
          <w:ilvl w:val="1"/>
          <w:numId w:val="7"/>
        </w:numPr>
        <w:rPr>
          <w:rFonts w:ascii="Arial" w:cs="Arial" w:eastAsia="Arial" w:hAnsi="Arial"/>
          <w:sz w:val="22"/>
          <w:szCs w:val="22"/>
          <w:color w:val="auto"/>
        </w:rPr>
      </w:pPr>
      <w:r>
        <w:rPr>
          <w:rFonts w:ascii="Arial" w:cs="Arial" w:eastAsia="Arial" w:hAnsi="Arial"/>
          <w:sz w:val="18"/>
          <w:szCs w:val="18"/>
          <w:color w:val="auto"/>
        </w:rPr>
        <w:t>Digital signal processing product revenue was $1.12 billion. This was a decrease of 3 percent from a year ago and a decrease of 18 percent from the prior quarter. Both declines were due to lower sales into cell phone applications.</w:t>
      </w:r>
    </w:p>
    <w:p>
      <w:pPr>
        <w:spacing w:after="0" w:line="230" w:lineRule="exact"/>
        <w:rPr>
          <w:rFonts w:ascii="Arial" w:cs="Arial" w:eastAsia="Arial" w:hAnsi="Arial"/>
          <w:sz w:val="22"/>
          <w:szCs w:val="22"/>
          <w:color w:val="auto"/>
        </w:rPr>
      </w:pPr>
    </w:p>
    <w:p>
      <w:pPr>
        <w:ind w:left="980" w:hanging="143"/>
        <w:spacing w:after="0"/>
        <w:tabs>
          <w:tab w:leader="none" w:pos="980" w:val="left"/>
        </w:tabs>
        <w:numPr>
          <w:ilvl w:val="1"/>
          <w:numId w:val="7"/>
        </w:numPr>
        <w:rPr>
          <w:rFonts w:ascii="Arial" w:cs="Arial" w:eastAsia="Arial" w:hAnsi="Arial"/>
          <w:sz w:val="19"/>
          <w:szCs w:val="19"/>
          <w:color w:val="auto"/>
        </w:rPr>
      </w:pPr>
      <w:r>
        <w:rPr>
          <w:rFonts w:ascii="Arial" w:cs="Arial" w:eastAsia="Arial" w:hAnsi="Arial"/>
          <w:sz w:val="16"/>
          <w:szCs w:val="16"/>
          <w:color w:val="auto"/>
        </w:rPr>
        <w:t>TI’s remaining semiconductor revenue was $754 million. This was up 6 percent from a year ago and was up 2 percent from the prior quarter.</w:t>
      </w:r>
    </w:p>
    <w:p>
      <w:pPr>
        <w:spacing w:after="0" w:line="268" w:lineRule="exact"/>
        <w:rPr>
          <w:sz w:val="20"/>
          <w:szCs w:val="20"/>
          <w:color w:val="auto"/>
        </w:rPr>
      </w:pPr>
    </w:p>
    <w:p>
      <w:pPr>
        <w:jc w:val="both"/>
        <w:ind w:left="340" w:hanging="134"/>
        <w:spacing w:after="0" w:line="272" w:lineRule="auto"/>
        <w:rPr>
          <w:sz w:val="20"/>
          <w:szCs w:val="20"/>
          <w:color w:val="auto"/>
        </w:rPr>
      </w:pPr>
      <w:r>
        <w:rPr>
          <w:rFonts w:ascii="Arial" w:cs="Arial" w:eastAsia="Arial" w:hAnsi="Arial"/>
          <w:sz w:val="18"/>
          <w:szCs w:val="18"/>
          <w:color w:val="auto"/>
        </w:rPr>
        <w:t>· Gross profit was $1.73 billion, or 54.3 percent of revenue.</w:t>
      </w:r>
      <w:r>
        <w:rPr>
          <w:sz w:val="20"/>
          <w:szCs w:val="20"/>
          <w:color w:val="auto"/>
        </w:rPr>
        <w:t xml:space="preserve"> </w:t>
      </w:r>
      <w:r>
        <w:rPr>
          <w:rFonts w:ascii="Arial" w:cs="Arial" w:eastAsia="Arial" w:hAnsi="Arial"/>
          <w:sz w:val="18"/>
          <w:szCs w:val="18"/>
          <w:color w:val="auto"/>
        </w:rPr>
        <w:t>This was up $102 million, or 6 percent, from the year-ago quarter primarily due to higher revenue from more-profitable analog products, and to a lesser extent, from microcontrollers. Gross profit was down $165 million, or 9 percent, from the prior quarter due to lower revenue.</w:t>
      </w:r>
    </w:p>
    <w:p>
      <w:pPr>
        <w:spacing w:after="0" w:line="200" w:lineRule="exact"/>
        <w:rPr>
          <w:sz w:val="20"/>
          <w:szCs w:val="20"/>
          <w:color w:val="auto"/>
        </w:rPr>
      </w:pPr>
    </w:p>
    <w:p>
      <w:pPr>
        <w:spacing w:after="0" w:line="222" w:lineRule="exact"/>
        <w:rPr>
          <w:sz w:val="20"/>
          <w:szCs w:val="20"/>
          <w:color w:val="auto"/>
        </w:rPr>
      </w:pPr>
    </w:p>
    <w:p>
      <w:pPr>
        <w:ind w:left="300" w:hanging="143"/>
        <w:spacing w:after="0" w:line="277"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profit for the first quarter was $927 million, or 29.0 percent of revenue. This was an increase of $96 million from the year-ago quarter and a decrease of $190 million from the prior quarter.</w:t>
      </w:r>
    </w:p>
    <w:p>
      <w:pPr>
        <w:spacing w:after="0" w:line="197" w:lineRule="exact"/>
        <w:rPr>
          <w:rFonts w:ascii="Arial" w:cs="Arial" w:eastAsia="Arial" w:hAnsi="Arial"/>
          <w:sz w:val="18"/>
          <w:szCs w:val="18"/>
          <w:color w:val="auto"/>
        </w:rPr>
      </w:pPr>
    </w:p>
    <w:p>
      <w:pPr>
        <w:ind w:left="340" w:hanging="143"/>
        <w:spacing w:after="0"/>
        <w:tabs>
          <w:tab w:leader="none" w:pos="340" w:val="left"/>
        </w:tabs>
        <w:numPr>
          <w:ilvl w:val="1"/>
          <w:numId w:val="8"/>
        </w:numPr>
        <w:rPr>
          <w:rFonts w:ascii="Arial" w:cs="Arial" w:eastAsia="Arial" w:hAnsi="Arial"/>
          <w:sz w:val="18"/>
          <w:szCs w:val="18"/>
          <w:color w:val="auto"/>
        </w:rPr>
      </w:pPr>
      <w:r>
        <w:rPr>
          <w:rFonts w:ascii="Arial" w:cs="Arial" w:eastAsia="Arial" w:hAnsi="Arial"/>
          <w:sz w:val="18"/>
          <w:szCs w:val="18"/>
          <w:color w:val="auto"/>
        </w:rPr>
        <w:t>Orders in the first quarter were $3.17 billion. This was up 3 percent from the year-ago quarter and down 7 percent from the prior quarter.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highlights</w:t>
      </w:r>
    </w:p>
    <w:p>
      <w:pPr>
        <w:spacing w:after="0" w:line="256" w:lineRule="exact"/>
        <w:rPr>
          <w:sz w:val="20"/>
          <w:szCs w:val="20"/>
          <w:color w:val="auto"/>
        </w:rPr>
      </w:pPr>
    </w:p>
    <w:p>
      <w:pPr>
        <w:ind w:left="340" w:hanging="143"/>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 introduced a family of analog front-end chips that enable superior image quality and reduced power consumption in medical ultrasound diagnostic equipment.</w:t>
      </w:r>
    </w:p>
    <w:p>
      <w:pPr>
        <w:spacing w:after="0" w:line="197"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 delivered the industry’s first closed-loop, digital-input Class-D audio amplifier that improves sound quality and lowers audio subsystem costs in high-definition TVs and media docking stations.</w:t>
      </w:r>
    </w:p>
    <w:p>
      <w:pPr>
        <w:spacing w:after="0" w:line="197" w:lineRule="exact"/>
        <w:rPr>
          <w:rFonts w:ascii="Arial" w:cs="Arial" w:eastAsia="Arial" w:hAnsi="Arial"/>
          <w:sz w:val="18"/>
          <w:szCs w:val="18"/>
          <w:color w:val="auto"/>
        </w:rPr>
      </w:pPr>
    </w:p>
    <w:p>
      <w:pPr>
        <w:ind w:left="340" w:right="20" w:hanging="143"/>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 demonstrated a prototype cell phone based on the Android open source platform and built using TI’s OMAP™ applications processor and connectivity solutions.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 Technology segment</w:t>
      </w:r>
    </w:p>
    <w:p>
      <w:pPr>
        <w:spacing w:after="0" w:line="256" w:lineRule="exact"/>
        <w:rPr>
          <w:sz w:val="20"/>
          <w:szCs w:val="20"/>
          <w:color w:val="auto"/>
        </w:rPr>
      </w:pPr>
    </w:p>
    <w:p>
      <w:pPr>
        <w:ind w:left="340" w:hanging="143"/>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was $81 million. This was an increase of $5 million, or 7 percent, from the year-ago quarter due to higher sales of graphing calculators. Revenue was even with the prior quarter.</w:t>
      </w:r>
    </w:p>
    <w:p>
      <w:pPr>
        <w:spacing w:after="0" w:line="197" w:lineRule="exact"/>
        <w:rPr>
          <w:rFonts w:ascii="Arial" w:cs="Arial" w:eastAsia="Arial" w:hAnsi="Arial"/>
          <w:sz w:val="18"/>
          <w:szCs w:val="18"/>
          <w:color w:val="auto"/>
        </w:rPr>
      </w:pPr>
    </w:p>
    <w:p>
      <w:pPr>
        <w:ind w:left="340" w:right="20" w:hanging="143"/>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was $49 million, or 60.5 percent of revenue. This was an increase of $4 million from the year-ago quarter and was a decrease of $1 million from the prior quarter.</w:t>
      </w:r>
    </w:p>
    <w:p>
      <w:pPr>
        <w:spacing w:after="0" w:line="197"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profit was $18 million, or 21.9 percent of revenue. This was an increase of $2 million from the year-ago quarter and a decrease of $1 million from the prior quarter.</w:t>
      </w:r>
    </w:p>
    <w:p>
      <w:pPr>
        <w:spacing w:after="0" w:line="197" w:lineRule="exact"/>
        <w:rPr>
          <w:rFonts w:ascii="Arial" w:cs="Arial" w:eastAsia="Arial" w:hAnsi="Arial"/>
          <w:sz w:val="18"/>
          <w:szCs w:val="18"/>
          <w:color w:val="auto"/>
        </w:rPr>
      </w:pPr>
    </w:p>
    <w:p>
      <w:pPr>
        <w:ind w:left="5660" w:hanging="216"/>
        <w:spacing w:after="0"/>
        <w:tabs>
          <w:tab w:leader="none" w:pos="5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right="1040" w:hanging="139"/>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right="440" w:hanging="139"/>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right="740" w:hanging="139"/>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ectPr>
          <w:pgSz w:w="11900" w:h="16838" w:orient="portrait"/>
          <w:cols w:equalWidth="0" w:num="1">
            <w:col w:w="11420"/>
          </w:cols>
          <w:pgMar w:left="240" w:top="121" w:right="239" w:bottom="0" w:gutter="0" w:footer="0" w:header="0"/>
        </w:sectPr>
      </w:pPr>
    </w:p>
    <w:bookmarkStart w:id="9" w:name="page10"/>
    <w:bookmarkEnd w:id="9"/>
    <w:p>
      <w:pPr>
        <w:ind w:left="660" w:right="180" w:hanging="139"/>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right="360" w:hanging="139"/>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Texas Instruments (NYSE: TXN) helps customers solve problems and develop new electronics that make the world smarter, healthier, safer, greener and more fun. A global semiconductor company, TI innovates through manufacturing, design and sales operations in more than 25 countries. For more information, go to </w:t>
      </w:r>
      <w:r>
        <w:rPr>
          <w:rFonts w:ascii="Arial" w:cs="Arial" w:eastAsia="Arial" w:hAnsi="Arial"/>
          <w:sz w:val="18"/>
          <w:szCs w:val="18"/>
          <w:u w:val="single" w:color="auto"/>
          <w:color w:val="auto"/>
        </w:rPr>
        <w:t>www.ti.com</w:t>
      </w:r>
      <w:r>
        <w:rPr>
          <w:rFonts w:ascii="Arial" w:cs="Arial" w:eastAsia="Arial" w:hAnsi="Arial"/>
          <w:sz w:val="18"/>
          <w:szCs w:val="18"/>
          <w:color w:val="auto"/>
        </w:rPr>
        <w: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Trademark:</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OMAP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lvl w:ilvl="1">
      <w:lvlJc w:val="left"/>
      <w:lvlText w:val="·"/>
      <w:numFmt w:val="bullet"/>
      <w:start w:val="1"/>
    </w:lvl>
  </w:abstractNum>
  <w:abstractNum w:abstractNumId="7">
    <w:nsid w:val="4DB127F8"/>
    <w:multiLevelType w:val="hybridMultilevel"/>
    <w:lvl w:ilvl="0">
      <w:lvlJc w:val="left"/>
      <w:lvlText w:val="·"/>
      <w:numFmt w:val="bullet"/>
      <w:start w:val="1"/>
    </w:lvl>
    <w:lvl w:ilvl="1">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lvl w:ilvl="1">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2019-12-11T13:47:52Z</dcterms:created>
  <dcterms:modified xsi:type="dcterms:W3CDTF">2019-12-11T13:47:52Z</dcterms:modified>
</cp:coreProperties>
</file>