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7, 2004</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50"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right"/>
        <w:spacing w:after="0" w:line="290" w:lineRule="auto"/>
        <w:rPr>
          <w:sz w:val="20"/>
          <w:szCs w:val="20"/>
          <w:color w:val="auto"/>
        </w:rPr>
      </w:pPr>
      <w:r>
        <w:rPr>
          <w:rFonts w:ascii="Courier New" w:cs="Courier New" w:eastAsia="Courier New" w:hAnsi="Courier New"/>
          <w:sz w:val="16"/>
          <w:szCs w:val="16"/>
          <w:color w:val="auto"/>
        </w:rPr>
        <w:t>001-03761 (Commission file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0" w:orient="portrait"/>
          <w:cols w:equalWidth="0" w:num="4">
            <w:col w:w="2960" w:space="200"/>
            <w:col w:w="1700" w:space="200"/>
            <w:col w:w="740" w:space="100"/>
            <w:col w:w="4319"/>
          </w:cols>
          <w:pgMar w:left="240" w:top="447"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Written communications pursuant to Rule 425</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under the Securities Act (17</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CFR 230.425)</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Soliciting material pursuant to Rule 14a-12</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under the Exchange Act (17 CFR</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240.14a-12)</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14d-2(b)</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240.14d-2(b))</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13e-4(c)</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240.13e-(4c))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2.02. Results of Operations and Financial Condition</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Registrant's news release dated December 7, 2004, regarding the Registrant's outlook for the fourth quarter of 2004 attached hereto as Exhibit 99 is incorporated by reference herein.</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50"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0" w:orient="portrait"/>
          <w:cols w:equalWidth="0" w:num="2">
            <w:col w:w="1500" w:space="720"/>
            <w:col w:w="7999"/>
          </w:cols>
          <w:pgMar w:left="240" w:top="447"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Registrant's News Release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December 7, 2004 (furnished pursuant to Item</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2.02)</w:t>
      </w:r>
    </w:p>
    <w:p>
      <w:pPr>
        <w:spacing w:after="0" w:line="200" w:lineRule="exact"/>
        <w:rPr>
          <w:sz w:val="24"/>
          <w:szCs w:val="24"/>
          <w:color w:val="auto"/>
        </w:rPr>
      </w:pPr>
    </w:p>
    <w:p>
      <w:pPr>
        <w:sectPr>
          <w:pgSz w:w="11900" w:h="16850" w:orient="portrait"/>
          <w:cols w:equalWidth="0" w:num="2">
            <w:col w:w="1500" w:space="720"/>
            <w:col w:w="7999"/>
          </w:cols>
          <w:pgMar w:left="240" w:top="447" w:right="1440" w:bottom="0" w:gutter="0" w:footer="0" w:header="0"/>
          <w:type w:val="continuous"/>
        </w:sectPr>
      </w:pPr>
    </w:p>
    <w:p>
      <w:pPr>
        <w:spacing w:after="0" w:line="209"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w:t>
      </w:r>
    </w:p>
    <w:p>
      <w:pPr>
        <w:sectPr>
          <w:pgSz w:w="11900" w:h="16850"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actual results to differ materially from those in forward-looking statements.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9"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spacing w:after="0" w:line="206"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and amount of distributor and other customer inventory adjustments;</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8" w:lineRule="exact"/>
        <w:rPr>
          <w:rFonts w:ascii="Courier New" w:cs="Courier New" w:eastAsia="Courier New" w:hAnsi="Courier New"/>
          <w:sz w:val="18"/>
          <w:szCs w:val="18"/>
          <w:color w:val="auto"/>
        </w:rPr>
      </w:pPr>
    </w:p>
    <w:p>
      <w:pPr>
        <w:ind w:left="540" w:right="15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tax rate applicable to TI as a result of changes in tax law, the jurisdictions in which profits are determined to be earned and taxed, and the ability to realize deferred tax assets;</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36" w:right="1440"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P. MARCH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Kevin P. March</w:t>
      </w:r>
    </w:p>
    <w:p>
      <w:pPr>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3">
            <w:col w:w="3400" w:space="720"/>
            <w:col w:w="320" w:space="200"/>
            <w:col w:w="5579"/>
          </w:cols>
          <w:pgMar w:left="240" w:top="136" w:right="1440" w:bottom="757" w:gutter="0" w:footer="0" w:header="0"/>
          <w:type w:val="continuous"/>
        </w:sectPr>
      </w:pPr>
    </w:p>
    <w:bookmarkStart w:id="2" w:name="page3"/>
    <w:bookmarkEnd w:id="2"/>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C-04057</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TI Updates Fourth-Quarter 2004 Business Outlook</w:t>
      </w:r>
    </w:p>
    <w:p>
      <w:pPr>
        <w:spacing w:after="0" w:line="20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Revenue Expected between $3020 Million and $3140 Million</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EPS Expected between $0.25 and $0.27</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Conference Call on TI Web Site at 4 p.m. Central Standard Time Today</w:t>
      </w:r>
    </w:p>
    <w:p>
      <w:pPr>
        <w:jc w:val="center"/>
        <w:ind w:right="1779"/>
        <w:spacing w:after="0" w:line="238" w:lineRule="auto"/>
        <w:rPr>
          <w:sz w:val="20"/>
          <w:szCs w:val="20"/>
          <w:color w:val="auto"/>
        </w:rPr>
      </w:pPr>
      <w:r>
        <w:rPr>
          <w:rFonts w:ascii="Courier New" w:cs="Courier New" w:eastAsia="Courier New" w:hAnsi="Courier New"/>
          <w:sz w:val="18"/>
          <w:szCs w:val="18"/>
          <w:color w:val="auto"/>
        </w:rPr>
        <w:t>www.ti.com</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DALLAS (Dec. 7, 2004) - In a scheduled update to its business outlook for the fourth quarter of 2004, Texas Instruments Incorporated (NYSE:TXN) today narrowed its expected revenue and earnings ranges. TI's updated estimate reflects what it believes to be a market environment characterized by ongoing inventory adjustments, especially in standard products sold through distribution channels.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expectations for revenue are:</w:t>
      </w:r>
    </w:p>
    <w:p>
      <w:pPr>
        <w:spacing w:after="0" w:line="207" w:lineRule="exact"/>
        <w:rPr>
          <w:sz w:val="20"/>
          <w:szCs w:val="20"/>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 between $3020 million and $3140 million, compared with the prior range of $2960 million to $3200 million;</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revenue between $2680 million and $2780 million, compared with the prior range of $2630 million to $2830 million;</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-Sensors &amp; Controls revenue between $270 million and $280 million, compared with the prior range of $270 million to $290 million; and</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-Educational &amp; Productivity Solutions revenue between $70 million and $80 million, compared with the prior range of $60 million to $80 million.</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TI expects earnings per share (EPS) between $0.25 and $0.27, compared with the previous range of $0.24 to $0.28.</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hold a conference call at 4 p.m. CST today to discuss this update. This conference call will be available live at www.ti.com. TI's original fourth-quarter outlook was published in the company's third-quarter 2004 earnings release on Oct. 18, available at www.ti.com. TI's fourth quarter ends on Dec. 31.</w:t>
      </w:r>
    </w:p>
    <w:p>
      <w:pPr>
        <w:spacing w:after="0" w:line="203" w:lineRule="exact"/>
        <w:rPr>
          <w:sz w:val="20"/>
          <w:szCs w:val="20"/>
          <w:color w:val="auto"/>
        </w:rPr>
      </w:pP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9"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sectPr>
          <w:pgSz w:w="11900" w:h="16838" w:orient="portrait"/>
          <w:cols w:equalWidth="0" w:num="1">
            <w:col w:w="10219"/>
          </w:cols>
          <w:pgMar w:left="240" w:top="717" w:right="1440" w:bottom="0" w:gutter="0" w:footer="0" w:header="0"/>
        </w:sectPr>
      </w:pPr>
    </w:p>
    <w:bookmarkStart w:id="3" w:name="page4"/>
    <w:bookmarkEnd w:id="3"/>
    <w:p>
      <w:pPr>
        <w:ind w:left="540" w:right="261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and amount of distributor and other customer inventory adjustments;</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8" w:lineRule="exact"/>
        <w:rPr>
          <w:rFonts w:ascii="Courier New" w:cs="Courier New" w:eastAsia="Courier New" w:hAnsi="Courier New"/>
          <w:sz w:val="18"/>
          <w:szCs w:val="18"/>
          <w:color w:val="auto"/>
        </w:rPr>
      </w:pPr>
    </w:p>
    <w:p>
      <w:pPr>
        <w:ind w:left="540" w:right="1579" w:hanging="532"/>
        <w:spacing w:after="0" w:line="236"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tax rate applicable to TI as a result of changes in tax law, the jurisdictions in which profits are determined to be earned and taxed, and the ability to realize deferred tax assets;</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2019-12-13T07:42:15Z</dcterms:created>
  <dcterms:modified xsi:type="dcterms:W3CDTF">2019-12-13T07:42:15Z</dcterms:modified>
</cp:coreProperties>
</file>