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ind w:left="3920" w:right="2000" w:hanging="3912"/>
        <w:spacing w:after="0" w:line="407"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2005</w:t>
      </w:r>
    </w:p>
    <w:p>
      <w:pPr>
        <w:spacing w:after="0" w:line="2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5340" w:type="dxa"/>
            <w:vAlign w:val="bottom"/>
          </w:tcPr>
          <w:p>
            <w:pPr>
              <w:jc w:val="center"/>
              <w:ind w:right="1402"/>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40" w:type="dxa"/>
            <w:vAlign w:val="bottom"/>
          </w:tcPr>
          <w:p>
            <w:pPr>
              <w:jc w:val="center"/>
              <w:ind w:right="1402"/>
              <w:spacing w:after="0"/>
              <w:rPr>
                <w:sz w:val="20"/>
                <w:szCs w:val="20"/>
                <w:color w:val="auto"/>
              </w:rPr>
            </w:pPr>
            <w:r>
              <w:rPr>
                <w:rFonts w:ascii="Arial" w:cs="Arial" w:eastAsia="Arial" w:hAnsi="Arial"/>
                <w:sz w:val="14"/>
                <w:szCs w:val="14"/>
                <w:b w:val="1"/>
                <w:bCs w:val="1"/>
                <w:color w:val="auto"/>
                <w:w w:val="89"/>
              </w:rPr>
              <w:t>(State of Incorporation)</w:t>
            </w:r>
          </w:p>
        </w:tc>
        <w:tc>
          <w:tcPr>
            <w:tcW w:w="3560" w:type="dxa"/>
            <w:vAlign w:val="bottom"/>
          </w:tcPr>
          <w:p>
            <w:pPr>
              <w:jc w:val="center"/>
              <w:ind w:left="14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9"/>
        </w:trPr>
        <w:tc>
          <w:tcPr>
            <w:tcW w:w="5340" w:type="dxa"/>
            <w:vAlign w:val="bottom"/>
          </w:tcPr>
          <w:p>
            <w:pPr>
              <w:jc w:val="center"/>
              <w:ind w:right="140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40" w:type="dxa"/>
            <w:vAlign w:val="bottom"/>
          </w:tcPr>
          <w:p>
            <w:pPr>
              <w:jc w:val="center"/>
              <w:ind w:right="140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60" w:type="dxa"/>
            <w:vAlign w:val="bottom"/>
          </w:tcPr>
          <w:p>
            <w:pPr>
              <w:jc w:val="center"/>
              <w:ind w:left="1402"/>
              <w:spacing w:after="0"/>
              <w:rPr>
                <w:sz w:val="20"/>
                <w:szCs w:val="20"/>
                <w:color w:val="auto"/>
              </w:rPr>
            </w:pPr>
            <w:r>
              <w:rPr>
                <w:rFonts w:ascii="Arial" w:cs="Arial" w:eastAsia="Arial" w:hAnsi="Arial"/>
                <w:sz w:val="14"/>
                <w:szCs w:val="14"/>
                <w:b w:val="1"/>
                <w:bCs w:val="1"/>
                <w:color w:val="auto"/>
                <w:w w:val="92"/>
              </w:rPr>
              <w:t>(Zip Code)</w:t>
            </w:r>
          </w:p>
        </w:tc>
      </w:tr>
    </w:tbl>
    <w:p>
      <w:pPr>
        <w:spacing w:after="0" w:line="1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1,618,052,791</w:t>
      </w:r>
    </w:p>
    <w:p>
      <w:pPr>
        <w:spacing w:after="0" w:line="15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September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516"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5"/>
              </w:rPr>
              <w:t>For Three Months Ended</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79"/>
              </w:rPr>
              <w:t>Sept.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Sept. 30,</w:t>
            </w: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(COR)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-1203960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-1203960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-1203960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-1203960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-1203960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-1203960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-1203960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-1203960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-1203960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-1203960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-1203960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-1203960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-904240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-904240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-904240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-904240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-904240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-904240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-904240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-904240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-904240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-904240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-904240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-603885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-603885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-603885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-603885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-603885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-603885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-603885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-603885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-603885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-603885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-603885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-603885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6"/>
          </w:tcPr>
          <w:p>
            <w:pPr>
              <w:jc w:val="right"/>
              <w:ind w:right="177"/>
              <w:spacing w:after="0"/>
              <w:rPr>
                <w:sz w:val="20"/>
                <w:szCs w:val="20"/>
                <w:color w:val="auto"/>
              </w:rPr>
            </w:pPr>
            <w:r>
              <w:rPr>
                <w:rFonts w:ascii="Arial" w:cs="Arial" w:eastAsia="Arial" w:hAnsi="Arial"/>
                <w:sz w:val="14"/>
                <w:szCs w:val="14"/>
                <w:b w:val="1"/>
                <w:bCs w:val="1"/>
                <w:color w:val="auto"/>
                <w:w w:val="95"/>
              </w:rPr>
              <w:t>For Three Months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3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6"/>
              </w:rPr>
              <w:t>Sept. 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Sept. 30,</w:t>
            </w:r>
          </w:p>
        </w:tc>
        <w:tc>
          <w:tcPr>
            <w:tcW w:w="580" w:type="dxa"/>
            <w:vAlign w:val="bottom"/>
          </w:tcPr>
          <w:p>
            <w:pPr>
              <w:spacing w:after="0"/>
              <w:rPr>
                <w:sz w:val="20"/>
                <w:szCs w:val="20"/>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3"/>
              </w:rPr>
              <w:t>Sept. 30,</w:t>
            </w: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2005</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Adjustment, net of tax of: 2005 – $(3) and ($11); 2004 – ($3) and ($3)</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Adjustment, net of tax of: 2005 – $3 and $1; 2004 – ($2) and $11</w:t>
            </w:r>
          </w:p>
        </w:tc>
        <w:tc>
          <w:tcPr>
            <w:tcW w:w="14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recognized transactions: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Adjustment, net of tax of: 2005 – ($1) and ($1); 2004 – $0 and ($3)</w:t>
            </w: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vMerge w:val="restart"/>
          </w:tcPr>
          <w:p>
            <w:pPr>
              <w:spacing w:after="0"/>
              <w:rPr>
                <w:sz w:val="20"/>
                <w:szCs w:val="20"/>
                <w:color w:val="auto"/>
              </w:rPr>
            </w:pPr>
            <w:r>
              <w:rPr>
                <w:rFonts w:ascii="Arial" w:cs="Arial" w:eastAsia="Arial" w:hAnsi="Arial"/>
                <w:sz w:val="18"/>
                <w:szCs w:val="18"/>
                <w:color w:val="auto"/>
              </w:rPr>
              <w:t>See accompanying notes.</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40" w:type="dxa"/>
            <w:vAlign w:val="bottom"/>
            <w:gridSpan w:val="2"/>
          </w:tcPr>
          <w:p>
            <w:pPr>
              <w:jc w:val="right"/>
              <w:ind w:right="99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-557530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-557530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-557530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-557530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-557530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-557530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-557530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-557530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-557530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-557530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 30,</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1,946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w w:val="97"/>
              </w:rPr>
              <w:t>Accounts receivable, net of allowances for customer adjustments and doubtful accounts of $48 in 2005 and $45 in 2004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and debt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Acquisition-related intangibles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Prepaid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$1 par value. Authorized – 2,400,000,000 shares. Shares issued: 2005 – 1,738,650,318; 2004 – 1,738,156,615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Less treasury common stock at cost: Shares: 2005 – 120,597,527; 2004 – 20,041,497</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(3,152)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Minimum pension liability</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vMerge w:val="restart"/>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-4227830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-4227830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-4227830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-4227830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-4227830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-4227830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7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77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Sept. 30,</w:t>
            </w:r>
          </w:p>
        </w:tc>
        <w:tc>
          <w:tcPr>
            <w:tcW w:w="20" w:type="dxa"/>
            <w:vAlign w:val="bottom"/>
          </w:tcPr>
          <w:p>
            <w:pPr>
              <w:spacing w:after="0"/>
              <w:rPr>
                <w:sz w:val="20"/>
                <w:szCs w:val="20"/>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5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9560" w:type="dxa"/>
            <w:vAlign w:val="bottom"/>
            <w:gridSpan w:val="2"/>
            <w:vMerge w:val="continue"/>
          </w:tcPr>
          <w:p>
            <w:pPr>
              <w:spacing w:after="0"/>
              <w:rPr>
                <w:sz w:val="24"/>
                <w:szCs w:val="24"/>
                <w:color w:val="auto"/>
              </w:rPr>
            </w:pPr>
          </w:p>
        </w:tc>
        <w:tc>
          <w:tcPr>
            <w:tcW w:w="9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acquisition-related costs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(Gains)/losses on investments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(Gains)/losses on sales of assets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103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from changes in:</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90" w:type="dxa"/>
            <w:vAlign w:val="bottom"/>
          </w:tcPr>
          <w:p>
            <w:pPr>
              <w:spacing w:after="0"/>
              <w:rPr>
                <w:sz w:val="18"/>
                <w:szCs w:val="18"/>
                <w:color w:val="auto"/>
              </w:rPr>
            </w:pPr>
          </w:p>
        </w:tc>
        <w:tc>
          <w:tcPr>
            <w:tcW w:w="1030" w:type="dxa"/>
            <w:vAlign w:val="bottom"/>
            <w:gridSpan w:val="2"/>
          </w:tcPr>
          <w:p>
            <w:pPr>
              <w:jc w:val="right"/>
              <w:ind w:right="44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90" w:type="dxa"/>
            <w:vAlign w:val="bottom"/>
          </w:tcPr>
          <w:p>
            <w:pPr>
              <w:spacing w:after="0"/>
              <w:rPr>
                <w:sz w:val="18"/>
                <w:szCs w:val="18"/>
                <w:color w:val="auto"/>
              </w:rPr>
            </w:pPr>
          </w:p>
        </w:tc>
        <w:tc>
          <w:tcPr>
            <w:tcW w:w="1030" w:type="dxa"/>
            <w:vAlign w:val="bottom"/>
            <w:gridSpan w:val="2"/>
          </w:tcPr>
          <w:p>
            <w:pPr>
              <w:jc w:val="right"/>
              <w:ind w:right="4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profit sharing and retirement</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Noncurrent accrued retirement costs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(3,161)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3,543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 and long-term debt</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90" w:type="dxa"/>
            <w:vAlign w:val="bottom"/>
          </w:tcPr>
          <w:p>
            <w:pPr>
              <w:spacing w:after="0"/>
              <w:rPr>
                <w:sz w:val="18"/>
                <w:szCs w:val="18"/>
                <w:color w:val="auto"/>
              </w:rPr>
            </w:pPr>
          </w:p>
        </w:tc>
        <w:tc>
          <w:tcPr>
            <w:tcW w:w="103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9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Excess tax benefit from stock-option exercises</w:t>
            </w:r>
          </w:p>
        </w:tc>
        <w:tc>
          <w:tcPr>
            <w:tcW w:w="9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(3,281)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9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2,668</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September 30</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vMerge w:val="restart"/>
          </w:tcPr>
          <w:p>
            <w:pPr>
              <w:spacing w:after="0"/>
              <w:rPr>
                <w:sz w:val="20"/>
                <w:szCs w:val="20"/>
                <w:color w:val="auto"/>
              </w:rPr>
            </w:pPr>
            <w:r>
              <w:rPr>
                <w:rFonts w:ascii="Arial" w:cs="Arial" w:eastAsia="Arial" w:hAnsi="Arial"/>
                <w:sz w:val="18"/>
                <w:szCs w:val="18"/>
                <w:color w:val="auto"/>
              </w:rPr>
              <w:t>See accompanying notes.</w:t>
            </w:r>
          </w:p>
        </w:tc>
        <w:tc>
          <w:tcPr>
            <w:tcW w:w="9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4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560" w:type="dxa"/>
            <w:vAlign w:val="bottom"/>
            <w:gridSpan w:val="2"/>
          </w:tcPr>
          <w:p>
            <w:pPr>
              <w:jc w:val="right"/>
              <w:ind w:right="3712"/>
              <w:spacing w:after="0"/>
              <w:rPr>
                <w:sz w:val="20"/>
                <w:szCs w:val="20"/>
                <w:color w:val="auto"/>
              </w:rPr>
            </w:pPr>
            <w:r>
              <w:rPr>
                <w:rFonts w:ascii="Arial" w:cs="Arial" w:eastAsia="Arial" w:hAnsi="Arial"/>
                <w:sz w:val="18"/>
                <w:szCs w:val="18"/>
                <w:color w:val="auto"/>
              </w:rPr>
              <w:t>5</w:t>
            </w:r>
          </w:p>
        </w:tc>
        <w:tc>
          <w:tcPr>
            <w:tcW w:w="9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-557530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-557530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-557530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60" w:right="20" w:hanging="452"/>
        <w:spacing w:after="0" w:line="30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Basis of Presentation</w:t>
      </w:r>
      <w:r>
        <w:rPr>
          <w:rFonts w:ascii="Arial" w:cs="Arial" w:eastAsia="Arial" w:hAnsi="Arial"/>
          <w:sz w:val="15"/>
          <w:szCs w:val="15"/>
          <w:color w:val="auto"/>
        </w:rPr>
        <w:t>. The consolidated financial statements of Texas Instruments Incorporated (TI or the Company) have been prepared in accordance with accounting principles generally accepted in the U.S. (US GAAP) and on the same basis as the audited financial statements included in its Annual Report on Form 10-K for the year ended December 31, 2004. The consolidated statements of income, statements of comprehensive income and statements of cash flows for the periods ended September 30, 2005 and 2004, and the balance sheet as of September 30, 2005, are not audited but reflect all adjustments that are of a normal recurring nature and are, in the opinion of management, necessary for a fair statement of the results of the periods shown. The consolidated balance sheet at December 31, 2004, has been derived from the audited consolidated balance sheet at that date. Certain information and note disclosures normally included in annual consolidated financial statements have been omitted pursuant to the rules and regulations of the U.S. Securities and Exchange Commission (SEC). Because the consolidated interim financial statements do not include all of the information and notes required by US GAAP for a complete set of financial statements, they should be read in conjunction with the audited consolidated financial statements and notes included in TI’s Annual Report on Form 10-K for the year ended December 31, 2004. The results for the nine month period are not necessarily indicative of a full year’s results. Certain amounts in the prior periods’ financial statements have been reclassified to conform to the current presentation.</w:t>
      </w:r>
    </w:p>
    <w:p>
      <w:pPr>
        <w:spacing w:after="0" w:line="17" w:lineRule="exact"/>
        <w:rPr>
          <w:rFonts w:ascii="Arial" w:cs="Arial" w:eastAsia="Arial" w:hAnsi="Arial"/>
          <w:sz w:val="15"/>
          <w:szCs w:val="15"/>
          <w:color w:val="auto"/>
        </w:rPr>
      </w:pPr>
    </w:p>
    <w:p>
      <w:pPr>
        <w:ind w:left="460" w:right="4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and reconciliation of earnings per common share (EPS) amounts for net income, on a basic and diluted basis, for the periods ending September 30, are as follows (in millions, except per-share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3</w:t>
            </w:r>
            <w:r>
              <w:rPr>
                <w:rFonts w:ascii="Arial" w:cs="Arial" w:eastAsia="Arial" w:hAnsi="Arial"/>
                <w:sz w:val="22"/>
                <w:szCs w:val="22"/>
                <w:b w:val="1"/>
                <w:bCs w:val="1"/>
                <w:color w:val="auto"/>
                <w:w w:val="87"/>
                <w:vertAlign w:val="superscript"/>
              </w:rPr>
              <w:t>rd</w:t>
            </w:r>
            <w:r>
              <w:rPr>
                <w:rFonts w:ascii="Arial" w:cs="Arial" w:eastAsia="Arial" w:hAnsi="Arial"/>
                <w:sz w:val="14"/>
                <w:szCs w:val="14"/>
                <w:b w:val="1"/>
                <w:bCs w:val="1"/>
                <w:color w:val="auto"/>
                <w:w w:val="87"/>
              </w:rPr>
              <w:t xml:space="preserve"> Quarter 2005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89"/>
              </w:rPr>
              <w:t>3</w:t>
            </w:r>
            <w:r>
              <w:rPr>
                <w:rFonts w:ascii="Arial" w:cs="Arial" w:eastAsia="Arial" w:hAnsi="Arial"/>
                <w:sz w:val="22"/>
                <w:szCs w:val="22"/>
                <w:b w:val="1"/>
                <w:bCs w:val="1"/>
                <w:color w:val="auto"/>
                <w:w w:val="89"/>
                <w:vertAlign w:val="superscript"/>
              </w:rPr>
              <w:t>rd</w:t>
            </w:r>
            <w:r>
              <w:rPr>
                <w:rFonts w:ascii="Arial" w:cs="Arial" w:eastAsia="Arial" w:hAnsi="Arial"/>
                <w:sz w:val="14"/>
                <w:szCs w:val="14"/>
                <w:b w:val="1"/>
                <w:bCs w:val="1"/>
                <w:color w:val="auto"/>
                <w:w w:val="89"/>
              </w:rPr>
              <w:t xml:space="preserve"> Quarter 2004</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20"/>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Pr>
          <w:p>
            <w:pPr>
              <w:spacing w:after="0"/>
              <w:rPr>
                <w:sz w:val="23"/>
                <w:szCs w:val="23"/>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ind w:right="59"/>
              <w:spacing w:after="0"/>
              <w:rPr>
                <w:sz w:val="20"/>
                <w:szCs w:val="20"/>
                <w:color w:val="auto"/>
              </w:rPr>
            </w:pPr>
            <w:r>
              <w:rPr>
                <w:rFonts w:ascii="Arial" w:cs="Arial" w:eastAsia="Arial" w:hAnsi="Arial"/>
                <w:sz w:val="14"/>
                <w:szCs w:val="14"/>
                <w:b w:val="1"/>
                <w:bCs w:val="1"/>
                <w:color w:val="auto"/>
                <w:w w:val="85"/>
              </w:rPr>
              <w:t>EPS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3"/>
                <w:szCs w:val="23"/>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and compensation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Year To Date 2005</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23"/>
              <w:spacing w:after="0"/>
              <w:rPr>
                <w:sz w:val="20"/>
                <w:szCs w:val="20"/>
                <w:color w:val="auto"/>
              </w:rPr>
            </w:pPr>
            <w:r>
              <w:rPr>
                <w:rFonts w:ascii="Arial" w:cs="Arial" w:eastAsia="Arial" w:hAnsi="Arial"/>
                <w:sz w:val="14"/>
                <w:szCs w:val="14"/>
                <w:b w:val="1"/>
                <w:bCs w:val="1"/>
                <w:color w:val="auto"/>
              </w:rPr>
              <w:t>Year To Date 2004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59"/>
              <w:spacing w:after="0"/>
              <w:rPr>
                <w:sz w:val="20"/>
                <w:szCs w:val="20"/>
                <w:color w:val="auto"/>
              </w:rPr>
            </w:pPr>
            <w:r>
              <w:rPr>
                <w:rFonts w:ascii="Arial" w:cs="Arial" w:eastAsia="Arial" w:hAnsi="Arial"/>
                <w:sz w:val="14"/>
                <w:szCs w:val="14"/>
                <w:b w:val="1"/>
                <w:bCs w:val="1"/>
                <w:color w:val="auto"/>
                <w:w w:val="85"/>
              </w:rPr>
              <w:t>EPS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and compensation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-1504315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-1504315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-1504315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-1504315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-1504315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-1504315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-1504315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-1504315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-1504315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-1504315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-1504315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-1504315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-1504315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-1504315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-1504315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-1504315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4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The Company has several stock-based employee compensation plans, which are more fully described in Note 13 in the Company’s 2004 Annual Report on Form 10-K. Prior to July 1, 2005, the Company accounted for awards granted under those plans following the recognition and measurement principles of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compensation cost was reflected in net income for stock options, as all options granted under those plans have an exercise price equal to the market value of the underlying common stock on the date of the grant (except options granted under the Company’s employee stock purchase plans and acquisition-related stock option awards). Compensation cost has been recognized for restricted stock units (RSUs).</w:t>
      </w:r>
    </w:p>
    <w:p>
      <w:pPr>
        <w:spacing w:after="0" w:line="25" w:lineRule="exact"/>
        <w:rPr>
          <w:rFonts w:ascii="Arial" w:cs="Arial" w:eastAsia="Arial" w:hAnsi="Arial"/>
          <w:sz w:val="16"/>
          <w:szCs w:val="16"/>
          <w:color w:val="auto"/>
        </w:rPr>
      </w:pPr>
    </w:p>
    <w:p>
      <w:pPr>
        <w:ind w:left="460"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Effective July 1, 2005, the Company adopted the fair value recognition provisions of Financial Accounting Standards Board (FASB) Statement of Financial Accounting Standards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using the modified prospective application method. Under this transition method, compensation cost recognized in the quarter ended September 30, 2005, includes the applicable amounts of: (a) compensation cost of all stock-based payments granted prior to, but not yet vested as of, July 1, 2005 (based on the grant-date fair value estimated in accordance with the original provisions of SFAS No. 123 and previously presented in the pro forma footnote disclosures), and (b) compensation cost for all stock-based payments granted subsequent to July 1, 2005 (based on the grant-date fair value estimated in accordance with the new provisions of SFAS No. 123(R)). Results for prior periods have not been restated.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Adopting SFAS No. 123(R)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the effect of adopting SFAS No. 123(R) as of July 1, 2005 (in millions, except per share amounts):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For Three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440" w:type="dxa"/>
            <w:vAlign w:val="bottom"/>
            <w:gridSpan w:val="3"/>
          </w:tcPr>
          <w:p>
            <w:pPr>
              <w:ind w:left="22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Sept.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Stock-option compensation expense recognized:</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 stock options only):</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R&amp;D</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Related deferred income tax benefit</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net income</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Decrease in basic earnings per share</w:t>
            </w:r>
          </w:p>
        </w:tc>
        <w:tc>
          <w:tcPr>
            <w:tcW w:w="2400" w:type="dxa"/>
            <w:vAlign w:val="bottom"/>
            <w:gridSpan w:val="2"/>
          </w:tcPr>
          <w:p>
            <w:pPr>
              <w:ind w:left="22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diluted earnings per share</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right="20"/>
        <w:spacing w:after="0" w:line="318" w:lineRule="auto"/>
        <w:rPr>
          <w:sz w:val="20"/>
          <w:szCs w:val="20"/>
          <w:color w:val="auto"/>
        </w:rPr>
      </w:pPr>
      <w:r>
        <w:rPr>
          <w:rFonts w:ascii="Arial" w:cs="Arial" w:eastAsia="Arial" w:hAnsi="Arial"/>
          <w:sz w:val="15"/>
          <w:szCs w:val="15"/>
          <w:color w:val="auto"/>
        </w:rPr>
        <w:t>The amounts above include the impact of recognizing compensation expense related to non-qualified stock options and stock options offered under the employee stock purchase plan. Compensation expense related to RSUs was recognized before implementation of SFAS No. 123(R). Compensation expense for RSUs totaled $4 million for the third quarter and $14 million for the nine months ended September 30, 2005, and is included in SG&amp;A. Total stock-based compensation expense, which includes both expense from stock options and RSUs, totaled $82 million for the third quarter and $92 million for the nine months ended September 30, 2005. Stock-based compensation expense has not been allocated to the various segments, but is reflected in corporate.</w:t>
      </w:r>
    </w:p>
    <w:p>
      <w:pPr>
        <w:spacing w:after="0" w:line="5"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Prior to adopting SFAS No. 123(R), the Company presented all tax benefits of deductions resulting from the exercise of non-qualified stock options as operating cash flows (reflected in income taxes payable). SFAS No. 123(R) requires the cash flows resulting from excess tax benefits (tax deductions realized in excess of the compensation costs recognized for the options exercised) from the date of adoption of SFAS No. 123(R) to be classified as a part of cash flows from financing activities. As a result of adopting SFAS No. 123(R) as of July 1, 2005, $42 million of excess tax benefits for the three months and nine months ended September 30, 2005, have been classified as financing cash flows.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Prior Period Pro Forma Presentations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modified prospective application method, results for prior periods have not been restated to reflect the effects of implementing SFAS</w:t>
      </w:r>
    </w:p>
    <w:p>
      <w:pPr>
        <w:spacing w:after="0" w:line="38"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No. 123(R). The following pro forma information, as required by SFAS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an amendment of FASB Statement No. 123</w:t>
      </w:r>
      <w:r>
        <w:rPr>
          <w:rFonts w:ascii="Arial" w:cs="Arial" w:eastAsia="Arial" w:hAnsi="Arial"/>
          <w:sz w:val="18"/>
          <w:szCs w:val="18"/>
          <w:color w:val="auto"/>
        </w:rPr>
        <w:t>,” is presented for comparative purposes and illustrates the pro forma effect on net income and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 for each period presented as if the Company had applied the fair value recognition provisions of SFAS No. 123 to stock-based employee compensation prior to July 1, 2005 (in millions, except per-share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For Three</w:t>
            </w:r>
          </w:p>
        </w:tc>
        <w:tc>
          <w:tcPr>
            <w:tcW w:w="260" w:type="dxa"/>
            <w:vAlign w:val="bottom"/>
          </w:tcPr>
          <w:p>
            <w:pPr>
              <w:spacing w:after="0"/>
              <w:rPr>
                <w:sz w:val="14"/>
                <w:szCs w:val="14"/>
                <w:color w:val="auto"/>
              </w:rPr>
            </w:pPr>
          </w:p>
        </w:tc>
        <w:tc>
          <w:tcPr>
            <w:tcW w:w="11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1"/>
              </w:rPr>
              <w:t>For Nine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260" w:type="dxa"/>
            <w:vAlign w:val="bottom"/>
          </w:tcPr>
          <w:p>
            <w:pPr>
              <w:spacing w:after="0"/>
              <w:rPr>
                <w:sz w:val="15"/>
                <w:szCs w:val="15"/>
                <w:color w:val="auto"/>
              </w:rPr>
            </w:pPr>
          </w:p>
        </w:tc>
        <w:tc>
          <w:tcPr>
            <w:tcW w:w="11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7"/>
              </w:rPr>
              <w:t>Months Ended</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 2004</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 30, 2005</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Sept.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1"/>
              </w:rPr>
              <w:t>Add: Stock-based employee compensation expense included in reported net income, net of ($2), ($30) and ($5) tax</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w w:val="91"/>
              </w:rPr>
              <w:t>(including actual FAS 123(R)-based total stock-based employee compensation expense recognized since July 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5"/>
              </w:rPr>
              <w:t>Deduct: Total stock-based employee compensation expense determined under fair value-based method for all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$45, $95 and $141 tax</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Deduct: Adjustment for retirement-eligible employees, net of $50 tax</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Basic – as reported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 for stock-based compensation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 for stock-based compensation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-1367155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-1367155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-1367155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-1367155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-1367155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-1367155</wp:posOffset>
            </wp:positionV>
            <wp:extent cx="69024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-929640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-929640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-929640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-929640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-929640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-929640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-929640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-929640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-929640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-629285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-629285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-629285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-629285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-629285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-629285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-629285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-629285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-329565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-329565</wp:posOffset>
            </wp:positionV>
            <wp:extent cx="69024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69024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024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80" w:right="239" w:bottom="1440" w:gutter="0" w:footer="0" w:header="0"/>
          <w:type w:val="continuous"/>
        </w:sectPr>
      </w:pPr>
    </w:p>
    <w:bookmarkStart w:id="7" w:name="page8"/>
    <w:bookmarkEnd w:id="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first quarter of 2005, the Company reduced the attribution period it used for certain grants of non-qualified stock options to recognize fair value-based compensation expense for pro forma footnote disclosure purposes for those stock option recipients who are retirement eligible or become retirement eligible following the grant of the awards. The Company’s non-qualified stock options have 10-year terms and generally vest over a four-year service period from the date of grant. Effective January 1, 2005, such compensation expense for retirement-eligible employees is now recognized over a six-month period, and for non-retirement-eligible employees, over the shorter of the period from grant date to the date they become retirement eligible (but not less than the six-month required service period) or the normal four-year vesting period. As a result, the Company included in its first quarter 2005 pro forma footnote</w:t>
      </w:r>
    </w:p>
    <w:p>
      <w:pPr>
        <w:spacing w:after="0" w:line="13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80" w:right="299" w:bottom="1440" w:gutter="0" w:footer="0" w:header="0"/>
        </w:sectPr>
      </w:pPr>
    </w:p>
    <w:bookmarkStart w:id="8" w:name="page9"/>
    <w:bookmarkEnd w:id="8"/>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disclosures a $94 million ($0.05 per share) inception-to-date adjustment of fair-value-based compensation expense for both retirement-eligible employees and employees who became retirement eligible since the date of grants, to reflect the reduced attribution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Assumptions</w:t>
      </w:r>
    </w:p>
    <w:p>
      <w:pPr>
        <w:spacing w:after="0" w:line="77"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disclosure above of fair values for these awards was estimated using the Black-Scholes option-pricing model with the weighted-average assumptions listed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3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8"/>
              </w:rPr>
              <w:t>For Three Months Ended</w:t>
            </w:r>
          </w:p>
        </w:tc>
        <w:tc>
          <w:tcPr>
            <w:tcW w:w="700" w:type="dxa"/>
            <w:vAlign w:val="bottom"/>
          </w:tcPr>
          <w:p>
            <w:pPr>
              <w:spacing w:after="0"/>
              <w:rPr>
                <w:sz w:val="14"/>
                <w:szCs w:val="14"/>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For Nine Months Ended</w:t>
            </w:r>
          </w:p>
        </w:tc>
        <w:tc>
          <w:tcPr>
            <w:tcW w:w="0" w:type="dxa"/>
            <w:vAlign w:val="bottom"/>
          </w:tcPr>
          <w:p>
            <w:pPr>
              <w:spacing w:after="0"/>
              <w:rPr>
                <w:sz w:val="1"/>
                <w:szCs w:val="1"/>
                <w:color w:val="auto"/>
              </w:rPr>
            </w:pPr>
          </w:p>
        </w:tc>
      </w:tr>
      <w:tr>
        <w:trPr>
          <w:trHeight w:val="174"/>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7"/>
              </w:rPr>
              <w:t>Sept. 30, 2005</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Sept. 30, 2005</w:t>
            </w:r>
          </w:p>
        </w:tc>
        <w:tc>
          <w:tcPr>
            <w:tcW w:w="0" w:type="dxa"/>
            <w:vAlign w:val="bottom"/>
          </w:tcPr>
          <w:p>
            <w:pPr>
              <w:spacing w:after="0"/>
              <w:rPr>
                <w:sz w:val="1"/>
                <w:szCs w:val="1"/>
                <w:color w:val="auto"/>
              </w:rPr>
            </w:pPr>
          </w:p>
        </w:tc>
      </w:tr>
      <w:tr>
        <w:trPr>
          <w:trHeight w:val="95"/>
        </w:trPr>
        <w:tc>
          <w:tcPr>
            <w:tcW w:w="6820" w:type="dxa"/>
            <w:vAlign w:val="bottom"/>
            <w:vMerge w:val="restart"/>
          </w:tcPr>
          <w:p>
            <w:pPr>
              <w:spacing w:after="0"/>
              <w:rPr>
                <w:sz w:val="20"/>
                <w:szCs w:val="20"/>
                <w:color w:val="auto"/>
              </w:rPr>
            </w:pPr>
            <w:r>
              <w:rPr>
                <w:rFonts w:ascii="Arial" w:cs="Arial" w:eastAsia="Arial" w:hAnsi="Arial"/>
                <w:sz w:val="18"/>
                <w:szCs w:val="18"/>
                <w:color w:val="auto"/>
              </w:rPr>
              <w:t>Long-Term Plans (a)</w:t>
            </w: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Expected lives</w:t>
            </w:r>
          </w:p>
        </w:tc>
        <w:tc>
          <w:tcPr>
            <w:tcW w:w="220" w:type="dxa"/>
            <w:vAlign w:val="bottom"/>
          </w:tcPr>
          <w:p>
            <w:pPr>
              <w:spacing w:after="0"/>
              <w:rPr>
                <w:sz w:val="18"/>
                <w:szCs w:val="18"/>
                <w:color w:val="auto"/>
              </w:rPr>
            </w:pPr>
          </w:p>
        </w:tc>
        <w:tc>
          <w:tcPr>
            <w:tcW w:w="2120" w:type="dxa"/>
            <w:vAlign w:val="bottom"/>
            <w:gridSpan w:val="2"/>
          </w:tcPr>
          <w:p>
            <w:pPr>
              <w:jc w:val="right"/>
              <w:ind w:right="860"/>
              <w:spacing w:after="0"/>
              <w:rPr>
                <w:sz w:val="20"/>
                <w:szCs w:val="20"/>
                <w:color w:val="auto"/>
              </w:rPr>
            </w:pPr>
            <w:r>
              <w:rPr>
                <w:rFonts w:ascii="Arial" w:cs="Arial" w:eastAsia="Arial" w:hAnsi="Arial"/>
                <w:sz w:val="18"/>
                <w:szCs w:val="18"/>
                <w:color w:val="auto"/>
              </w:rPr>
              <w:t>5 yrs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 yrs</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rates</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8"/>
        </w:trPr>
        <w:tc>
          <w:tcPr>
            <w:tcW w:w="6820" w:type="dxa"/>
            <w:vAlign w:val="bottom"/>
          </w:tcPr>
          <w:p>
            <w:pPr>
              <w:ind w:left="440"/>
              <w:spacing w:after="0"/>
              <w:rPr>
                <w:sz w:val="20"/>
                <w:szCs w:val="20"/>
                <w:color w:val="auto"/>
              </w:rPr>
            </w:pPr>
            <w:r>
              <w:rPr>
                <w:rFonts w:ascii="Arial" w:cs="Arial" w:eastAsia="Arial" w:hAnsi="Arial"/>
                <w:sz w:val="18"/>
                <w:szCs w:val="18"/>
                <w:color w:val="auto"/>
              </w:rPr>
              <w:t>Expected dividend yields</w:t>
            </w:r>
          </w:p>
        </w:tc>
        <w:tc>
          <w:tcPr>
            <w:tcW w:w="220" w:type="dxa"/>
            <w:vAlign w:val="bottom"/>
          </w:tcPr>
          <w:p>
            <w:pPr>
              <w:spacing w:after="0"/>
              <w:rPr>
                <w:sz w:val="18"/>
                <w:szCs w:val="18"/>
                <w:color w:val="auto"/>
              </w:rPr>
            </w:pPr>
          </w:p>
        </w:tc>
        <w:tc>
          <w:tcPr>
            <w:tcW w:w="212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Employee Plans (b)</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Expected lives</w:t>
            </w:r>
          </w:p>
        </w:tc>
        <w:tc>
          <w:tcPr>
            <w:tcW w:w="220" w:type="dxa"/>
            <w:vAlign w:val="bottom"/>
          </w:tcPr>
          <w:p>
            <w:pPr>
              <w:spacing w:after="0"/>
              <w:rPr>
                <w:sz w:val="18"/>
                <w:szCs w:val="18"/>
                <w:color w:val="auto"/>
              </w:rPr>
            </w:pPr>
          </w:p>
        </w:tc>
        <w:tc>
          <w:tcPr>
            <w:tcW w:w="2120" w:type="dxa"/>
            <w:vAlign w:val="bottom"/>
            <w:gridSpan w:val="2"/>
          </w:tcPr>
          <w:p>
            <w:pPr>
              <w:jc w:val="right"/>
              <w:ind w:right="860"/>
              <w:spacing w:after="0"/>
              <w:rPr>
                <w:sz w:val="20"/>
                <w:szCs w:val="20"/>
                <w:color w:val="auto"/>
              </w:rPr>
            </w:pPr>
            <w:r>
              <w:rPr>
                <w:rFonts w:ascii="Arial" w:cs="Arial" w:eastAsia="Arial" w:hAnsi="Arial"/>
                <w:sz w:val="18"/>
                <w:szCs w:val="18"/>
                <w:color w:val="auto"/>
              </w:rPr>
              <w:t>.58 yrs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.58 yrs</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rates</w:t>
            </w:r>
          </w:p>
        </w:tc>
        <w:tc>
          <w:tcPr>
            <w:tcW w:w="2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Expected dividend yields</w:t>
            </w:r>
          </w:p>
        </w:tc>
        <w:tc>
          <w:tcPr>
            <w:tcW w:w="220" w:type="dxa"/>
            <w:vAlign w:val="bottom"/>
          </w:tcPr>
          <w:p>
            <w:pPr>
              <w:spacing w:after="0"/>
              <w:rPr>
                <w:sz w:val="19"/>
                <w:szCs w:val="19"/>
                <w:color w:val="auto"/>
              </w:rPr>
            </w:pPr>
          </w:p>
        </w:tc>
        <w:tc>
          <w:tcPr>
            <w:tcW w:w="212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options and RSUs under the long-term incentive plans and the director plans.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Options under the TI Employees 2002 Stock Purchase Plan and its predecessor plan, the TI Employees 1997 Stock Purchase Plan.</w:t>
      </w:r>
    </w:p>
    <w:p>
      <w:pPr>
        <w:spacing w:after="0" w:line="76" w:lineRule="exact"/>
        <w:rPr>
          <w:rFonts w:ascii="Arial" w:cs="Arial" w:eastAsia="Arial" w:hAnsi="Arial"/>
          <w:sz w:val="18"/>
          <w:szCs w:val="18"/>
          <w:color w:val="auto"/>
        </w:rPr>
      </w:pPr>
    </w:p>
    <w:p>
      <w:pPr>
        <w:ind w:left="460" w:right="180"/>
        <w:spacing w:after="0" w:line="255" w:lineRule="auto"/>
        <w:rPr>
          <w:rFonts w:ascii="Arial" w:cs="Arial" w:eastAsia="Arial" w:hAnsi="Arial"/>
          <w:sz w:val="18"/>
          <w:szCs w:val="18"/>
          <w:color w:val="auto"/>
        </w:rPr>
      </w:pPr>
      <w:r>
        <w:rPr>
          <w:rFonts w:ascii="Arial" w:cs="Arial" w:eastAsia="Arial" w:hAnsi="Arial"/>
          <w:sz w:val="18"/>
          <w:szCs w:val="18"/>
          <w:color w:val="auto"/>
        </w:rPr>
        <w:t>Effective July 1, 2005, the Company changed its assumption of determining expected volatility on all new options granted after that date to rely solely on available implied volatility rates rather than an analysis of historical volatility. After giving consideration to recently available regulatory guidance, management believes that market-based measures of implied volatility are currently the best available indicators of the expected volatility used in our estimates. The effect of this change on income before taxes, net income and basic and diluted earnings per share for the three and nine months ended September 30, 2005, was not material.</w:t>
      </w:r>
    </w:p>
    <w:p>
      <w:pPr>
        <w:spacing w:after="0" w:line="48" w:lineRule="exact"/>
        <w:rPr>
          <w:rFonts w:ascii="Arial" w:cs="Arial" w:eastAsia="Arial" w:hAnsi="Arial"/>
          <w:sz w:val="18"/>
          <w:szCs w:val="18"/>
          <w:color w:val="auto"/>
        </w:rPr>
      </w:pPr>
    </w:p>
    <w:p>
      <w:pPr>
        <w:ind w:left="460" w:right="380"/>
        <w:spacing w:after="0" w:line="325" w:lineRule="auto"/>
        <w:rPr>
          <w:rFonts w:ascii="Arial" w:cs="Arial" w:eastAsia="Arial" w:hAnsi="Arial"/>
          <w:sz w:val="18"/>
          <w:szCs w:val="18"/>
          <w:color w:val="auto"/>
        </w:rPr>
      </w:pPr>
      <w:r>
        <w:rPr>
          <w:rFonts w:ascii="Arial" w:cs="Arial" w:eastAsia="Arial" w:hAnsi="Arial"/>
          <w:sz w:val="16"/>
          <w:szCs w:val="16"/>
          <w:color w:val="auto"/>
        </w:rPr>
        <w:t>The expected lives of options are determined based on the Company’s historical share option exercise experience, using a rolling 10-year average. The Company believes the historical experience method is the best estimate of future exercise patterns currently available.</w:t>
      </w:r>
    </w:p>
    <w:p>
      <w:pPr>
        <w:spacing w:after="0" w:line="1"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The risk-free interest rates are determined using the implied yield currently available for zero-coupon U.S. government issues with a remaining term equal to the expected life of the options.</w:t>
      </w:r>
    </w:p>
    <w:p>
      <w:pPr>
        <w:spacing w:after="0" w:line="37"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The expected dividend yields are based on the approved annual dividend rate in effect and current market price of the underlying common stock at the time of grant. No assumption for a future rate increase has been included unless there is an approved plan to increase the dividend in the near term.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 and Director Compensation Plans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Stock option and RSU transactions under the Company’s various long-term incentive and director compensation plans during the nine-months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were as follows: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Stock Units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241,089,380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23,560,270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(5,346,130)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(22,326,754)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236,976,766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nine months ended September 30, 2005, the total intrinsic value of options exercised (i.e., the difference in the market price at exercise and the price paid by the employee to exercise the option) was $325 million, the total amount of cash received from exercise of options was $333 million (which includes $60 million from the TI Employees 2002 Stock Purchase Plan) and the related net tax benefit realized from the exercise of those stock options was $92 million (which includes $42 million of excess tax benefit realized since July 1, 2005).</w:t>
      </w:r>
    </w:p>
    <w:p>
      <w:pPr>
        <w:spacing w:after="0" w:line="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expense related to RSUs totaled $14 million for the nine months ended September 30, 2005. For the nine months ended September 30, 2005, the total fair value of shares vested from RSU grants was $21 million.</w:t>
      </w:r>
    </w:p>
    <w:p>
      <w:pPr>
        <w:spacing w:after="0" w:line="3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Summarized information about outstanding stock options and RSUs as of September 30, 2005, that are already fully vested and those that are expected to vest in the future as well as stock options that are fully vested and currently exercisable, are as follows:</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80" w:type="dxa"/>
            <w:vAlign w:val="bottom"/>
            <w:gridSpan w:val="3"/>
          </w:tcPr>
          <w:p>
            <w:pPr>
              <w:ind w:left="1800"/>
              <w:spacing w:after="0"/>
              <w:rPr>
                <w:sz w:val="20"/>
                <w:szCs w:val="20"/>
                <w:color w:val="auto"/>
              </w:rPr>
            </w:pPr>
            <w:r>
              <w:rPr>
                <w:rFonts w:ascii="Arial" w:cs="Arial" w:eastAsia="Arial" w:hAnsi="Arial"/>
                <w:sz w:val="14"/>
                <w:szCs w:val="14"/>
                <w:b w:val="1"/>
                <w:bCs w:val="1"/>
                <w:color w:val="auto"/>
                <w:w w:val="85"/>
              </w:rPr>
              <w:t>Outstanding Stock</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Options and RSUs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(Fully Vested and</w:t>
            </w:r>
          </w:p>
        </w:tc>
        <w:tc>
          <w:tcPr>
            <w:tcW w:w="10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9"/>
              </w:rPr>
              <w:t>Options that are</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Expected to Vest</w:t>
            </w:r>
            <w:r>
              <w:rPr>
                <w:rFonts w:ascii="Arial" w:cs="Arial" w:eastAsia="Arial" w:hAnsi="Arial"/>
                <w:sz w:val="22"/>
                <w:szCs w:val="22"/>
                <w:b w:val="1"/>
                <w:bCs w:val="1"/>
                <w:color w:val="auto"/>
                <w:w w:val="86"/>
                <w:vertAlign w:val="superscript"/>
              </w:rPr>
              <w:t>*</w:t>
            </w:r>
            <w:r>
              <w:rPr>
                <w:rFonts w:ascii="Arial" w:cs="Arial" w:eastAsia="Arial" w:hAnsi="Arial"/>
                <w:sz w:val="14"/>
                <w:szCs w:val="14"/>
                <w:b w:val="1"/>
                <w:bCs w:val="1"/>
                <w:color w:val="auto"/>
                <w:w w:val="86"/>
              </w:rPr>
              <w:t>)</w:t>
            </w:r>
          </w:p>
        </w:tc>
        <w:tc>
          <w:tcPr>
            <w:tcW w:w="1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2005:</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Number of outstanding shares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233,578,997</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158,159,296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remaining contractual life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years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Weighted average exercise price per share</w:t>
            </w:r>
          </w:p>
        </w:tc>
        <w:tc>
          <w:tcPr>
            <w:tcW w:w="19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16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Intrinsic value (in millions)</w:t>
            </w:r>
          </w:p>
        </w:tc>
        <w:tc>
          <w:tcPr>
            <w:tcW w:w="194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Includes effects of expected forfeitures.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 w:name="page11"/>
    <w:bookmarkEnd w:id="10"/>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September 30, 2005, the total future compensation cost related to nonvested options and RSUs not yet recognized in the statement of income was $507 million and the weighted-average period over which these awards are expected to be recognized was 2.1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had stock options outstanding under the TI Employees 2002 Stock Purchase Plan. At September 30, 2005, the stock options outstanding under the TI Employees 2002 Stock Purchase Plan had an exercise price of $23.08 per share. Of the total outstanding options, none were exercisable at year-end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during the nine months ended September 30, 2005, were as follows:</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Employee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Purchase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(shares)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3,645,434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2,763,984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(3,572,976)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2,603,894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April 2005, stockholders approved the TI Employees 2005 Stock Purchase Plan, which replaced the 2002 Plan. Under the 2005 Plan, options are offered to all eligible employees in amounts based on a percentage of the employee’s compensation. Under the 2005 Plan, the option price per share is 85 percent of the fair market value on the exercise date. Under the 2002 Plan, the option price per share was 85 percent of the fair market value on the date of grant or on the exercise date, whichever was lower. Additionally, the terms of the options under the 2005 Plan are three months, rather than six months under the predecessor plan. Compensation expense for the 2002 Plan was complete as of September, 30, 2005. Compensation expense for the 2005 Plan began October 1, 2005.</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Policies</w:t>
      </w:r>
    </w:p>
    <w:p>
      <w:pPr>
        <w:spacing w:after="0" w:line="77"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The Company may issue awards of stock options or RSUs with a graded vesting provision (e.g., 25 percent per year for four years). In such cases, the Company recognizes the related compensation cost on a straight-line basis over the expected term of the award.</w:t>
      </w:r>
    </w:p>
    <w:p>
      <w:pPr>
        <w:spacing w:after="0" w:line="37"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It has been the Company’s practice to issue shares of common stock upon exercise of stock options generally from Treasury shares and from previously unissued shares on a limited basis.</w:t>
      </w:r>
    </w:p>
    <w:p>
      <w:pPr>
        <w:spacing w:after="0" w:line="3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3"/>
              </w:rPr>
              <w:t>U.S. Pension</w:t>
            </w:r>
          </w:p>
        </w:tc>
        <w:tc>
          <w:tcPr>
            <w:tcW w:w="100" w:type="dxa"/>
            <w:vAlign w:val="bottom"/>
          </w:tcPr>
          <w:p>
            <w:pPr>
              <w:spacing w:after="0"/>
              <w:rPr>
                <w:sz w:val="15"/>
                <w:szCs w:val="15"/>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Retiree Medical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Non-U.S. Pension</w:t>
            </w:r>
          </w:p>
        </w:tc>
        <w:tc>
          <w:tcPr>
            <w:tcW w:w="0" w:type="dxa"/>
            <w:vAlign w:val="bottom"/>
          </w:tcPr>
          <w:p>
            <w:pPr>
              <w:spacing w:after="0"/>
              <w:rPr>
                <w:sz w:val="1"/>
                <w:szCs w:val="1"/>
                <w:color w:val="auto"/>
              </w:rPr>
            </w:pPr>
          </w:p>
        </w:tc>
      </w:tr>
      <w:tr>
        <w:trPr>
          <w:trHeight w:val="95"/>
        </w:trPr>
        <w:tc>
          <w:tcPr>
            <w:tcW w:w="28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Sept. 30,</w:t>
            </w:r>
          </w:p>
        </w:tc>
        <w:tc>
          <w:tcPr>
            <w:tcW w:w="4540" w:type="dxa"/>
            <w:vAlign w:val="bottom"/>
            <w:gridSpan w:val="4"/>
          </w:tcPr>
          <w:p>
            <w:pPr>
              <w:jc w:val="center"/>
              <w:ind w:left="4099"/>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22"/>
                <w:szCs w:val="22"/>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76"/>
              </w:rPr>
              <w:t>2005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9"/>
              </w:rPr>
              <w:t>Amortization of transition obligation</w:t>
            </w: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Amortization of net (gain)/loss</w:t>
            </w: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Borders>
              <w:bottom w:val="single" w:sz="8" w:color="auto"/>
            </w:tcBorders>
            <w:gridSpan w:val="3"/>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3"/>
              </w:rPr>
              <w:t>U.S. Pension</w:t>
            </w:r>
          </w:p>
        </w:tc>
        <w:tc>
          <w:tcPr>
            <w:tcW w:w="100" w:type="dxa"/>
            <w:vAlign w:val="bottom"/>
          </w:tcPr>
          <w:p>
            <w:pPr>
              <w:spacing w:after="0"/>
              <w:rPr>
                <w:sz w:val="24"/>
                <w:szCs w:val="2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Retiree Medical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Non-U.S. Pension</w:t>
            </w:r>
          </w:p>
        </w:tc>
        <w:tc>
          <w:tcPr>
            <w:tcW w:w="0" w:type="dxa"/>
            <w:vAlign w:val="bottom"/>
          </w:tcPr>
          <w:p>
            <w:pPr>
              <w:spacing w:after="0"/>
              <w:rPr>
                <w:sz w:val="1"/>
                <w:szCs w:val="1"/>
                <w:color w:val="auto"/>
              </w:rPr>
            </w:pPr>
          </w:p>
        </w:tc>
      </w:tr>
      <w:tr>
        <w:trPr>
          <w:trHeight w:val="95"/>
        </w:trPr>
        <w:tc>
          <w:tcPr>
            <w:tcW w:w="28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200" w:type="dxa"/>
            <w:vAlign w:val="bottom"/>
            <w:gridSpan w:val="2"/>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 Sept. 30,</w:t>
            </w:r>
          </w:p>
        </w:tc>
        <w:tc>
          <w:tcPr>
            <w:tcW w:w="4540" w:type="dxa"/>
            <w:vAlign w:val="bottom"/>
            <w:gridSpan w:val="4"/>
          </w:tcPr>
          <w:p>
            <w:pPr>
              <w:jc w:val="center"/>
              <w:ind w:left="4099"/>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22"/>
                <w:szCs w:val="22"/>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76"/>
              </w:rPr>
              <w:t>2005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w w:val="99"/>
              </w:rPr>
              <w:t>Amortization of transition obligation</w:t>
            </w:r>
          </w:p>
        </w:tc>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Amortization of net (gain)/loss</w:t>
            </w:r>
          </w:p>
        </w:tc>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-1915795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-1915795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-1915795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-1915795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-1915795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-1915795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-1915795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-1915795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-1915795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-1915795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-1915795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-1915795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-1915795</wp:posOffset>
            </wp:positionV>
            <wp:extent cx="31305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-1915795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-1915795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-1915795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7876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Settlement and curtailment (gains)/losses and special termination benefits were not material.</w:t>
      </w:r>
    </w:p>
    <w:p>
      <w:pPr>
        <w:spacing w:after="0" w:line="77" w:lineRule="exact"/>
        <w:rPr>
          <w:sz w:val="20"/>
          <w:szCs w:val="20"/>
          <w:color w:val="auto"/>
        </w:rPr>
      </w:pPr>
    </w:p>
    <w:p>
      <w:pPr>
        <w:ind w:left="460" w:right="340"/>
        <w:spacing w:after="0" w:line="325" w:lineRule="auto"/>
        <w:rPr>
          <w:sz w:val="20"/>
          <w:szCs w:val="20"/>
          <w:color w:val="auto"/>
        </w:rPr>
      </w:pPr>
      <w:r>
        <w:rPr>
          <w:rFonts w:ascii="Arial" w:cs="Arial" w:eastAsia="Arial" w:hAnsi="Arial"/>
          <w:sz w:val="16"/>
          <w:szCs w:val="16"/>
          <w:color w:val="auto"/>
        </w:rPr>
        <w:t>The Company will make discretionary tax deductible contributions of between $250 million and $300 million to its U.S. and non-U.S. retirement plans during the fourth quarter of 2005, including approximately $200 million that will be used to fund a previously unfunded non-U.S. retirement plan.</w:t>
      </w:r>
    </w:p>
    <w:p>
      <w:pPr>
        <w:spacing w:after="0" w:line="1" w:lineRule="exact"/>
        <w:rPr>
          <w:sz w:val="20"/>
          <w:szCs w:val="20"/>
          <w:color w:val="auto"/>
        </w:rPr>
      </w:pPr>
    </w:p>
    <w:p>
      <w:pPr>
        <w:ind w:left="46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Restructuring Actions.</w:t>
      </w:r>
      <w:r>
        <w:rPr>
          <w:rFonts w:ascii="Arial" w:cs="Arial" w:eastAsia="Arial" w:hAnsi="Arial"/>
          <w:sz w:val="16"/>
          <w:szCs w:val="16"/>
          <w:color w:val="auto"/>
        </w:rPr>
        <w:t xml:space="preserve"> 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930 jobs through voluntary retirement and involuntary termination programs through 2006, primarily in manufacturing operations at the Attleboro headquarters of the Sensors &amp; Controls business. The total cost of this restructuring action is expected to be about $71 million. As of September 30, 2005, a total of 785 employees have been terminated and total net pretax charges of $63 million have been recorded associated with this action. The remaining charges are expected to be completed by the end of 2006.</w:t>
      </w:r>
    </w:p>
    <w:p>
      <w:pPr>
        <w:spacing w:after="0" w:line="25" w:lineRule="exact"/>
        <w:rPr>
          <w:rFonts w:ascii="Arial" w:cs="Arial" w:eastAsia="Arial" w:hAnsi="Arial"/>
          <w:sz w:val="16"/>
          <w:szCs w:val="16"/>
          <w:color w:val="auto"/>
        </w:rPr>
      </w:pPr>
    </w:p>
    <w:p>
      <w:pPr>
        <w:ind w:left="460" w:right="1460"/>
        <w:spacing w:after="0" w:line="394" w:lineRule="auto"/>
        <w:rPr>
          <w:rFonts w:ascii="Arial" w:cs="Arial" w:eastAsia="Arial" w:hAnsi="Arial"/>
          <w:sz w:val="16"/>
          <w:szCs w:val="16"/>
          <w:color w:val="auto"/>
        </w:rPr>
      </w:pPr>
      <w:r>
        <w:rPr>
          <w:rFonts w:ascii="Arial" w:cs="Arial" w:eastAsia="Arial" w:hAnsi="Arial"/>
          <w:sz w:val="15"/>
          <w:szCs w:val="15"/>
          <w:color w:val="auto"/>
        </w:rPr>
        <w:t>In the third quarter of 2005, the Company recorded net pretax charges of $1 million in cost of revenue, primarily for severance costs. In the second quarter of 2005, the Company recorded net pretax charges of $4 million in cost of revenue, primarily for severance costs.</w:t>
      </w:r>
    </w:p>
    <w:p>
      <w:pPr>
        <w:ind w:left="460" w:right="580"/>
        <w:spacing w:after="0" w:line="268" w:lineRule="auto"/>
        <w:rPr>
          <w:rFonts w:ascii="Arial" w:cs="Arial" w:eastAsia="Arial" w:hAnsi="Arial"/>
          <w:sz w:val="16"/>
          <w:szCs w:val="16"/>
          <w:color w:val="auto"/>
        </w:rPr>
      </w:pPr>
      <w:r>
        <w:rPr>
          <w:rFonts w:ascii="Arial" w:cs="Arial" w:eastAsia="Arial" w:hAnsi="Arial"/>
          <w:sz w:val="18"/>
          <w:szCs w:val="18"/>
          <w:color w:val="auto"/>
        </w:rPr>
        <w:t>In the first quarter of 2005, the Company recorded net pretax charges of $5 million, primarily for severance costs. Of the $5 million, $4 million was included in cost of revenue and $1 million was included in selling, general and administrative expense.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third quarter of 2004, the Company recorded net pretax charges in cost of revenue of $4 million, primarily for severance and benefit costs.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second quarter of 2004, the Company recorded net pretax charges of $3 million in cost of revenue, primarily for severance costs.</w:t>
      </w:r>
    </w:p>
    <w:p>
      <w:pPr>
        <w:spacing w:after="0" w:line="77"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In the first quarter of 2004, the Company recorded net pretax charges of $3 million, primarily for severance costs. Of the $3 million, $2 million was included in cost of revenue and $1 million was included in selling, general and administrative expense.</w:t>
      </w:r>
    </w:p>
    <w:p>
      <w:pPr>
        <w:spacing w:after="0" w:line="37"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Semiconductor Restructuring Action: In the second quarter of 2003, the Company announced a restructuring action for Semiconductor manufacturing operations in the U.S. and international locations, as those operations continued to become more productive with fewer people. During 2003 and 2004, a total of 875 employees were terminated, primarily at locations in the U.S., Japan and Germany. This action was completed in the first quarter of 2005 with a total of 897 terminated employees and a total net pretax cost of $82 million. As of September 30, 2005, all affected employees have been terminated and a balance of $7 million of severance and benefit costs remains to be paid through 2011.</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Prior Years’ Restructuring Programs</w:t>
      </w:r>
    </w:p>
    <w:p>
      <w:pPr>
        <w:spacing w:after="0" w:line="7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As of September 30, 2005, all employees associated with restructuring actions taken in earlier periods have been terminated and a balance of $12 million of severance and benefit costs remains to be paid through 2008. The extended payment dates reflect the requirements of various non-U.S. government regulations for benefits due to terminated employees.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reconciliation of the above-mentioned restructuring accruals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5"/>
          </w:tcPr>
          <w:p>
            <w:pPr>
              <w:ind w:left="580"/>
              <w:spacing w:after="0"/>
              <w:rPr>
                <w:sz w:val="20"/>
                <w:szCs w:val="20"/>
                <w:color w:val="auto"/>
              </w:rPr>
            </w:pPr>
            <w:r>
              <w:rPr>
                <w:rFonts w:ascii="Arial" w:cs="Arial" w:eastAsia="Arial" w:hAnsi="Arial"/>
                <w:sz w:val="14"/>
                <w:szCs w:val="14"/>
                <w:b w:val="1"/>
                <w:bCs w:val="1"/>
                <w:color w:val="auto"/>
              </w:rPr>
              <w:t>2003 Restructurings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jc w:val="center"/>
              <w:ind w:left="126"/>
              <w:spacing w:after="0"/>
              <w:rPr>
                <w:sz w:val="20"/>
                <w:szCs w:val="20"/>
                <w:color w:val="auto"/>
              </w:rPr>
            </w:pPr>
            <w:r>
              <w:rPr>
                <w:rFonts w:ascii="Arial" w:cs="Arial" w:eastAsia="Arial" w:hAnsi="Arial"/>
                <w:sz w:val="14"/>
                <w:szCs w:val="14"/>
                <w:b w:val="1"/>
                <w:bCs w:val="1"/>
                <w:color w:val="auto"/>
                <w:w w:val="94"/>
              </w:rPr>
              <w:t>S&amp;C</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center"/>
              <w:ind w:left="124"/>
              <w:spacing w:after="0"/>
              <w:rPr>
                <w:sz w:val="20"/>
                <w:szCs w:val="20"/>
                <w:color w:val="auto"/>
              </w:rPr>
            </w:pPr>
            <w:r>
              <w:rPr>
                <w:rFonts w:ascii="Arial" w:cs="Arial" w:eastAsia="Arial" w:hAnsi="Arial"/>
                <w:sz w:val="14"/>
                <w:szCs w:val="14"/>
                <w:b w:val="1"/>
                <w:bCs w:val="1"/>
                <w:color w:val="auto"/>
                <w:w w:val="82"/>
              </w:rPr>
              <w:t>SC</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80" w:type="dxa"/>
            <w:vAlign w:val="bottom"/>
          </w:tcPr>
          <w:p>
            <w:pPr>
              <w:spacing w:after="0"/>
              <w:rPr>
                <w:sz w:val="12"/>
                <w:szCs w:val="12"/>
                <w:color w:val="auto"/>
              </w:rPr>
            </w:pPr>
          </w:p>
        </w:tc>
        <w:tc>
          <w:tcPr>
            <w:tcW w:w="4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3"/>
              </w:rPr>
              <w:t>Total</w:t>
            </w:r>
          </w:p>
        </w:tc>
        <w:tc>
          <w:tcPr>
            <w:tcW w:w="600" w:type="dxa"/>
            <w:vAlign w:val="bottom"/>
          </w:tcPr>
          <w:p>
            <w:pPr>
              <w:jc w:val="center"/>
              <w:ind w:left="126"/>
              <w:spacing w:after="0"/>
              <w:rPr>
                <w:sz w:val="20"/>
                <w:szCs w:val="20"/>
                <w:color w:val="auto"/>
              </w:rPr>
            </w:pPr>
            <w:r>
              <w:rPr>
                <w:rFonts w:ascii="Arial" w:cs="Arial" w:eastAsia="Arial" w:hAnsi="Arial"/>
                <w:sz w:val="14"/>
                <w:szCs w:val="14"/>
                <w:b w:val="1"/>
                <w:bCs w:val="1"/>
                <w:color w:val="auto"/>
                <w:w w:val="91"/>
              </w:rPr>
              <w:t>Action</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left="104"/>
              <w:spacing w:after="0"/>
              <w:rPr>
                <w:sz w:val="20"/>
                <w:szCs w:val="20"/>
                <w:color w:val="auto"/>
              </w:rPr>
            </w:pPr>
            <w:r>
              <w:rPr>
                <w:rFonts w:ascii="Arial" w:cs="Arial" w:eastAsia="Arial" w:hAnsi="Arial"/>
                <w:sz w:val="14"/>
                <w:szCs w:val="14"/>
                <w:b w:val="1"/>
                <w:bCs w:val="1"/>
                <w:color w:val="auto"/>
                <w:w w:val="87"/>
              </w:rPr>
              <w:t>Action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gridSpan w:val="2"/>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Description*</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BALANCE DEC. 31, 2004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$ 40</w:t>
            </w:r>
          </w:p>
        </w:tc>
        <w:tc>
          <w:tcPr>
            <w:tcW w:w="7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7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Severance charges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gridSpan w:val="2"/>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DISPOSITIONS: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 30, 2005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w w:val="94"/>
              </w:rPr>
              <w:t>Note: All charges/dispositions are cash items unless otherwise noted.</w:t>
            </w:r>
          </w:p>
        </w:tc>
        <w:tc>
          <w:tcPr>
            <w:tcW w:w="15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24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5020" w:type="dxa"/>
            <w:vAlign w:val="bottom"/>
          </w:tcPr>
          <w:p>
            <w:pPr>
              <w:spacing w:after="0"/>
              <w:rPr>
                <w:sz w:val="20"/>
                <w:szCs w:val="20"/>
                <w:color w:val="auto"/>
              </w:rPr>
            </w:pPr>
            <w:r>
              <w:rPr>
                <w:rFonts w:ascii="Arial" w:cs="Arial" w:eastAsia="Arial" w:hAnsi="Arial"/>
                <w:sz w:val="18"/>
                <w:szCs w:val="18"/>
                <w:color w:val="auto"/>
              </w:rPr>
              <w:t>Abbreviations</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S&amp;C = Sensors &amp; Controls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gridSpan w:val="2"/>
          </w:tcPr>
          <w:p>
            <w:pPr>
              <w:spacing w:after="0"/>
              <w:rPr>
                <w:sz w:val="20"/>
                <w:szCs w:val="20"/>
                <w:color w:val="auto"/>
              </w:rPr>
            </w:pPr>
            <w:r>
              <w:rPr>
                <w:rFonts w:ascii="Arial" w:cs="Arial" w:eastAsia="Arial" w:hAnsi="Arial"/>
                <w:sz w:val="18"/>
                <w:szCs w:val="18"/>
                <w:color w:val="auto"/>
                <w:w w:val="79"/>
              </w:rPr>
              <w:t>SC</w:t>
            </w:r>
          </w:p>
        </w:tc>
        <w:tc>
          <w:tcPr>
            <w:tcW w:w="5020" w:type="dxa"/>
            <w:vAlign w:val="bottom"/>
          </w:tcPr>
          <w:p>
            <w:pPr>
              <w:ind w:left="220"/>
              <w:spacing w:after="0"/>
              <w:rPr>
                <w:sz w:val="20"/>
                <w:szCs w:val="20"/>
                <w:color w:val="auto"/>
              </w:rPr>
            </w:pPr>
            <w:r>
              <w:rPr>
                <w:rFonts w:ascii="Arial" w:cs="Arial" w:eastAsia="Arial" w:hAnsi="Arial"/>
                <w:sz w:val="18"/>
                <w:szCs w:val="18"/>
                <w:color w:val="auto"/>
              </w:rPr>
              <w:t>= Semiconductor</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20" w:type="dxa"/>
            <w:vAlign w:val="bottom"/>
          </w:tcPr>
          <w:p>
            <w:pPr>
              <w:jc w:val="right"/>
              <w:ind w:right="87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-1012190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-1012190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-1012190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-1012190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-1012190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-1012190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-1012190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-1012190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-1012190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-1012190</wp:posOffset>
            </wp:positionV>
            <wp:extent cx="34734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Data</w:t>
      </w:r>
      <w:r>
        <w:rPr>
          <w:rFonts w:ascii="Arial" w:cs="Arial" w:eastAsia="Arial" w:hAnsi="Arial"/>
          <w:sz w:val="18"/>
          <w:szCs w:val="18"/>
          <w:color w:val="auto"/>
        </w:rPr>
        <w:t>. Business segment information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5"/>
              </w:rPr>
              <w:t>For Three Months Ended</w:t>
            </w:r>
          </w:p>
        </w:tc>
        <w:tc>
          <w:tcPr>
            <w:tcW w:w="140" w:type="dxa"/>
            <w:vAlign w:val="bottom"/>
          </w:tcPr>
          <w:p>
            <w:pPr>
              <w:spacing w:after="0"/>
              <w:rPr>
                <w:sz w:val="15"/>
                <w:szCs w:val="15"/>
                <w:color w:val="auto"/>
              </w:rPr>
            </w:pPr>
          </w:p>
        </w:tc>
        <w:tc>
          <w:tcPr>
            <w:tcW w:w="18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6"/>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20"/>
                <w:szCs w:val="20"/>
                <w:color w:val="auto"/>
              </w:rPr>
            </w:pPr>
          </w:p>
        </w:tc>
        <w:tc>
          <w:tcPr>
            <w:tcW w:w="12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Sept. 30,</w:t>
            </w:r>
          </w:p>
        </w:tc>
        <w:tc>
          <w:tcPr>
            <w:tcW w:w="12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3"/>
              </w:rPr>
              <w:t>Sept. 30,</w:t>
            </w:r>
          </w:p>
        </w:tc>
        <w:tc>
          <w:tcPr>
            <w:tcW w:w="20" w:type="dxa"/>
            <w:vAlign w:val="bottom"/>
          </w:tcPr>
          <w:p>
            <w:pPr>
              <w:spacing w:after="0"/>
              <w:rPr>
                <w:sz w:val="20"/>
                <w:szCs w:val="20"/>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67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140" w:type="dxa"/>
            <w:vAlign w:val="bottom"/>
          </w:tcPr>
          <w:p>
            <w:pPr>
              <w:spacing w:after="0"/>
              <w:rPr>
                <w:sz w:val="15"/>
                <w:szCs w:val="15"/>
                <w:color w:val="auto"/>
              </w:rPr>
            </w:pPr>
          </w:p>
        </w:tc>
        <w:tc>
          <w:tcPr>
            <w:tcW w:w="52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2004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3,134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8,494</w:t>
            </w:r>
          </w:p>
        </w:tc>
        <w:tc>
          <w:tcPr>
            <w:tcW w:w="6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Educational &amp; Productivity Solutions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3"/>
          </w:tcPr>
          <w:p>
            <w:pPr>
              <w:ind w:left="420"/>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9"/>
                <w:szCs w:val="19"/>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gridSpan w:val="4"/>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5"/>
              </w:rPr>
              <w:t>For Three Months Ended</w:t>
            </w:r>
          </w:p>
        </w:tc>
        <w:tc>
          <w:tcPr>
            <w:tcW w:w="140" w:type="dxa"/>
            <w:vAlign w:val="bottom"/>
          </w:tcPr>
          <w:p>
            <w:pPr>
              <w:spacing w:after="0"/>
              <w:rPr>
                <w:sz w:val="24"/>
                <w:szCs w:val="24"/>
                <w:color w:val="auto"/>
              </w:rPr>
            </w:pPr>
          </w:p>
        </w:tc>
        <w:tc>
          <w:tcPr>
            <w:tcW w:w="18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6"/>
              </w:rPr>
              <w:t>For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2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20"/>
                <w:szCs w:val="20"/>
                <w:color w:val="auto"/>
              </w:rPr>
            </w:pPr>
          </w:p>
        </w:tc>
        <w:tc>
          <w:tcPr>
            <w:tcW w:w="12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Sept. 30,</w:t>
            </w:r>
          </w:p>
        </w:tc>
        <w:tc>
          <w:tcPr>
            <w:tcW w:w="12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3"/>
              </w:rPr>
              <w:t>Sept. 30,</w:t>
            </w:r>
          </w:p>
        </w:tc>
        <w:tc>
          <w:tcPr>
            <w:tcW w:w="20" w:type="dxa"/>
            <w:vAlign w:val="bottom"/>
          </w:tcPr>
          <w:p>
            <w:pPr>
              <w:spacing w:after="0"/>
              <w:rPr>
                <w:sz w:val="20"/>
                <w:szCs w:val="20"/>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67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 (Loss)</w:t>
            </w:r>
          </w:p>
        </w:tc>
        <w:tc>
          <w:tcPr>
            <w:tcW w:w="140" w:type="dxa"/>
            <w:vAlign w:val="bottom"/>
          </w:tcPr>
          <w:p>
            <w:pPr>
              <w:spacing w:after="0"/>
              <w:rPr>
                <w:sz w:val="15"/>
                <w:szCs w:val="15"/>
                <w:color w:val="auto"/>
              </w:rPr>
            </w:pPr>
          </w:p>
        </w:tc>
        <w:tc>
          <w:tcPr>
            <w:tcW w:w="52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2004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Corporate *</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1,981</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-1873250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-1873250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-1873250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-1873250</wp:posOffset>
            </wp:positionV>
            <wp:extent cx="4584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-1873250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-1873250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-1873250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-1873250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-1873250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-1873250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The three month and nine month periods of 2005 include the impact of stock-based compensation from July 1, 2005. See Note 3.</w:t>
      </w:r>
    </w:p>
    <w:p>
      <w:pPr>
        <w:spacing w:after="0" w:line="77" w:lineRule="exact"/>
        <w:rPr>
          <w:sz w:val="20"/>
          <w:szCs w:val="20"/>
          <w:color w:val="auto"/>
        </w:rPr>
      </w:pPr>
    </w:p>
    <w:p>
      <w:pPr>
        <w:ind w:left="460" w:right="140" w:hanging="452"/>
        <w:spacing w:after="0" w:line="287"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Income taxes for the interim periods presented have been included in the accompanying financial statements on the basis of an estimated annual effective tax rate. In addition to the amount of tax resulting from applying the estimated annual effective tax rate to pretax income, the Company includes certain items treated as discrete events. One discrete item is a favorable adjustment of $130 million to tax reserves during the second quarter as a result of notification of proposed audit adjustments communicated by the tax authority. This tax reserve adjustment is partially offset by another discrete event resulting from the recognition of taxes on dividends to be repatriated from non-U.S. subsidiaries under the American Jobs Creation Act of 2004 (the Jobs Creation Act). The Jobs Creation Act created a one-time deduction for certain qualifying dividends from earnings of non-U.S. subsidiaries that are repatriated during a one-year qualifying period. This special deduction will have the effect of substantially reducing the U.S. tax applicable to non-U.S. subsidiary earnings that are repatriated and eligible for this benefit. The Company has determined that it would repatriate approximately $1.3 billion of non-U.S. subsidiary earnings as dividends that will qualify under the Jobs Creation Act and recognized a related tax expense of $52 million in the second quarter of 2005.</w:t>
      </w:r>
    </w:p>
    <w:p>
      <w:pPr>
        <w:spacing w:after="0" w:line="28" w:lineRule="exact"/>
        <w:rPr>
          <w:rFonts w:ascii="Arial" w:cs="Arial" w:eastAsia="Arial" w:hAnsi="Arial"/>
          <w:sz w:val="16"/>
          <w:szCs w:val="16"/>
          <w:color w:val="auto"/>
        </w:rPr>
      </w:pPr>
    </w:p>
    <w:p>
      <w:pPr>
        <w:jc w:val="both"/>
        <w:ind w:left="460" w:right="260"/>
        <w:spacing w:after="0" w:line="259" w:lineRule="auto"/>
        <w:rPr>
          <w:rFonts w:ascii="Arial" w:cs="Arial" w:eastAsia="Arial" w:hAnsi="Arial"/>
          <w:sz w:val="16"/>
          <w:szCs w:val="16"/>
          <w:color w:val="auto"/>
        </w:rPr>
      </w:pPr>
      <w:r>
        <w:rPr>
          <w:rFonts w:ascii="Arial" w:cs="Arial" w:eastAsia="Arial" w:hAnsi="Arial"/>
          <w:sz w:val="18"/>
          <w:szCs w:val="18"/>
          <w:color w:val="auto"/>
        </w:rPr>
        <w:t>As of September 30, 2005, excluding the impact of these discrete tax items, the estimated annual effective tax rate for 2005 is approximately 25 percent. This rate differs from the 35 percent statutory corporate tax rate due primarily to the expected utilization of various tax benefits, such as for export sales and research activities, and the effect of non-U.S. taxes.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left="452" w:hanging="452"/>
        <w:spacing w:after="0" w:line="289"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Contingencies</w:t>
      </w:r>
      <w:r>
        <w:rPr>
          <w:rFonts w:ascii="Arial" w:cs="Arial" w:eastAsia="Arial" w:hAnsi="Arial"/>
          <w:sz w:val="16"/>
          <w:szCs w:val="16"/>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September 30, 2005, the auditors have issued audit reports on 12 of the 13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As of September 30, 2005, the Ministry has published final decrees on 11 of the projects representing approximately $145 million of grants. TI does not expect the outcome to have a material adverse impact on the Company’s financial condition, results of operations or liquidity.</w:t>
      </w:r>
    </w:p>
    <w:p>
      <w:pPr>
        <w:spacing w:after="0" w:line="23" w:lineRule="exact"/>
        <w:rPr>
          <w:rFonts w:ascii="Arial" w:cs="Arial" w:eastAsia="Arial" w:hAnsi="Arial"/>
          <w:sz w:val="16"/>
          <w:szCs w:val="16"/>
          <w:color w:val="auto"/>
        </w:rPr>
      </w:pPr>
    </w:p>
    <w:p>
      <w:pPr>
        <w:ind w:left="452" w:right="40"/>
        <w:spacing w:after="0" w:line="325" w:lineRule="auto"/>
        <w:rPr>
          <w:rFonts w:ascii="Arial" w:cs="Arial" w:eastAsia="Arial" w:hAnsi="Arial"/>
          <w:sz w:val="16"/>
          <w:szCs w:val="16"/>
          <w:color w:val="auto"/>
        </w:rPr>
      </w:pPr>
      <w:r>
        <w:rPr>
          <w:rFonts w:ascii="Arial" w:cs="Arial" w:eastAsia="Arial" w:hAnsi="Arial"/>
          <w:sz w:val="16"/>
          <w:szCs w:val="16"/>
          <w:color w:val="auto"/>
        </w:rPr>
        <w:t>The Company has investments in certain venture capital funds. As of September 30, 2005, TI has committed to provide an additional $47 million of capital to those funds. As appropriate investments are entered into, the venture capital general partners may draw upon those committed funds from TI.</w:t>
      </w:r>
    </w:p>
    <w:p>
      <w:pPr>
        <w:spacing w:after="0" w:line="1" w:lineRule="exact"/>
        <w:rPr>
          <w:rFonts w:ascii="Arial" w:cs="Arial" w:eastAsia="Arial" w:hAnsi="Arial"/>
          <w:sz w:val="16"/>
          <w:szCs w:val="16"/>
          <w:color w:val="auto"/>
        </w:rPr>
      </w:pPr>
    </w:p>
    <w:p>
      <w:pPr>
        <w:ind w:left="452" w:right="100"/>
        <w:spacing w:after="0" w:line="259" w:lineRule="auto"/>
        <w:rPr>
          <w:rFonts w:ascii="Arial" w:cs="Arial" w:eastAsia="Arial" w:hAnsi="Arial"/>
          <w:sz w:val="16"/>
          <w:szCs w:val="16"/>
          <w:color w:val="auto"/>
        </w:rPr>
      </w:pPr>
      <w:r>
        <w:rPr>
          <w:rFonts w:ascii="Arial" w:cs="Arial" w:eastAsia="Arial" w:hAnsi="Arial"/>
          <w:sz w:val="18"/>
          <w:szCs w:val="18"/>
          <w:color w:val="auto"/>
        </w:rPr>
        <w:t>The Company routinely sells products with a limited intellectual property indemnification included in the terms of sale. Historically, the Company has had only minimal and infrequent losses associated with these indemnities. Consequently, any future liabilities brought about by the intellectual property indemnities cannot reasonably be estimated or accrued for.</w:t>
      </w:r>
    </w:p>
    <w:p>
      <w:pPr>
        <w:spacing w:after="0" w:line="45" w:lineRule="exact"/>
        <w:rPr>
          <w:rFonts w:ascii="Arial" w:cs="Arial" w:eastAsia="Arial" w:hAnsi="Arial"/>
          <w:sz w:val="16"/>
          <w:szCs w:val="16"/>
          <w:color w:val="auto"/>
        </w:rPr>
      </w:pPr>
    </w:p>
    <w:p>
      <w:pPr>
        <w:ind w:left="452"/>
        <w:spacing w:after="0" w:line="254" w:lineRule="auto"/>
        <w:rPr>
          <w:rFonts w:ascii="Arial" w:cs="Arial" w:eastAsia="Arial" w:hAnsi="Arial"/>
          <w:sz w:val="16"/>
          <w:szCs w:val="16"/>
          <w:color w:val="auto"/>
        </w:rPr>
      </w:pPr>
      <w:r>
        <w:rPr>
          <w:rFonts w:ascii="Arial" w:cs="Arial" w:eastAsia="Arial" w:hAnsi="Arial"/>
          <w:sz w:val="18"/>
          <w:szCs w:val="18"/>
          <w:color w:val="auto"/>
        </w:rPr>
        <w:t>The Company accrues for known product-related claims if a loss is probable and can be reasonably estimated. During the periods presented, there have been no material accruals or payments regarding product warranty or product liability, and historically the Company has experienced a low rate of payments on product claims. Consistent with general industry practice, the Company enters formal contracts with certain customers in which the parties define warranty remedies. Typically, the Company’s warranty for semiconductor products covers three years, an obligation to repair, replace or refund, and a maximum payment obligation tied to the price paid for the Company’s products. In some cases, product claims may be disproportionate to the price of the Company’s products.</w:t>
      </w:r>
    </w:p>
    <w:p>
      <w:pPr>
        <w:spacing w:after="0" w:line="49" w:lineRule="exact"/>
        <w:rPr>
          <w:rFonts w:ascii="Arial" w:cs="Arial" w:eastAsia="Arial" w:hAnsi="Arial"/>
          <w:sz w:val="16"/>
          <w:szCs w:val="16"/>
          <w:color w:val="auto"/>
        </w:rPr>
      </w:pPr>
    </w:p>
    <w:p>
      <w:pPr>
        <w:ind w:left="452" w:right="140"/>
        <w:spacing w:after="0" w:line="370" w:lineRule="auto"/>
        <w:rPr>
          <w:rFonts w:ascii="Arial" w:cs="Arial" w:eastAsia="Arial" w:hAnsi="Arial"/>
          <w:sz w:val="16"/>
          <w:szCs w:val="16"/>
          <w:color w:val="auto"/>
        </w:rPr>
      </w:pPr>
      <w:r>
        <w:rPr>
          <w:rFonts w:ascii="Arial" w:cs="Arial" w:eastAsia="Arial" w:hAnsi="Arial"/>
          <w:sz w:val="15"/>
          <w:szCs w:val="15"/>
          <w:color w:val="auto"/>
        </w:rPr>
        <w:t>The Company is subject to various legal and administrative proceedings. Although it is not possible to predict the outcome of these matters, the Company believes that the results of these proceedings will not have a material adverse effect upon its financial condition, results of operations or liquidity.</w:t>
      </w:r>
    </w:p>
    <w:p>
      <w:pPr>
        <w:spacing w:after="0" w:line="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80"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left="20" w:right="200" w:hanging="4"/>
        <w:spacing w:after="0" w:line="375" w:lineRule="auto"/>
        <w:rPr>
          <w:sz w:val="20"/>
          <w:szCs w:val="20"/>
          <w:color w:val="auto"/>
        </w:rPr>
      </w:pPr>
      <w:r>
        <w:rPr>
          <w:rFonts w:ascii="Arial" w:cs="Arial" w:eastAsia="Arial" w:hAnsi="Arial"/>
          <w:sz w:val="18"/>
          <w:szCs w:val="18"/>
          <w:color w:val="auto"/>
        </w:rPr>
        <w:t xml:space="preserve">The following should be read in conjunction with the condensed consolidated financial statements and the related notes that appear elsewhere in this document. </w:t>
      </w:r>
      <w:r>
        <w:rPr>
          <w:rFonts w:ascii="Arial" w:cs="Arial" w:eastAsia="Arial" w:hAnsi="Arial"/>
          <w:sz w:val="18"/>
          <w:szCs w:val="18"/>
          <w:u w:val="single" w:color="auto"/>
          <w:color w:val="auto"/>
        </w:rPr>
        <w:t>Overview</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Texas Instruments makes, markets and sells high-technology components; more than 30,000 customers all over the world buy our products. We have three separate business segments: 1) Semiconductor; 2) Sensors &amp; Controls; and 3) Educational &amp; Productivity Solutions. Semiconductor is by far the largest of these business segments. It accounted for over 85 percent of our revenue in 2004, and historically it averages a higher growth rate than the other two business segments, although the semiconductor market is characterized by wide swings in growth rates from year to year. We were the world’s third-largest semiconductor company in 2004 in terms of revenue, according to Gartner, Inc., an industry analyst.</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one of the world’s largest suppliers of analog semiconductors.</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analog signals that have been converted into digital form. Their power efficiency is important for battery-powered devices.</w:t>
      </w:r>
    </w:p>
    <w:p>
      <w:pPr>
        <w:spacing w:after="0" w:line="7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Our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We are the world’s largest supplier of DSPs.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analog semiconductors and DSPs, Digital Light Processing™ (DLP</w:t>
      </w:r>
      <w:r>
        <w:rPr>
          <w:rFonts w:ascii="Arial" w:cs="Arial" w:eastAsia="Arial" w:hAnsi="Arial"/>
          <w:sz w:val="20"/>
          <w:szCs w:val="20"/>
          <w:color w:val="auto"/>
          <w:vertAlign w:val="superscript"/>
        </w:rPr>
        <w:t>®</w:t>
      </w:r>
      <w:r>
        <w:rPr>
          <w:rFonts w:ascii="Arial" w:cs="Arial" w:eastAsia="Arial" w:hAnsi="Arial"/>
          <w:sz w:val="16"/>
          <w:szCs w:val="16"/>
          <w:color w:val="auto"/>
        </w:rPr>
        <w:t>) products have become strong contributors to our Semiconductor segment.</w:t>
      </w:r>
    </w:p>
    <w:p>
      <w:pPr>
        <w:spacing w:after="0"/>
        <w:rPr>
          <w:sz w:val="20"/>
          <w:szCs w:val="20"/>
          <w:color w:val="auto"/>
        </w:rPr>
      </w:pPr>
      <w:r>
        <w:rPr>
          <w:rFonts w:ascii="Arial" w:cs="Arial" w:eastAsia="Arial" w:hAnsi="Arial"/>
          <w:sz w:val="16"/>
          <w:szCs w:val="16"/>
          <w:color w:val="auto"/>
        </w:rPr>
        <w:t>DLP products use optical semiconductors to digitally manipulate light. In 2004, DLP products accounted for more than 5 percent of our revenue.</w:t>
      </w:r>
    </w:p>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own and operate semiconductor manufacturing sites in the Americas, Japan, Europe and Asia. During 2004, we broke ground on a new semiconductor manufacturing complex in Texas. We plan to construct the building and infrastructure ahead of market demand, followed by stages of equipment installation as demand increases. When completed, the new facility will build some of the world’s most advanced semiconductor devices on 300-millimeter wafers.</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facilities require substantial investment to construct and are largely fixed-cost assets once in operation. Because we own most of our manufacturing capacity, a significant portion of our operating costs are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3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the amount of capital expenditures and subsequent depreciation required to meet customer demands, as well as fluctuations in profit margins. Outside foundries provided about 20 percent of our total capacity needs in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semiconductor market is characterized by constant and typically incremental innovation in product design and manufacturing technologies. We make significant investments in research and development (R&amp;D). Products resulting from our R&amp;D investments in the current period did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9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our Sensors &amp; Controls segment, products include sensors, electrical and electronic controls, and radio frequency identification (RFID) systems. Our primary markets are automotive and industrial. Other targeted markets include heating, ventilation, air conditioning, refrigeration and industrial control systems. This business segment represented about 10 percent of our revenue in 2004. Prices of Sensors &amp; Controls products tend to decline over time.</w:t>
      </w:r>
    </w:p>
    <w:p>
      <w:pPr>
        <w:spacing w:after="0" w:line="9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about 5 percent of our revenue in 2004. Prices of E&amp;PS products tend to be stable.</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Profit sharing accruals in 2005 will be lower than in 2004. In 2005, payments under the TI employee profit sharing plan are determined using a different formula than was used in 2004. The 2005 plan provides for profit sharing to be paid based solely upon our operating margin for the full calendar year. Under the new plan, a minimum threshold of 10 percent operating margin must be achieved before any profit sharing is paid. Profit sharing at 10 percent operating margin will be 2 percent of eligible payroll. The maximum amount of profit sharing available under the plan will be 20 percent of eligible payroll, and will only be paid when our operating margin meets or exceeds 35 percent for a full calendar year. We will continue to accrue profit sharing based on how we expect to perform for the year in total. The accrual in a given quarter is based on our expectations at that time as to annual performance. The profit sharing accrual is included in cost of revenue, R&amp;D expense, and selling, general and administrative (SG&amp;A) expense.</w:t>
      </w:r>
    </w:p>
    <w:p>
      <w:pPr>
        <w:spacing w:after="0" w:line="10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This quarter we implemented the Financial Accounting Standards Board’s Statement of Financial Accounting Standard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In the quarter, the total stock-based compensation expense was $82 million, or 2.3% of revenue. The distribution of this expense was $40 million to SG&amp;A expense, $26 million to R&amp;D expense and $16 million to cost of revenue. See the Details of Financial Results discussion below and Note 3 to the Financial Statements for additional information.</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Third Quarter 2005 Results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revenue for the third quarter was a record $3.59 billion, an increase of 11 percent sequentially and 10 percent over the third quarter of last year. Growth was driven by our Semiconductor segment, which was up 13 percent sequentially, and 13 percent from a year ago with particularly strong demand for DSPs and analog chips that are used in a variety of communications and entertainment electronics.</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Earnings per share (EPS) in the third quarter were $0.38. As previously announced, we began expensing stock options in the third quarter, and as a result, EPS included $0.03 of additional expense for stock-based compensation. For comparison purposes, note that stock-based compensation expense was not reflected in any prior quarterly period, except for the impact of restricted stock units (see Note 3 to the Financial Statements). EPS also included $0.01 for higher-than-anticipated taxes in the quarter.</w:t>
      </w:r>
    </w:p>
    <w:p>
      <w:pPr>
        <w:spacing w:after="0" w:line="13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record revenue, we reached new highs for gross margin at 49.3 percent and for operating margin at 22.7 percent. We believe this performance is especially significant as semiconductor inventories declined at TI and distributors.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we continued to gain share in areas with sustainable long-term growth. Wireless revenue grew 16 percent sequentially and 20 percent from a year ago; high-performance analog revenue grew 10 percent sequentially and 16 percent from a year ago; and DLP product revenue grew 41 percent sequentially and was even with a year ago.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continue to hold leadership positions in semiconductors for both the high and low ends of the cell phone market. For semiconductors used in feature-rich third-generation (3G) cell phones that are based on the Universal Mobile Telecommunications System (UMTS) standard, revenue remains on track to exceed $1 billion in 2005. Our 3G revenue in the third quarter more than doubled from a year ago. Additionally, in low-priced cell phones, our solutions are penetrating markets such as China, India, Brazil and Africa, changing the way people communicate.</w:t>
      </w:r>
    </w:p>
    <w:p>
      <w:pPr>
        <w:spacing w:after="0" w:line="9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high-performance analog, our leadership products in data converters, power management and amplifiers continue to attract new customers and yield solid results. In DLP products, we recovered from an inventory correction by our customers in the first half of the year and moved into a strong third quarter.</w:t>
      </w:r>
    </w:p>
    <w:p>
      <w:pPr>
        <w:spacing w:after="0" w:line="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At the end of the third quarter our Semiconductor inventory was below desired levels. Demand tends to be higher in the first two months of the fourth quarter when compared with other quarters. Consequently, we may be limited in our ability to support unforeseen increases in fourth quarter demand.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separate discussion of operating results by segment is contained in the Details of Financial Results section below.</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w w:val="98"/>
              </w:rPr>
              <w:t>For Three Months Ended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 30,</w:t>
            </w:r>
          </w:p>
        </w:tc>
        <w:tc>
          <w:tcPr>
            <w:tcW w:w="50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2005</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9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3239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revenue (COR)</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1819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1718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1761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R&amp;D % of revenue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SG&amp;A % of revenue</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on loans</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9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9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1663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1669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1759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39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40" w:type="dxa"/>
            <w:vAlign w:val="bottom"/>
          </w:tcPr>
          <w:p>
            <w:pPr>
              <w:jc w:val="right"/>
              <w:ind w:right="25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-1337945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-1337945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-1337945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-1337945</wp:posOffset>
            </wp:positionV>
            <wp:extent cx="33845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-1337945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-1337945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-1337945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-1037590</wp:posOffset>
            </wp:positionV>
            <wp:extent cx="34734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-1037590</wp:posOffset>
            </wp:positionV>
            <wp:extent cx="33845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-1037590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-1037590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-1037590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-737870</wp:posOffset>
            </wp:positionV>
            <wp:extent cx="34734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-737870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-737870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-737870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-737870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-737870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-737870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Details of Financial Results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third quarter, our gross profit was a record $1.77 billion, or 49.3 percent of revenue. This included the impact of $16 million, or 0.5 percent of revenue, of stock-based compensation expense in cost of revenue. Gross profit increased $250 million sequentially and $282 million from a year ago due to higher gross profit in our Semiconductor segment.</w:t>
      </w:r>
    </w:p>
    <w:p>
      <w:pPr>
        <w:spacing w:after="0" w:line="12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R&amp;D expense of $527 million, or 14.7 percent of revenue, increased $34 million sequentially and $44 million from a year ago primarily due to stock-based compensation expense, which was $26 million in the quarter. The change from a year ago also included higher product development expenses, primarily for analog and DSP semiconductors that go into cell phones.</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SG&amp;A expense of $429 million, or 12.0 percent of revenue, increased $70 million sequentially and $80 million from a year ago primarily due to higher compensation expense as well as higher marketing expense. Stock-based compensation expense in SG&amp;A was $40 million in the third quarter.</w:t>
      </w:r>
    </w:p>
    <w:p>
      <w:pPr>
        <w:spacing w:after="0" w:line="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Operating profit of $815 million and operating margin of 22.7 percent of revenue were record highs. Operating profit increased $146 million sequentially and $158 million from a year ago due to higher gross profit. Operating profit reflected the impact of $82 million, or 2.3 percent of revenue, of stock-based compensation expense, which was included in corporate activities.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Income (Expense) – Net (OI&amp;E) of $49 million decreased $7 million sequentially and $13 million from a year ago primarily due to favorable items included in the previous periods. OI&amp;E in the second quarter included a tax interest benefit, and the year-ago quarter included a significant favorable settlement with the Italian government regarding TI’s former memory-chip operations.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September 30, 2005, the estimated annual effective tax rate was approximately 25 percent, compared with the prior estimate of 24 percent. The increase in the estimated annual effective rate primarily reflects an increase in projected income before income taxes for the full year of 2005 and our finalization in the third quarter of tax returns for 2004. Compared with the estimated annual effective tax rate of 26 percent in the year-ago quarter, the decline in the rate was primarily due to the expected utilization of various tax benefits, such as for export sales and research activities, and, to a lesser extent, the effect of non-U.S. taxes partially offset by an increase in projected income before income taxes for the full year of 2005 versus 2004. Including year-to-date catch-up adjustments, the overall tax rate for the third quarter is 27 percent. This compares to the overall tax rate from the previous quarter of 13 percent, which included the effect of discrete tax items recognized in the second quarter (see Note 7 to the Financial Statements).</w:t>
      </w:r>
    </w:p>
    <w:p>
      <w:pPr>
        <w:spacing w:after="0" w:line="10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estimated annual effective tax rate, which excludes the impact of the discrete tax items, differs from the 35 percent statutory corporate tax rate due about equally to the expected utilization of various tax benefits, such as for export sales and research activities, and the effect of non-U.S.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$631 million. Earnings per share of $0.38 were even with the second quarter and increased $0.06 compared with a year ago.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TI orders of $3.74 billion increased $351 million sequentially and $721 million from a year ago due to higher demand for Semiconductor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Semiconductor revenue of $3.13 billion increased $370 million sequentially, or 13 percent, due to higher shipments resulting from strong growth in demand for our DSP, analog and DLP products. Compared with a year ago, revenue increased 13 percent due to increased shipments resulting from higher demand for DSP and analog products.</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Gross profit was $1.60 billion, or 50.9 percent of revenue. Gross profit increased $280 million sequentially primarily due to higher revenue and, to a lesser extent, about equally to higher utilization of manufacturing assets and manufacturing cost reductions. Gross profit increased $308 million from a year ago, primarily due to higher revenue and, to a lesser extent, in declining order, manufacturing cost reductions and higher utilization of manufacturing assets.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was $835 million, or 26.6 percent of revenue, up $241 million sequentially and $253 million from a year ago due to higher gross profit.</w:t>
      </w:r>
    </w:p>
    <w:p>
      <w:pPr>
        <w:spacing w:after="0" w:line="18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Analog revenue increased 13 percent sequentially reflecting higher shipments from strong demand for high-performance analog products, as well as wireless analog products. Compared with a year ago, analog revenue increased 11 percent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primarily due to increased shipments resulting from strength in demand for high-performance analog products. High-performance analog revenue grew 10 percent sequentially and 16 percent from a year ago.</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DSP revenue increased 16 percent sequentially and 20 percent from a year ago primarily due to increased shipments resulting from higher demand from the wireless market.</w:t>
      </w:r>
    </w:p>
    <w:p>
      <w:pPr>
        <w:spacing w:after="0" w:line="118"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TI’s remaining Semiconductor revenue grew 11 percent sequentially and 4 percent from a year ago. The sequential increase was primarily due to increased DLP product revenue and, to a lesser extent, standard logic and royalty revenue. Microcontroller and RISC microprocessor revenue was about the same as the second quarter. From a year ago, RISC microprocessor, royalty, microcontroller and standard logic revenue increased primarily due to higher shipments resulting from increased demand. DLP product revenue was about the same as a year ago.</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Semiconductor orders of $3.32 billion increased 12 percent sequentially primarily due to strong demand for DSP and analog products used in cell phones, as well as demand for high-performance analog and other DSP products. Compared with a year ago, orders increased 26 percent due to strong demand across a broad base of our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Sensors &amp; Controls revenue was $280 million, down $15 million sequentially primarily due to lower shipments resulting from seasonal demand for controls products and up $4 million from a year ago due to increased shipments from higher demand for automotive sensors products.</w:t>
      </w:r>
    </w:p>
    <w:p>
      <w:pPr>
        <w:spacing w:after="0" w:line="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Gross profit was $93 million, or 33.1 percent of revenue, down $15 million sequentially due to lower revenue and higher manufacturing costs and down $9 million from a year ago primarily due to higher manufacturing costs, including start-up expenses for new products.</w:t>
      </w:r>
    </w:p>
    <w:p>
      <w:pPr>
        <w:spacing w:after="0" w:line="118"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Operating profit was $60 million, or 21.4 percent of revenue, down $12 million sequentially and down $6 million from a year ago due to lower gross profit. </w:t>
      </w:r>
      <w:r>
        <w:rPr>
          <w:rFonts w:ascii="Arial" w:cs="Arial" w:eastAsia="Arial" w:hAnsi="Arial"/>
          <w:sz w:val="18"/>
          <w:szCs w:val="18"/>
          <w:i w:val="1"/>
          <w:iCs w:val="1"/>
          <w:u w:val="single" w:color="auto"/>
          <w:color w:val="auto"/>
        </w:rPr>
        <w:t>Educational &amp; Productivity Solutions (E&amp;PS)</w:t>
      </w:r>
    </w:p>
    <w:p>
      <w:pPr>
        <w:spacing w:after="0" w:line="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E&amp;PS revenue was $177 million, down $4 million sequentially and down $13 million from a year ago due to lower shipments resulting from lower sales of graphing calculators.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$110 million, or 62.1 percent of revenue, about even sequentially and down $4 million from a year ago primarily due to lower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$79 million, or 44.7 percent of revenue, even sequentially and down $4 million from a year ago due to lower gross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Nine Months of 2005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2005, we report the following: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of $9.80 billion was up $373 million, or 4 percent, from the year-ago period due to higher Semiconductor revenue.</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was $4.63 billion compared with $4.29 billion in the year-ago period. The increase in gross profit was primarily due to Semiconductor. Gross profit margin was 47.2 percent of revenue compared with 45.5 percent in the year-ago period.</w:t>
      </w:r>
    </w:p>
    <w:p>
      <w:pPr>
        <w:spacing w:after="0" w:line="118"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R&amp;D expense of $1.52 billion was up 2 percent compared with the year-ago period, primarily due to higher product development expenses, particularly in wireless. R&amp;D expense as a percent of revenue was 15.5 percent compared with 15.8 percent in the year-ago period.</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SG&amp;A expense of $1.13 billion increased 5 percent from the year-ago period primarily due to, in decreasing order, higher marketing expenses and compensation expense. SG&amp;A expense as a percent of revenue was 11.6 percent compared with 11.4 percent in the year-ago period.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of $1.98 billion, or 20.2 percent of revenue, increased $258 million compared with the year-ago period due to higher gross profit.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second quarter of 2005, we recognized an adjustment of $130 million to tax reserves associated with favorable developments on certain outstanding income tax matters. This tax reserve adjustment was partially offset by an accrual for taxes on dividends from earnings that are to be repatriated from our non-U.S. subsidiaries under the American Jobs Creation Act of 2004. Both of these matters were treated as discretely affecting the second quarter tax provision as opposed to being included in the estimated annual effective tax rate (see Note 7 to the Financial Statements).</w:t>
      </w:r>
    </w:p>
    <w:p>
      <w:pPr>
        <w:spacing w:after="0" w:line="99"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The estimated annual effective tax rate for the first nine months of 2005, which excludes the impact of the discrete tax items, is approximately 25 percent. This compares with 26 percent for the first nine months of 2004. The decrease from the year-ago period was due primarily to the expected utilization of various tax benefits, such as for export sales and research activities, partially offset by an increase in projected income before income taxes for the full year. Including the effect of the discrete tax items recognized in the second quarter, the overall tax rate for the first nine months of 2005 was 22 percent.</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was $1.67 billion, an increase from $1.37 billion in the year-ago period. Earnings per share in the first nine months were $0.99 per share. Earnings per share in the year-ago period were $0.77 per share. The increase from the year-ago period includes $0.05 per share from the effect of a lower average number of shares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Orders of $10.16 billion were up $654 million or 7 percent from the year-ago period due to Semiconductor.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Semiconductor revenue in the first nine months of 2005 was $8.50 billion, up $353 million or 4 percent from the year-ago period primarily due to increased shipments resulting from higher demand for products sold into the wireless market.</w:t>
      </w:r>
    </w:p>
    <w:p>
      <w:pPr>
        <w:spacing w:after="0" w:line="11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Gross profit for the nine months was $4.10 billion, or 48.2 percent of revenue, compared with $3.76 billion and 46.2 percent in the year-ago period. The increase in gross profit, as compared with the year-ago period, was primarily due to manufacturing cost reductions; these more than offset a lower level of utilization than was experienced in the prior-year period. The increased volume that drove higher revenue was offset by normal price reductions.</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Semiconductor operating profit for the nine months was $1.89 billion, or 22.2 percent of revenue, up from $1.57 billion and 19.3 percent in the year-ago period due to higher gross profit.</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Semiconductor orders for the nine months were $8.83 billion, an increase of $638 million, or 8 percent from the year-ago period, primarily due to increased demand for DSP products sold into the wireless market.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Sensors &amp; Controls revenue was $871 million in the first nine months of 2005, up 2 percent from $850 million in the year-ago period due to increased shipments resulting from higher demand for automotive sensors.</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Gross profit for the nine months was $307 million, or 35.2 percent of revenue, compared with $324 million and 38.2 percent in the year-ago period. The decrease from the year-ago period was due to price reductions, which were partially offset by an increase in shipments and manufacturing cost reductions.</w:t>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profit was $201 million, or 23.1 percent of revenue, down from $218 million and 25.7 percent in the nine months of 2004. Operating profit decreased primarily due to lower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$440 million for the first nine months of 2005, about even with the year-ago period.</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Gross profit for the nine months was $265 million, or 60.3 percent of revenue, up from $250 million and 57.1 percent in the year-ago period due to manufacturing cost reductions.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Operating profit for the nine months was $178 million, or 40.5 percent of revenue, up from $160 million and 36.5 percent in the year-ago period, primarily due to higher gross profit.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the end of the third quarter, total cash (cash and cash equivalents plus short-term investments) was $5.25 billion, down $1.11 billion from the end of 2004, primarily as a result of the stock repurchase program (see Liquidity and Capital Resources discussion below).</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Accounts receivable increased $219 million from the end of 2004, reflecting higher revenue. Days sales outstanding were 48 at the end of the third quarter, unchanged from the end of 2004.</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Inventories of $1.16 billion at the end of the third quarter decreased $44 million sequentially and decreased $98 million from year-end 2004 due to stronger than anticipated shipments in the third quarter of 2005. Days of inventory at the end of the third quarter were 57 compared with 62 at the end of 2004.</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Capital expenditures were $984 million for the first nine months of 2005, compared with $1.09 billion for the same period a year ago. Our capital expenditures in the nine months were primarily for, in declining order, advanced wafer-fabrication equipment, semiconductor assembly-and-test equipment and construction of our new 300-millimeter manufacturing facility in Texas.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$1.03 billion for the nine months of 2005, down $58 million from a year ago.</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the nine months ended September 30, 2005, cash flow from operations of $2.86 billion increased $1.02 billion from the same period a year ago primarily due to, in decreasing order, lower inventories during the current period compared with an increase in inventories during the prior period when we built inventory to support our target for lead times; increased net income; and reduced growth in accounts receivable versus the prior period as a result of improved collection times.</w:t>
      </w:r>
    </w:p>
    <w:p>
      <w:pPr>
        <w:spacing w:after="0" w:line="7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Net cash used in investing activities for the first nine months of 2005 of $547 million was $632 million less than was used in the same period a year ago. Cash expenditures for property, plant and equipment were $984 million for the first nine months of 2005 compared with $1.09 billion for the first nine months of 2004. Net cash flows from purchases, sales and maturities of cash investments provided $382 million in the nine months of 2005 compared with a net cash usage of $107 million for the same period last year. This increase in net cash from investments was used to support our stock repurchase program.</w:t>
      </w:r>
    </w:p>
    <w:p>
      <w:pPr>
        <w:spacing w:after="0" w:line="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first nine months of 2005, net cash used in financing activities increased to $3.04 billion from $811 million in the year ago period. We used $3.28 billion of cash to repurchase approximately 125 million shares of our common stock in the nine months of 2005 compared with $383 million used to repurchase approximately 15 million shares of our stock in the same period a year ago. Also, we paid $125 million in common stock dividends in the nine months of 2005 compared to $110 million for the same period a year ago, reflecting an increased dividend rate that was effective beginning in the fourth quarter of 2004. In the first nine months of 2004 we also repaid $428 million of long-term debt, primarily the redemption at maturity of TI’s $400 million 7 percent notes. This compares with $10 million in scheduled payments made for the same period of 2005. Cash proceeds received from the exercise of stock options and the employee stock purchase plan during the nine months of 2005 were $333 million compared with $116 million in the same period last year.</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we also announced that our Board of Directors authorized us to repurchase an additional $2 billion of our common stock using existing cash holdings and also increased our quarterly cash dividend (to $0.03 per share from $0.025 per share) to increase stockholder return. Our Board of Directors declared a dividend at the new quarterly rate on October 20, 2005.</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the planned repatriation of approximately $1.3 billion of non-U.S. subsidiary earnings in the form of cash dividends by the end of the fourth quarter of 2005, it may be necessary for our non-U.S. subsidiaries to borrow funds from financial institutions in the event their available cash is less than the amount of earnings to be repatriated. The borrowings are not yet finalized but are not expected to exceed $500 million.</w:t>
      </w:r>
    </w:p>
    <w:p>
      <w:pPr>
        <w:spacing w:after="0" w:line="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2005, we continue to expect R&amp;D expense to be about $2.1 billion, capital expenditures to be about $1.3 billion and depreciation to be about $1.4 billion. The estimated annual effective tax rate for 2005 is about 25 percent.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preparing our consolidated interim financial statements in conformity with accounting principles generally accepted in the U.S., we use statistical analyses, estimates and projections that affect the reported amounts and related disclosures and may vary from actual results. If actual results differ significantly from our estimates and projections, there could be an effect on our financial statements. In the third quarter of 2005, we adopted the fair value recognition provisions of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We consider our accounting policies relating to SFAS No. 123(R) as important to the portrayal of our financial condition, and requiring subjective judgment. Other critical accounting policies are discussed more fully in the Annual Report on Form 10-K for the year ended December 31, 2004.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implementation of SFAS No. 123(R) effective July 1, 2005, stock-based compensation changes our financial statements as detailed in Note 3 to the financial statements. Determining the amount and distribution of expense for stock-based compensation, as well as the associated impact to the balance sheets and statements of cash flows, requires us to develop estimates of the fair value of stock-based compensation expenses. The most significant factors of that expense that require estimates or projections include the expected volatility, expected lives and estimated forfeiture rates of employee stock options.</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grants made prior to July 1, 2005, an analysis of historical volatility was used to develop the estimate of expected volatility. Effective July 1, 2005, we changed our method of determining expected volatility on all new options granted after that date to rely solely on available implied volatility rates. After giving consideration to recently available regulatory guidance, we believe that market-based measures of implied volatility are currently the best available indicators of expected volatility. The effect of this change is not expected to be material in 2005.</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expected lives of options are determined based on our historical share option exercise experience, using a rolling 10-year average. We believe the historical experience method is the best estimate of future exercise patterns currently available.</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Estimated forfeiture rates are derived from historical forfeiture patterns. We believe the historical experience method is the best estimate of forfeitures currently available.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Restructuring Actions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Sensors &amp; Controls Restructuring Action: </w:t>
      </w:r>
      <w:r>
        <w:rPr>
          <w:rFonts w:ascii="Arial" w:cs="Arial" w:eastAsia="Arial" w:hAnsi="Arial"/>
          <w:sz w:val="16"/>
          <w:szCs w:val="16"/>
          <w:color w:val="auto"/>
        </w:rPr>
        <w:t>In the second quarter of 2003, we announced a plan to move certain production lines from Attleboro, Massachusetts,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TI sites in order to be geographically closer to customers and their markets and to reduce manufacturing costs. This restructuring action is expected to affect about 930 jobs through voluntary retirement and involuntary termination programs primarily in manufacturing operations at the Attleboro headquarters of the Sensors &amp; Controls business. The total cost of this restructuring action is expected to be about $71 million, primarily for severance and benefit costs. When completed at the end of 2006, the projected savings from this restructuring action are estimated to be an annualized $40 million, predominantly comprised of payroll and benefit savings. As of September 30, 2005, a total of 785 employees have been terminated and total net pretax charges of $63 million have been recorded associated with this action. Charges are expected to be completed in 2006.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5 to the Financial Statements.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Information concerning market risk is contained on pages 56 and 57 of Exhibit 13 to Registrant’s Form 10-K for the year ended December 31, 2004, and is incorporated herein by reference to such exhibit.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the Registrant in the reports that it files or submits under the Securities Exchange Act of 1934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period covered by this report that has materially affected, or is reasonably likely to materially affect, the Registrant’s internal control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4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regarding the Registrant’s repurchase of its common stock during the quarter.</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Plans or</w:t>
            </w:r>
          </w:p>
        </w:tc>
        <w:tc>
          <w:tcPr>
            <w:tcW w:w="0" w:type="dxa"/>
            <w:vAlign w:val="bottom"/>
          </w:tcPr>
          <w:p>
            <w:pPr>
              <w:spacing w:after="0"/>
              <w:rPr>
                <w:sz w:val="1"/>
                <w:szCs w:val="1"/>
                <w:color w:val="auto"/>
              </w:rPr>
            </w:pPr>
          </w:p>
        </w:tc>
      </w:t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3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Programs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through July 31, 2005</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2,227,525,391.38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August 1 through August 31, 2005</w:t>
            </w:r>
          </w:p>
        </w:tc>
        <w:tc>
          <w:tcPr>
            <w:tcW w:w="940" w:type="dxa"/>
            <w:vAlign w:val="bottom"/>
          </w:tcPr>
          <w:p>
            <w:pPr>
              <w:jc w:val="right"/>
              <w:spacing w:after="0"/>
              <w:rPr>
                <w:sz w:val="20"/>
                <w:szCs w:val="20"/>
                <w:color w:val="auto"/>
              </w:rPr>
            </w:pPr>
            <w:r>
              <w:rPr>
                <w:rFonts w:ascii="Arial" w:cs="Arial" w:eastAsia="Arial" w:hAnsi="Arial"/>
                <w:sz w:val="18"/>
                <w:szCs w:val="18"/>
                <w:color w:val="auto"/>
              </w:rPr>
              <w:t>9,752,400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9,752,400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w w:val="97"/>
              </w:rPr>
              <w:t>1,914,932,769.00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through September 30, 2005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6,426,000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1,701,273,947.55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5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16,178,400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16,178,400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1,701,273,947.55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5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right="100" w:hanging="452"/>
        <w:spacing w:after="0" w:line="28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purchases during the quarter were made under one of the following two authorizations from our Board of Directors: (a) authorization to purchase up to $2 billion of additional shares of TI common stock (announced by the Company on January 25, 2005, the “January 2005 Authorization”) and</w:t>
      </w:r>
    </w:p>
    <w:p>
      <w:pPr>
        <w:ind w:left="460" w:right="540"/>
        <w:spacing w:after="0" w:line="261" w:lineRule="auto"/>
        <w:rPr>
          <w:rFonts w:ascii="Arial" w:cs="Arial" w:eastAsia="Arial" w:hAnsi="Arial"/>
          <w:sz w:val="16"/>
          <w:szCs w:val="16"/>
          <w:color w:val="auto"/>
        </w:rPr>
      </w:pPr>
      <w:r>
        <w:rPr>
          <w:rFonts w:ascii="Arial" w:cs="Arial" w:eastAsia="Arial" w:hAnsi="Arial"/>
          <w:sz w:val="18"/>
          <w:szCs w:val="18"/>
          <w:color w:val="auto"/>
        </w:rPr>
        <w:t>(b) authorization to purchase up to $2 billion of additional shares of TI common stock (announced by the Company on July 21, 2005, the “July 2005 Authorization”). No expiration date has been specified for either of these authorizations.</w:t>
      </w:r>
    </w:p>
    <w:p>
      <w:pPr>
        <w:spacing w:after="0" w:line="4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All purchases were made through open-market purchases. They include 918,000 shares for which trades were settled in the first three business days of October 2005 for $31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880" w:type="dxa"/>
            <w:vAlign w:val="bottom"/>
          </w:tcPr>
          <w:p>
            <w:pPr>
              <w:jc w:val="right"/>
              <w:ind w:right="141"/>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Designation</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Exhibits</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0" w:type="dxa"/>
            <w:vAlign w:val="bottom"/>
          </w:tcPr>
          <w:p>
            <w:pPr>
              <w:spacing w:after="0"/>
              <w:rPr>
                <w:sz w:val="12"/>
                <w:szCs w:val="12"/>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This</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0" w:type="dxa"/>
            <w:vAlign w:val="bottom"/>
          </w:tcPr>
          <w:p>
            <w:pPr>
              <w:spacing w:after="0"/>
              <w:rPr>
                <w:sz w:val="12"/>
                <w:szCs w:val="12"/>
                <w:color w:val="auto"/>
              </w:rPr>
            </w:pPr>
          </w:p>
        </w:tc>
      </w:t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Report</w:t>
            </w:r>
          </w:p>
        </w:tc>
        <w:tc>
          <w:tcPr>
            <w:tcW w:w="108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8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r>
      <w:tr>
        <w:trPr>
          <w:trHeight w:val="316"/>
        </w:trPr>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0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r>
      <w:tr>
        <w:trPr>
          <w:trHeight w:val="324"/>
        </w:trPr>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0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r>
      <w:tr>
        <w:trPr>
          <w:trHeight w:val="324"/>
        </w:trPr>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0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8"/>
              </w:rPr>
              <w:t>Certification by Chief Executive Officer of Periodic Report Pursuant to 18 U.S.C. Section 1350.</w:t>
            </w:r>
          </w:p>
        </w:tc>
      </w:tr>
      <w:tr>
        <w:trPr>
          <w:trHeight w:val="324"/>
        </w:trPr>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10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9"/>
              </w:rPr>
              <w:t>Certification by Chief Financial Officer of Periodic Report Pursuant to 18 U.S.C. Section 1350.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8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780" w:right="6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w:t>
      </w:r>
    </w:p>
    <w:p>
      <w:pPr>
        <w:spacing w:after="0" w:line="37"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5" w:name="page26"/>
    <w:bookmarkEnd w:id="2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more detailed discussion of these factors, see the text under the heading “Cautionary Statements Regarding Future Results of Operations” in Item 1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P. March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2005</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280"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2005</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2005</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the President and Chief Executive Officer of Texas Instruments Incorporated (the “Company”), hereby certifies that, to his knowledge:</w:t>
      </w:r>
    </w:p>
    <w:p>
      <w:pPr>
        <w:spacing w:after="0" w:line="1" w:lineRule="exact"/>
        <w:rPr>
          <w:sz w:val="20"/>
          <w:szCs w:val="20"/>
          <w:color w:val="auto"/>
        </w:rPr>
      </w:pPr>
    </w:p>
    <w:p>
      <w:pPr>
        <w:ind w:left="460" w:right="180" w:firstLine="4"/>
        <w:spacing w:after="0" w:line="325" w:lineRule="auto"/>
        <w:tabs>
          <w:tab w:leader="none" w:pos="6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2005</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Richard K. Templeton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right="180" w:firstLine="4"/>
        <w:spacing w:after="0" w:line="325" w:lineRule="auto"/>
        <w:tabs>
          <w:tab w:leader="none" w:pos="6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3, 2005</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P. March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2019-12-12T10:31:27Z</dcterms:created>
  <dcterms:modified xsi:type="dcterms:W3CDTF">2019-12-12T10:31:27Z</dcterms:modified>
</cp:coreProperties>
</file>