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July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875665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July 24, 2018, regarding its second-quarter results of operations and financial condition is attached hereto as Exhibit 99.</w:t>
      </w:r>
    </w:p>
    <w:p>
      <w:pPr>
        <w:spacing w:after="0" w:line="24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260"/>
          </w:cols>
          <w:pgMar w:left="240" w:top="557" w:right="399" w:bottom="1440" w:gutter="0" w:footer="0" w:header="0"/>
        </w:sectPr>
      </w:pPr>
    </w:p>
    <w:p>
      <w:pPr>
        <w:spacing w:after="0" w:line="221" w:lineRule="exact"/>
        <w:rPr>
          <w:sz w:val="20"/>
          <w:szCs w:val="20"/>
          <w:color w:val="auto"/>
        </w:rPr>
      </w:pPr>
    </w:p>
    <w:p>
      <w:pPr>
        <w:jc w:val="center"/>
        <w:ind w:left="240"/>
        <w:spacing w:after="0" w:line="425" w:lineRule="auto"/>
        <w:rPr>
          <w:sz w:val="20"/>
          <w:szCs w:val="20"/>
          <w:color w:val="auto"/>
        </w:rPr>
      </w:pPr>
      <w:r>
        <w:rPr>
          <w:rFonts w:ascii="Arial" w:cs="Arial" w:eastAsia="Arial" w:hAnsi="Arial"/>
          <w:sz w:val="12"/>
          <w:szCs w:val="12"/>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920" w:space="360"/>
            <w:col w:w="9980"/>
          </w:cols>
          <w:pgMar w:left="240" w:top="557" w:right="399" w:bottom="1440" w:gutter="0" w:footer="0" w:header="0"/>
          <w:type w:val="continuous"/>
        </w:sectPr>
      </w:pPr>
    </w:p>
    <w:p>
      <w:pPr>
        <w:ind w:left="1280" w:hanging="788"/>
        <w:spacing w:after="0"/>
        <w:tabs>
          <w:tab w:leader="none" w:pos="128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Registrant’s News Release</w:t>
        </w:r>
      </w:hyperlink>
    </w:p>
    <w:p>
      <w:pPr>
        <w:spacing w:after="0" w:line="23" w:lineRule="exact"/>
        <w:rPr>
          <w:rFonts w:ascii="Arial" w:cs="Arial" w:eastAsia="Arial" w:hAnsi="Arial"/>
          <w:sz w:val="18"/>
          <w:szCs w:val="18"/>
          <w:u w:val="single" w:color="auto"/>
          <w:color w:val="0000EE"/>
        </w:rPr>
      </w:pPr>
    </w:p>
    <w:p>
      <w:pPr>
        <w:ind w:left="1280"/>
        <w:spacing w:after="0"/>
        <w:rPr>
          <w:rFonts w:ascii="Arial" w:cs="Arial" w:eastAsia="Arial" w:hAnsi="Arial"/>
          <w:sz w:val="18"/>
          <w:szCs w:val="18"/>
          <w:u w:val="single" w:color="auto"/>
          <w:color w:val="0000EE"/>
        </w:rPr>
      </w:pPr>
      <w:r>
        <w:rPr>
          <w:rFonts w:ascii="Arial" w:cs="Arial" w:eastAsia="Arial" w:hAnsi="Arial"/>
          <w:sz w:val="16"/>
          <w:szCs w:val="16"/>
          <w:color w:val="auto"/>
        </w:rPr>
        <w:t>Dated July 24, 2018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57" w:right="39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7500" w:type="dxa"/>
            <w:vAlign w:val="bottom"/>
            <w:gridSpan w:val="2"/>
          </w:tcPr>
          <w:p>
            <w:pPr>
              <w:ind w:left="248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Date: July 24, 2018</w:t>
            </w:r>
          </w:p>
        </w:tc>
        <w:tc>
          <w:tcPr>
            <w:tcW w:w="7500" w:type="dxa"/>
            <w:vAlign w:val="bottom"/>
            <w:gridSpan w:val="2"/>
          </w:tcPr>
          <w:p>
            <w:pPr>
              <w:ind w:left="2480"/>
              <w:spacing w:after="0"/>
              <w:rPr>
                <w:sz w:val="20"/>
                <w:szCs w:val="20"/>
                <w:color w:val="auto"/>
              </w:rPr>
            </w:pPr>
            <w:r>
              <w:rPr>
                <w:rFonts w:ascii="Arial" w:cs="Arial" w:eastAsia="Arial" w:hAnsi="Arial"/>
                <w:sz w:val="18"/>
                <w:szCs w:val="18"/>
                <w:color w:val="auto"/>
              </w:rPr>
              <w:t>By:  /s/ Rafael R. Lizardi</w:t>
            </w:r>
          </w:p>
        </w:tc>
      </w:tr>
      <w:tr>
        <w:trPr>
          <w:trHeight w:val="195"/>
        </w:trPr>
        <w:tc>
          <w:tcPr>
            <w:tcW w:w="39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3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41" w:right="2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 reports 2Q18 financial results and shareholder returns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www.ti.com/ir</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DALLAS (July 24, 2018) – Texas Instruments Incorporated (TI) (NASDAQ: TXN) reported second-quarter revenue of $4.02 billion, net income of $1.41 billion and earnings per share of $1.40. Earnings per share include a 3 cent discrete tax benefit not in the company's original guidance.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29" w:lineRule="exact"/>
        <w:rPr>
          <w:sz w:val="20"/>
          <w:szCs w:val="20"/>
          <w:color w:val="auto"/>
        </w:rPr>
      </w:pPr>
    </w:p>
    <w:p>
      <w:pPr>
        <w:ind w:left="440" w:right="180" w:hanging="432"/>
        <w:spacing w:after="0" w:line="232" w:lineRule="auto"/>
        <w:tabs>
          <w:tab w:leader="none" w:pos="44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“Revenue increased 9 percent from the same quarter a year ago. Demand for our Analog and Embedded Processing products continued to be strong in the industrial and automotive markets.</w:t>
      </w:r>
    </w:p>
    <w:p>
      <w:pPr>
        <w:spacing w:after="0" w:line="95" w:lineRule="exact"/>
        <w:rPr>
          <w:rFonts w:ascii="Arial" w:cs="Arial" w:eastAsia="Arial" w:hAnsi="Arial"/>
          <w:sz w:val="22"/>
          <w:szCs w:val="22"/>
          <w:color w:val="auto"/>
        </w:rPr>
      </w:pPr>
    </w:p>
    <w:p>
      <w:pPr>
        <w:ind w:left="440" w:right="200" w:hanging="432"/>
        <w:spacing w:after="0" w:line="238" w:lineRule="auto"/>
        <w:tabs>
          <w:tab w:leader="none" w:pos="44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cash flow from operations of $6.6 billion for the trailing 12 months again underscored the strength of our business model. Free cash flow for the trailing 12 months was $5.7 billion, or 36.6 percent of revenue. This reflects the quality of our product portfolio, as well as the efficiency of our manufacturing strategy, including the benefit of 300-millimeter Analog production.</w:t>
      </w:r>
    </w:p>
    <w:p>
      <w:pPr>
        <w:spacing w:after="0" w:line="94" w:lineRule="exact"/>
        <w:rPr>
          <w:rFonts w:ascii="Arial" w:cs="Arial" w:eastAsia="Arial" w:hAnsi="Arial"/>
          <w:sz w:val="22"/>
          <w:szCs w:val="22"/>
          <w:color w:val="auto"/>
        </w:rPr>
      </w:pPr>
    </w:p>
    <w:p>
      <w:pPr>
        <w:ind w:left="440" w:right="100" w:hanging="432"/>
        <w:spacing w:after="0" w:line="297" w:lineRule="auto"/>
        <w:tabs>
          <w:tab w:leader="none" w:pos="440" w:val="left"/>
        </w:tabs>
        <w:numPr>
          <w:ilvl w:val="0"/>
          <w:numId w:val="3"/>
        </w:numPr>
        <w:rPr>
          <w:rFonts w:ascii="Arial" w:cs="Arial" w:eastAsia="Arial" w:hAnsi="Arial"/>
          <w:sz w:val="19"/>
          <w:szCs w:val="19"/>
          <w:color w:val="auto"/>
        </w:rPr>
      </w:pPr>
      <w:r>
        <w:rPr>
          <w:rFonts w:ascii="Arial" w:cs="Arial" w:eastAsia="Arial" w:hAnsi="Arial"/>
          <w:sz w:val="16"/>
          <w:szCs w:val="16"/>
          <w:color w:val="auto"/>
        </w:rPr>
        <w:t>“We have returned $5.6 billion to owners in the past 12 months through stock repurchases and dividends, and our strategy to return to owners all of our free cash flow remains consistent. Over the last 12 months, our dividends represented 41 percent of free cash flow, emphasizing their sustainability.</w:t>
      </w:r>
    </w:p>
    <w:p>
      <w:pPr>
        <w:spacing w:after="0" w:line="42" w:lineRule="exact"/>
        <w:rPr>
          <w:rFonts w:ascii="Arial" w:cs="Arial" w:eastAsia="Arial" w:hAnsi="Arial"/>
          <w:sz w:val="19"/>
          <w:szCs w:val="19"/>
          <w:color w:val="auto"/>
        </w:rPr>
      </w:pPr>
    </w:p>
    <w:p>
      <w:pPr>
        <w:ind w:left="440" w:right="20" w:hanging="432"/>
        <w:spacing w:after="0" w:line="26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third-quarter outlook is for revenue in the range of $4.11 billion to $4.45 billion, and earnings per share between $1.41 and $1.63, which includes an estimated $10 million discrete tax benefit. We continue to expect our ongoing annual operating tax rate to be about 20 percent in 2018 and 16 percent starting in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320" w:type="dxa"/>
            <w:vAlign w:val="bottom"/>
            <w:tcBorders>
              <w:bottom w:val="single" w:sz="8" w:color="CFF0FC"/>
            </w:tcBorders>
          </w:tcPr>
          <w:p>
            <w:pPr>
              <w:spacing w:after="0"/>
              <w:rPr>
                <w:sz w:val="20"/>
                <w:szCs w:val="20"/>
                <w:color w:val="auto"/>
              </w:rPr>
            </w:pPr>
          </w:p>
        </w:tc>
        <w:tc>
          <w:tcPr>
            <w:tcW w:w="19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2Q18</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2Q17</w:t>
            </w:r>
          </w:p>
        </w:tc>
        <w:tc>
          <w:tcPr>
            <w:tcW w:w="2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profit</w:t>
            </w:r>
          </w:p>
        </w:tc>
        <w:tc>
          <w:tcPr>
            <w:tcW w:w="21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1,712</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1,480</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1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Earnings per share</w:t>
            </w:r>
          </w:p>
        </w:tc>
        <w:tc>
          <w:tcPr>
            <w:tcW w:w="21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160" w:type="dxa"/>
            <w:vAlign w:val="bottom"/>
          </w:tcPr>
          <w:p>
            <w:pPr>
              <w:spacing w:after="0"/>
              <w:rPr>
                <w:sz w:val="20"/>
                <w:szCs w:val="20"/>
                <w:color w:val="auto"/>
              </w:rPr>
            </w:pPr>
          </w:p>
        </w:tc>
      </w:tr>
      <w:tr>
        <w:trPr>
          <w:trHeight w:val="762"/>
        </w:trPr>
        <w:tc>
          <w:tcPr>
            <w:tcW w:w="11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080" w:type="dxa"/>
            <w:vAlign w:val="bottom"/>
            <w:gridSpan w:val="4"/>
          </w:tcPr>
          <w:p>
            <w:pPr>
              <w:spacing w:after="0"/>
              <w:rPr>
                <w:sz w:val="20"/>
                <w:szCs w:val="20"/>
                <w:color w:val="auto"/>
              </w:rPr>
            </w:pPr>
            <w:r>
              <w:rPr>
                <w:rFonts w:ascii="Arial" w:cs="Arial" w:eastAsia="Arial" w:hAnsi="Arial"/>
                <w:sz w:val="18"/>
                <w:szCs w:val="18"/>
                <w:b w:val="1"/>
                <w:bCs w:val="1"/>
                <w:color w:val="auto"/>
              </w:rPr>
              <w:t>TI reports 2Q18 financial results and shareholder returns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ind w:left="60"/>
              <w:spacing w:after="0"/>
              <w:rPr>
                <w:sz w:val="20"/>
                <w:szCs w:val="20"/>
                <w:color w:val="auto"/>
              </w:rPr>
            </w:pPr>
            <w:r>
              <w:rPr>
                <w:rFonts w:ascii="Arial" w:cs="Arial" w:eastAsia="Arial" w:hAnsi="Arial"/>
                <w:sz w:val="18"/>
                <w:szCs w:val="18"/>
                <w:b w:val="1"/>
                <w:bCs w:val="1"/>
                <w:color w:val="auto"/>
                <w:w w:val="86"/>
              </w:rPr>
              <w:t>Page 2</w:t>
            </w:r>
          </w:p>
        </w:tc>
      </w:tr>
      <w:tr>
        <w:trPr>
          <w:trHeight w:val="500"/>
        </w:trPr>
        <w:tc>
          <w:tcPr>
            <w:tcW w:w="508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5"/>
        </w:trPr>
        <w:tc>
          <w:tcPr>
            <w:tcW w:w="508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Trailing 12 Months</w:t>
            </w: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82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5"/>
              </w:rPr>
              <w:t>2Q18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5"/>
              </w:rPr>
              <w:t>2Q18</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2Q17</w:t>
            </w:r>
          </w:p>
        </w:tc>
        <w:tc>
          <w:tcPr>
            <w:tcW w:w="300" w:type="dxa"/>
            <w:vAlign w:val="bottom"/>
            <w:tcBorders>
              <w:bottom w:val="single" w:sz="8" w:color="CFF0FC"/>
            </w:tcBorders>
            <w:gridSpan w:val="3"/>
          </w:tcPr>
          <w:p>
            <w:pPr>
              <w:spacing w:after="0"/>
              <w:rPr>
                <w:sz w:val="19"/>
                <w:szCs w:val="19"/>
                <w:color w:val="auto"/>
              </w:rPr>
            </w:pPr>
          </w:p>
        </w:tc>
        <w:tc>
          <w:tcPr>
            <w:tcW w:w="10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flow from operations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4,564</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w:t>
            </w:r>
          </w:p>
        </w:tc>
        <w:tc>
          <w:tcPr>
            <w:tcW w:w="140" w:type="dxa"/>
            <w:vAlign w:val="bottom"/>
          </w:tcPr>
          <w:p>
            <w:pPr>
              <w:spacing w:after="0"/>
              <w:rPr>
                <w:sz w:val="19"/>
                <w:szCs w:val="19"/>
                <w:color w:val="auto"/>
              </w:rPr>
            </w:pP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14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4,037</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Free cash flow % of revenue</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99"/>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Cash return</w:t>
            </w:r>
          </w:p>
        </w:tc>
        <w:tc>
          <w:tcPr>
            <w:tcW w:w="41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5"/>
        </w:trPr>
        <w:tc>
          <w:tcPr>
            <w:tcW w:w="508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w w:val="98"/>
              </w:rPr>
              <w:t>Trailing 12 Months</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82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2Q18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2Q18</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2Q17</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Change</w:t>
            </w:r>
          </w:p>
        </w:tc>
        <w:tc>
          <w:tcPr>
            <w:tcW w:w="200" w:type="dxa"/>
            <w:vAlign w:val="bottom"/>
            <w:tcBorders>
              <w:bottom w:val="single" w:sz="8" w:color="CFF0FC"/>
            </w:tcBorders>
            <w:gridSpan w:val="2"/>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78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606</w:t>
            </w:r>
          </w:p>
        </w:tc>
        <w:tc>
          <w:tcPr>
            <w:tcW w:w="22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2,323</w:t>
            </w:r>
          </w:p>
        </w:tc>
        <w:tc>
          <w:tcPr>
            <w:tcW w:w="20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Stock repurchases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1,018</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3,247</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2,175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cash returned</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1,624</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5,570</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4,054</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19"/>
                <w:szCs w:val="19"/>
                <w:color w:val="auto"/>
              </w:rPr>
            </w:pPr>
          </w:p>
        </w:tc>
      </w:tr>
      <w:tr>
        <w:trPr>
          <w:trHeight w:val="1195"/>
        </w:trPr>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TI reports 2Q18 financial results and shareholder returns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3</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720" w:type="dxa"/>
            <w:vAlign w:val="bottom"/>
            <w:gridSpan w:val="3"/>
          </w:tcPr>
          <w:p>
            <w:pPr>
              <w:jc w:val="center"/>
              <w:ind w:left="257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jc w:val="center"/>
              <w:ind w:left="3770"/>
              <w:spacing w:after="0"/>
              <w:rPr>
                <w:sz w:val="20"/>
                <w:szCs w:val="20"/>
                <w:color w:val="auto"/>
              </w:rPr>
            </w:pPr>
            <w:r>
              <w:rPr>
                <w:rFonts w:ascii="Arial" w:cs="Arial" w:eastAsia="Arial" w:hAnsi="Arial"/>
                <w:sz w:val="18"/>
                <w:szCs w:val="18"/>
                <w:b w:val="1"/>
                <w:bCs w:val="1"/>
                <w:color w:val="auto"/>
                <w:w w:val="88"/>
              </w:rPr>
              <w:t>Consolidated Statements of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20" w:type="dxa"/>
            <w:vAlign w:val="bottom"/>
            <w:gridSpan w:val="3"/>
          </w:tcPr>
          <w:p>
            <w:pPr>
              <w:jc w:val="center"/>
              <w:ind w:left="2570"/>
              <w:spacing w:after="0"/>
              <w:rPr>
                <w:sz w:val="20"/>
                <w:szCs w:val="20"/>
                <w:color w:val="auto"/>
              </w:rPr>
            </w:pPr>
            <w:r>
              <w:rPr>
                <w:rFonts w:ascii="Arial" w:cs="Arial" w:eastAsia="Arial" w:hAnsi="Arial"/>
                <w:sz w:val="18"/>
                <w:szCs w:val="18"/>
                <w:b w:val="1"/>
                <w:bCs w:val="1"/>
                <w:color w:val="auto"/>
                <w:w w:val="89"/>
              </w:rPr>
              <w:t>(Millions of dollars, except share and per-share amounts)</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4"/>
          </w:tcPr>
          <w:p>
            <w:pPr>
              <w:jc w:val="right"/>
              <w:ind w:right="203"/>
              <w:spacing w:after="0"/>
              <w:rPr>
                <w:sz w:val="20"/>
                <w:szCs w:val="20"/>
                <w:color w:val="auto"/>
              </w:rPr>
            </w:pPr>
            <w:r>
              <w:rPr>
                <w:rFonts w:ascii="Arial" w:cs="Arial" w:eastAsia="Arial" w:hAnsi="Arial"/>
                <w:sz w:val="18"/>
                <w:szCs w:val="18"/>
                <w:b w:val="1"/>
                <w:bCs w:val="1"/>
                <w:color w:val="auto"/>
              </w:rPr>
              <w:t>For Three Months Ended</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863"/>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79"/>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4,017</w:t>
            </w: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 (COR)</w:t>
            </w:r>
          </w:p>
        </w:tc>
        <w:tc>
          <w:tcPr>
            <w:tcW w:w="1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1,398</w:t>
            </w:r>
          </w:p>
        </w:tc>
        <w:tc>
          <w:tcPr>
            <w:tcW w:w="4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2,619</w:t>
            </w: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384</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(SG&amp;A)</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441</w:t>
            </w: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Acquisition charges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charges/other</w:t>
            </w:r>
          </w:p>
        </w:tc>
        <w:tc>
          <w:tcPr>
            <w:tcW w:w="1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1,712</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 (OI&amp;E)</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debt expense</w:t>
            </w:r>
          </w:p>
        </w:tc>
        <w:tc>
          <w:tcPr>
            <w:tcW w:w="1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4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1,706</w:t>
            </w: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4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1,405</w:t>
            </w:r>
          </w:p>
        </w:tc>
        <w:tc>
          <w:tcPr>
            <w:tcW w:w="4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88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180" w:type="dxa"/>
            <w:vAlign w:val="bottom"/>
            <w:gridSpan w:val="2"/>
          </w:tcPr>
          <w:p>
            <w:pPr>
              <w:jc w:val="right"/>
              <w:ind w:right="879"/>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400" w:type="dxa"/>
            <w:vAlign w:val="bottom"/>
          </w:tcPr>
          <w:p>
            <w:pPr>
              <w:spacing w:after="0"/>
              <w:rPr>
                <w:sz w:val="19"/>
                <w:szCs w:val="19"/>
                <w:color w:val="auto"/>
              </w:rPr>
            </w:pPr>
          </w:p>
        </w:tc>
        <w:tc>
          <w:tcPr>
            <w:tcW w:w="1040" w:type="dxa"/>
            <w:vAlign w:val="bottom"/>
          </w:tcPr>
          <w:p>
            <w:pPr>
              <w:jc w:val="right"/>
              <w:ind w:right="88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Average shares outstanding (millions):</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FF0FC"/>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w:t>
            </w:r>
          </w:p>
        </w:tc>
        <w:tc>
          <w:tcPr>
            <w:tcW w:w="400" w:type="dxa"/>
            <w:vAlign w:val="bottom"/>
            <w:tcBorders>
              <w:bottom w:val="single" w:sz="8" w:color="CFF0FC"/>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997</w:t>
            </w:r>
          </w:p>
        </w:tc>
        <w:tc>
          <w:tcPr>
            <w:tcW w:w="4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1180" w:type="dxa"/>
            <w:vAlign w:val="bottom"/>
            <w:gridSpan w:val="2"/>
          </w:tcPr>
          <w:p>
            <w:pPr>
              <w:jc w:val="right"/>
              <w:ind w:right="879"/>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400" w:type="dxa"/>
            <w:vAlign w:val="bottom"/>
          </w:tcPr>
          <w:p>
            <w:pPr>
              <w:spacing w:after="0"/>
              <w:rPr>
                <w:sz w:val="19"/>
                <w:szCs w:val="19"/>
                <w:color w:val="auto"/>
              </w:rPr>
            </w:pPr>
          </w:p>
        </w:tc>
        <w:tc>
          <w:tcPr>
            <w:tcW w:w="1040" w:type="dxa"/>
            <w:vAlign w:val="bottom"/>
          </w:tcPr>
          <w:p>
            <w:pPr>
              <w:jc w:val="right"/>
              <w:ind w:right="88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jc w:val="center"/>
              <w:ind w:left="3530"/>
              <w:spacing w:after="0"/>
              <w:rPr>
                <w:sz w:val="20"/>
                <w:szCs w:val="20"/>
                <w:color w:val="auto"/>
              </w:rPr>
            </w:pPr>
            <w:r>
              <w:rPr>
                <w:rFonts w:ascii="Arial" w:cs="Arial" w:eastAsia="Arial" w:hAnsi="Arial"/>
                <w:sz w:val="18"/>
                <w:szCs w:val="18"/>
                <w:b w:val="1"/>
                <w:bCs w:val="1"/>
                <w:color w:val="auto"/>
                <w:w w:val="91"/>
              </w:rPr>
              <w:t>Supplemental Information</w:t>
            </w: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20" w:type="dxa"/>
            <w:vAlign w:val="bottom"/>
          </w:tcPr>
          <w:p>
            <w:pPr>
              <w:spacing w:after="0"/>
              <w:rPr>
                <w:sz w:val="24"/>
                <w:szCs w:val="24"/>
                <w:color w:val="auto"/>
              </w:rPr>
            </w:pPr>
          </w:p>
        </w:tc>
        <w:tc>
          <w:tcPr>
            <w:tcW w:w="7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jc w:val="center"/>
              <w:ind w:left="3510"/>
              <w:spacing w:after="0"/>
              <w:rPr>
                <w:sz w:val="20"/>
                <w:szCs w:val="20"/>
                <w:color w:val="auto"/>
              </w:rPr>
            </w:pPr>
            <w:r>
              <w:rPr>
                <w:rFonts w:ascii="Arial" w:cs="Arial" w:eastAsia="Arial" w:hAnsi="Arial"/>
                <w:sz w:val="18"/>
                <w:szCs w:val="18"/>
                <w:b w:val="1"/>
                <w:bCs w:val="1"/>
                <w:color w:val="auto"/>
                <w:w w:val="89"/>
              </w:rPr>
              <w:t>(Quarterly, except as noted)</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 is based on the following:</w:t>
            </w: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1180" w:type="dxa"/>
            <w:vAlign w:val="bottom"/>
            <w:gridSpan w:val="2"/>
          </w:tcPr>
          <w:p>
            <w:pPr>
              <w:jc w:val="right"/>
              <w:ind w:right="879"/>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344</w:t>
            </w:r>
          </w:p>
        </w:tc>
        <w:tc>
          <w:tcPr>
            <w:tcW w:w="400" w:type="dxa"/>
            <w:vAlign w:val="bottom"/>
          </w:tcPr>
          <w:p>
            <w:pPr>
              <w:spacing w:after="0"/>
              <w:rPr>
                <w:sz w:val="19"/>
                <w:szCs w:val="19"/>
                <w:color w:val="auto"/>
              </w:rPr>
            </w:pPr>
          </w:p>
        </w:tc>
        <w:tc>
          <w:tcPr>
            <w:tcW w:w="1040" w:type="dxa"/>
            <w:vAlign w:val="bottom"/>
          </w:tcPr>
          <w:p>
            <w:pPr>
              <w:jc w:val="right"/>
              <w:ind w:right="88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Discrete tax items</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(43)</w:t>
            </w: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Provision for income taxes (effective taxes)</w:t>
            </w:r>
          </w:p>
        </w:tc>
        <w:tc>
          <w:tcPr>
            <w:tcW w:w="1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4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Annual operating tax rate</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20%</w:t>
            </w: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Effective tax rate</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w:t>
            </w:r>
          </w:p>
        </w:tc>
        <w:tc>
          <w:tcPr>
            <w:tcW w:w="10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jc w:val="right"/>
              <w:ind w:right="46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1,405</w:t>
            </w:r>
          </w:p>
        </w:tc>
        <w:tc>
          <w:tcPr>
            <w:tcW w:w="400" w:type="dxa"/>
            <w:vAlign w:val="bottom"/>
          </w:tcPr>
          <w:p>
            <w:pPr>
              <w:spacing w:after="0"/>
              <w:rPr>
                <w:sz w:val="20"/>
                <w:szCs w:val="20"/>
                <w:color w:val="auto"/>
              </w:rPr>
            </w:pP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Income allocated to RSUs</w:t>
            </w:r>
          </w:p>
        </w:tc>
        <w:tc>
          <w:tcPr>
            <w:tcW w:w="6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(11)</w:t>
            </w:r>
          </w:p>
        </w:tc>
        <w:tc>
          <w:tcPr>
            <w:tcW w:w="6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Income allocated to common stock for diluted EPS</w:t>
            </w: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1,394</w:t>
            </w:r>
          </w:p>
        </w:tc>
        <w:tc>
          <w:tcPr>
            <w:tcW w:w="4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0"/>
        </w:trPr>
        <w:tc>
          <w:tcPr>
            <w:tcW w:w="7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TI reports 2Q18 financial results and shareholder returns</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3"/>
          </w:tcPr>
          <w:p>
            <w:pPr>
              <w:ind w:left="820"/>
              <w:spacing w:after="0"/>
              <w:rPr>
                <w:sz w:val="20"/>
                <w:szCs w:val="20"/>
                <w:color w:val="auto"/>
              </w:rPr>
            </w:pPr>
            <w:r>
              <w:rPr>
                <w:rFonts w:ascii="Arial" w:cs="Arial" w:eastAsia="Arial" w:hAnsi="Arial"/>
                <w:sz w:val="18"/>
                <w:szCs w:val="18"/>
                <w:b w:val="1"/>
                <w:bCs w:val="1"/>
                <w:color w:val="auto"/>
                <w:w w:val="86"/>
              </w:rPr>
              <w:t>Page 4</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40" w:type="dxa"/>
            <w:vAlign w:val="bottom"/>
            <w:gridSpan w:val="2"/>
          </w:tcPr>
          <w:p>
            <w:pPr>
              <w:jc w:val="center"/>
              <w:ind w:left="2458"/>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jc w:val="center"/>
              <w:ind w:left="3518"/>
              <w:spacing w:after="0"/>
              <w:rPr>
                <w:sz w:val="20"/>
                <w:szCs w:val="20"/>
                <w:color w:val="auto"/>
              </w:rPr>
            </w:pPr>
            <w:r>
              <w:rPr>
                <w:rFonts w:ascii="Arial" w:cs="Arial" w:eastAsia="Arial" w:hAnsi="Arial"/>
                <w:sz w:val="18"/>
                <w:szCs w:val="18"/>
                <w:b w:val="1"/>
                <w:bCs w:val="1"/>
                <w:color w:val="auto"/>
                <w:w w:val="87"/>
              </w:rPr>
              <w:t>Consolidated Balance Sheets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jc w:val="center"/>
              <w:ind w:left="3498"/>
              <w:spacing w:after="0"/>
              <w:rPr>
                <w:sz w:val="20"/>
                <w:szCs w:val="20"/>
                <w:color w:val="auto"/>
              </w:rPr>
            </w:pPr>
            <w:r>
              <w:rPr>
                <w:rFonts w:ascii="Arial" w:cs="Arial" w:eastAsia="Arial" w:hAnsi="Arial"/>
                <w:sz w:val="18"/>
                <w:szCs w:val="18"/>
                <w:b w:val="1"/>
                <w:bCs w:val="1"/>
                <w:color w:val="auto"/>
                <w:w w:val="89"/>
              </w:rPr>
              <w:t>(Millions of dollars, except share amounts)</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6"/>
                <w:szCs w:val="16"/>
                <w:b w:val="1"/>
                <w:bCs w:val="1"/>
                <w:color w:val="auto"/>
              </w:rPr>
              <w:t>June 30,</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w:t>
            </w:r>
          </w:p>
        </w:tc>
        <w:tc>
          <w:tcPr>
            <w:tcW w:w="1040" w:type="dxa"/>
            <w:vAlign w:val="bottom"/>
            <w:shd w:val="clear" w:color="auto" w:fill="CFF0FC"/>
          </w:tcPr>
          <w:p>
            <w:pPr>
              <w:jc w:val="right"/>
              <w:ind w:right="883"/>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2,919</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Pr>
          <w:p>
            <w:pPr>
              <w:ind w:left="240"/>
              <w:spacing w:after="0"/>
              <w:rPr>
                <w:sz w:val="20"/>
                <w:szCs w:val="20"/>
                <w:color w:val="auto"/>
              </w:rPr>
            </w:pPr>
            <w:r>
              <w:rPr>
                <w:rFonts w:ascii="Arial" w:cs="Arial" w:eastAsia="Arial" w:hAnsi="Arial"/>
                <w:sz w:val="16"/>
                <w:szCs w:val="16"/>
                <w:color w:val="auto"/>
              </w:rPr>
              <w:t>Short-term investments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2,211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 net of allowances of ($9) and ($16)</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Pr>
          <w:p>
            <w:pPr>
              <w:ind w:left="480"/>
              <w:spacing w:after="0"/>
              <w:rPr>
                <w:sz w:val="20"/>
                <w:szCs w:val="20"/>
                <w:color w:val="auto"/>
              </w:rPr>
            </w:pPr>
            <w:r>
              <w:rPr>
                <w:rFonts w:ascii="Arial" w:cs="Arial" w:eastAsia="Arial" w:hAnsi="Arial"/>
                <w:sz w:val="16"/>
                <w:szCs w:val="16"/>
                <w:color w:val="auto"/>
              </w:rPr>
              <w:t>Raw materials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Work in process</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Finished goods</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Inventories</w:t>
            </w: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2,090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current assets</w:t>
            </w: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9,592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7,511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20" w:type="dxa"/>
            <w:vAlign w:val="bottom"/>
            <w:gridSpan w:val="2"/>
          </w:tcPr>
          <w:p>
            <w:pPr>
              <w:spacing w:after="0"/>
              <w:rPr>
                <w:sz w:val="20"/>
                <w:szCs w:val="20"/>
                <w:color w:val="auto"/>
              </w:rPr>
            </w:pPr>
            <w:r>
              <w:rPr>
                <w:rFonts w:ascii="Arial" w:cs="Arial" w:eastAsia="Arial" w:hAnsi="Arial"/>
                <w:sz w:val="16"/>
                <w:szCs w:val="16"/>
                <w:color w:val="auto"/>
              </w:rPr>
              <w:t>Property, plant and equipment at cost</w:t>
            </w:r>
          </w:p>
        </w:tc>
        <w:tc>
          <w:tcPr>
            <w:tcW w:w="10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5,025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depreciation</w:t>
            </w:r>
          </w:p>
        </w:tc>
        <w:tc>
          <w:tcPr>
            <w:tcW w:w="10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(2,170)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Property, plant and equipment</w:t>
            </w:r>
          </w:p>
        </w:tc>
        <w:tc>
          <w:tcPr>
            <w:tcW w:w="10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2,855</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2,514</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6"/>
                <w:szCs w:val="16"/>
                <w:color w:val="auto"/>
              </w:rPr>
              <w:t>Long-term investments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6"/>
                <w:szCs w:val="16"/>
                <w:color w:val="auto"/>
              </w:rPr>
              <w:t>Acquisition-related intangibles</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6"/>
                <w:szCs w:val="16"/>
                <w:color w:val="auto"/>
              </w:rPr>
              <w:t>Capitalized software licenses</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gridSpan w:val="2"/>
          </w:tcPr>
          <w:p>
            <w:pPr>
              <w:spacing w:after="0"/>
              <w:rPr>
                <w:sz w:val="20"/>
                <w:szCs w:val="20"/>
                <w:color w:val="auto"/>
              </w:rPr>
            </w:pPr>
            <w:r>
              <w:rPr>
                <w:rFonts w:ascii="Arial" w:cs="Arial" w:eastAsia="Arial" w:hAnsi="Arial"/>
                <w:sz w:val="16"/>
                <w:szCs w:val="16"/>
                <w:color w:val="auto"/>
              </w:rPr>
              <w:t>Overfunded retirement plans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10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2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040" w:type="dxa"/>
            <w:vAlign w:val="bottom"/>
          </w:tcPr>
          <w:p>
            <w:pPr>
              <w:jc w:val="right"/>
              <w:ind w:right="883"/>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18,527</w:t>
            </w:r>
          </w:p>
        </w:tc>
        <w:tc>
          <w:tcPr>
            <w:tcW w:w="180" w:type="dxa"/>
            <w:vAlign w:val="bottom"/>
          </w:tcPr>
          <w:p>
            <w:pPr>
              <w:spacing w:after="0"/>
              <w:rPr>
                <w:sz w:val="17"/>
                <w:szCs w:val="17"/>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16,438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Current portion of long-term debt</w:t>
            </w:r>
          </w:p>
        </w:tc>
        <w:tc>
          <w:tcPr>
            <w:tcW w:w="1040" w:type="dxa"/>
            <w:vAlign w:val="bottom"/>
            <w:shd w:val="clear" w:color="auto" w:fill="CFF0FC"/>
          </w:tcPr>
          <w:p>
            <w:pPr>
              <w:jc w:val="right"/>
              <w:ind w:right="883"/>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compensation</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Pr>
          <w:p>
            <w:pPr>
              <w:ind w:left="240"/>
              <w:spacing w:after="0"/>
              <w:rPr>
                <w:sz w:val="20"/>
                <w:szCs w:val="20"/>
                <w:color w:val="auto"/>
              </w:rPr>
            </w:pPr>
            <w:r>
              <w:rPr>
                <w:rFonts w:ascii="Arial" w:cs="Arial" w:eastAsia="Arial" w:hAnsi="Arial"/>
                <w:sz w:val="16"/>
                <w:szCs w:val="16"/>
                <w:color w:val="auto"/>
              </w:rPr>
              <w:t>Income taxes payable</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10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current liabilities</w:t>
            </w: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1,466</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5,066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gridSpan w:val="2"/>
          </w:tcPr>
          <w:p>
            <w:pPr>
              <w:spacing w:after="0"/>
              <w:rPr>
                <w:sz w:val="20"/>
                <w:szCs w:val="20"/>
                <w:color w:val="auto"/>
              </w:rPr>
            </w:pPr>
            <w:r>
              <w:rPr>
                <w:rFonts w:ascii="Arial" w:cs="Arial" w:eastAsia="Arial" w:hAnsi="Arial"/>
                <w:sz w:val="16"/>
                <w:szCs w:val="16"/>
                <w:color w:val="auto"/>
              </w:rPr>
              <w:t>Underfunded retirement plans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gridSpan w:val="2"/>
          </w:tcPr>
          <w:p>
            <w:pPr>
              <w:spacing w:after="0"/>
              <w:rPr>
                <w:sz w:val="20"/>
                <w:szCs w:val="20"/>
                <w:color w:val="auto"/>
              </w:rPr>
            </w:pPr>
            <w:r>
              <w:rPr>
                <w:rFonts w:ascii="Arial" w:cs="Arial" w:eastAsia="Arial" w:hAnsi="Arial"/>
                <w:sz w:val="16"/>
                <w:szCs w:val="16"/>
                <w:color w:val="auto"/>
              </w:rPr>
              <w:t>Other long-term liabilities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7,893</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5,730</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2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 stock, $25 par value. Authorized – 10,000,000 shares</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Pr>
          <w:p>
            <w:pPr>
              <w:ind w:left="480"/>
              <w:spacing w:after="0"/>
              <w:rPr>
                <w:sz w:val="20"/>
                <w:szCs w:val="20"/>
                <w:color w:val="auto"/>
              </w:rPr>
            </w:pPr>
            <w:r>
              <w:rPr>
                <w:rFonts w:ascii="Arial" w:cs="Arial" w:eastAsia="Arial" w:hAnsi="Arial"/>
                <w:sz w:val="16"/>
                <w:szCs w:val="16"/>
                <w:color w:val="auto"/>
              </w:rPr>
              <w:t>Participating cumulative preferred – None issued</w:t>
            </w:r>
          </w:p>
        </w:tc>
        <w:tc>
          <w:tcPr>
            <w:tcW w:w="10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stock, $1 par value. Authorized – 2,400,000,000 shares</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Pr>
          <w:p>
            <w:pPr>
              <w:ind w:left="480"/>
              <w:spacing w:after="0"/>
              <w:rPr>
                <w:sz w:val="20"/>
                <w:szCs w:val="20"/>
                <w:color w:val="auto"/>
              </w:rPr>
            </w:pPr>
            <w:r>
              <w:rPr>
                <w:rFonts w:ascii="Arial" w:cs="Arial" w:eastAsia="Arial" w:hAnsi="Arial"/>
                <w:sz w:val="16"/>
                <w:szCs w:val="16"/>
                <w:color w:val="auto"/>
              </w:rPr>
              <w:t>Shares issued – 1,740,815,939</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1,741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Paid-in capital</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36,413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34,149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Treasury common stock at cost</w:t>
            </w: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Pr>
          <w:p>
            <w:pPr>
              <w:ind w:left="480"/>
              <w:spacing w:after="0"/>
              <w:rPr>
                <w:sz w:val="20"/>
                <w:szCs w:val="20"/>
                <w:color w:val="auto"/>
              </w:rPr>
            </w:pPr>
            <w:r>
              <w:rPr>
                <w:rFonts w:ascii="Arial" w:cs="Arial" w:eastAsia="Arial" w:hAnsi="Arial"/>
                <w:sz w:val="16"/>
                <w:szCs w:val="16"/>
                <w:color w:val="auto"/>
              </w:rPr>
              <w:t>Shares: June 30, 2018 – 766,450,417; June 30, 2017 – 749,098,850</w:t>
            </w:r>
          </w:p>
        </w:tc>
        <w:tc>
          <w:tcPr>
            <w:tcW w:w="10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(29,016)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(26,345)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other comprehensive income (loss), net of taxes (AOCI)</w:t>
            </w:r>
          </w:p>
        </w:tc>
        <w:tc>
          <w:tcPr>
            <w:tcW w:w="10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(371)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stockholders’ equity</w:t>
            </w:r>
          </w:p>
        </w:tc>
        <w:tc>
          <w:tcPr>
            <w:tcW w:w="10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10,634</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10,708</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 and stockholders’ equity</w:t>
            </w:r>
          </w:p>
        </w:tc>
        <w:tc>
          <w:tcPr>
            <w:tcW w:w="1040" w:type="dxa"/>
            <w:vAlign w:val="bottom"/>
            <w:shd w:val="clear" w:color="auto" w:fill="CFF0FC"/>
          </w:tcPr>
          <w:p>
            <w:pPr>
              <w:jc w:val="right"/>
              <w:ind w:right="883"/>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18,527</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3"/>
        </w:trPr>
        <w:tc>
          <w:tcPr>
            <w:tcW w:w="20" w:type="dxa"/>
            <w:vAlign w:val="bottom"/>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TI reports 2Q18 financial results and shareholder returns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gridSpan w:val="3"/>
          </w:tcPr>
          <w:p>
            <w:pPr>
              <w:ind w:left="160"/>
              <w:spacing w:after="0"/>
              <w:rPr>
                <w:sz w:val="20"/>
                <w:szCs w:val="20"/>
                <w:color w:val="auto"/>
              </w:rPr>
            </w:pPr>
            <w:r>
              <w:rPr>
                <w:rFonts w:ascii="Arial" w:cs="Arial" w:eastAsia="Arial" w:hAnsi="Arial"/>
                <w:sz w:val="18"/>
                <w:szCs w:val="18"/>
                <w:b w:val="1"/>
                <w:bCs w:val="1"/>
                <w:color w:val="auto"/>
                <w:w w:val="86"/>
              </w:rPr>
              <w:t>Page 5</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60" w:type="dxa"/>
            <w:vAlign w:val="bottom"/>
            <w:gridSpan w:val="3"/>
          </w:tcPr>
          <w:p>
            <w:pPr>
              <w:jc w:val="center"/>
              <w:ind w:left="243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jc w:val="center"/>
              <w:ind w:left="37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jc w:val="center"/>
              <w:ind w:left="3790"/>
              <w:spacing w:after="0"/>
              <w:rPr>
                <w:sz w:val="20"/>
                <w:szCs w:val="20"/>
                <w:color w:val="auto"/>
              </w:rPr>
            </w:pPr>
            <w:r>
              <w:rPr>
                <w:rFonts w:ascii="Arial" w:cs="Arial" w:eastAsia="Arial" w:hAnsi="Arial"/>
                <w:sz w:val="18"/>
                <w:szCs w:val="18"/>
                <w:b w:val="1"/>
                <w:bCs w:val="1"/>
                <w:color w:val="auto"/>
                <w:w w:val="92"/>
              </w:rPr>
              <w:t>(Millions of dollars)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20" w:type="dxa"/>
            <w:vAlign w:val="bottom"/>
            <w:gridSpan w:val="5"/>
          </w:tcPr>
          <w:p>
            <w:pPr>
              <w:jc w:val="right"/>
              <w:ind w:right="125"/>
              <w:spacing w:after="0"/>
              <w:rPr>
                <w:sz w:val="20"/>
                <w:szCs w:val="20"/>
                <w:color w:val="auto"/>
              </w:rPr>
            </w:pPr>
            <w:r>
              <w:rPr>
                <w:rFonts w:ascii="Arial" w:cs="Arial" w:eastAsia="Arial" w:hAnsi="Arial"/>
                <w:sz w:val="18"/>
                <w:szCs w:val="18"/>
                <w:b w:val="1"/>
                <w:bCs w:val="1"/>
                <w:color w:val="auto"/>
              </w:rPr>
              <w:t>For 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5"/>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1,405</w:t>
            </w:r>
          </w:p>
        </w:tc>
        <w:tc>
          <w:tcPr>
            <w:tcW w:w="180" w:type="dxa"/>
            <w:vAlign w:val="bottom"/>
          </w:tcPr>
          <w:p>
            <w:pPr>
              <w:spacing w:after="0"/>
              <w:rPr>
                <w:sz w:val="19"/>
                <w:szCs w:val="19"/>
                <w:color w:val="auto"/>
              </w:rPr>
            </w:pPr>
          </w:p>
        </w:tc>
        <w:tc>
          <w:tcPr>
            <w:tcW w:w="1160" w:type="dxa"/>
            <w:vAlign w:val="bottom"/>
            <w:gridSpan w:val="2"/>
          </w:tcPr>
          <w:p>
            <w:pPr>
              <w:jc w:val="right"/>
              <w:ind w:right="8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Net income: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acquisition-related intangibles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Amortization of capitalized software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 compensation</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Deferred taxes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(decrease) from changes in:</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Changes in funded status of retirement plans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(1,213)</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Proceeds from short-term investments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 of debt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repurchases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(1,018)</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Proceeds from common stock transactions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2,919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20" w:type="dxa"/>
            <w:vAlign w:val="bottom"/>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TI reports 2Q18 financial results and shareholder returns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ind w:left="640"/>
              <w:spacing w:after="0"/>
              <w:rPr>
                <w:sz w:val="20"/>
                <w:szCs w:val="20"/>
                <w:color w:val="auto"/>
              </w:rPr>
            </w:pPr>
            <w:r>
              <w:rPr>
                <w:rFonts w:ascii="Arial" w:cs="Arial" w:eastAsia="Arial" w:hAnsi="Arial"/>
                <w:sz w:val="18"/>
                <w:szCs w:val="18"/>
                <w:b w:val="1"/>
                <w:bCs w:val="1"/>
                <w:color w:val="auto"/>
                <w:w w:val="82"/>
              </w:rPr>
              <w:t>Page 6</w:t>
            </w:r>
          </w:p>
        </w:tc>
      </w:tr>
      <w:tr>
        <w:trPr>
          <w:trHeight w:val="392"/>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Segment results</w:t>
            </w:r>
          </w:p>
        </w:tc>
        <w:tc>
          <w:tcPr>
            <w:tcW w:w="4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5"/>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6"/>
        </w:trPr>
        <w:tc>
          <w:tcPr>
            <w:tcW w:w="1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2Q18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2Q17</w:t>
            </w:r>
          </w:p>
        </w:tc>
        <w:tc>
          <w:tcPr>
            <w:tcW w:w="2420" w:type="dxa"/>
            <w:vAlign w:val="bottom"/>
            <w:gridSpan w:val="3"/>
          </w:tcPr>
          <w:p>
            <w:pPr>
              <w:ind w:left="240"/>
              <w:spacing w:after="0"/>
              <w:rPr>
                <w:sz w:val="20"/>
                <w:szCs w:val="20"/>
                <w:color w:val="auto"/>
              </w:rPr>
            </w:pPr>
            <w:r>
              <w:rPr>
                <w:rFonts w:ascii="Arial" w:cs="Arial" w:eastAsia="Arial" w:hAnsi="Arial"/>
                <w:sz w:val="18"/>
                <w:szCs w:val="18"/>
                <w:color w:val="auto"/>
              </w:rPr>
              <w:t>Change</w:t>
            </w:r>
          </w:p>
        </w:tc>
      </w:tr>
      <w:tr>
        <w:trPr>
          <w:trHeight w:val="223"/>
        </w:trPr>
        <w:tc>
          <w:tcPr>
            <w:tcW w:w="1220" w:type="dxa"/>
            <w:vAlign w:val="bottom"/>
            <w:tcBorders>
              <w:right w:val="single" w:sz="8" w:color="CFF0FC"/>
            </w:tcBorders>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Analog:</w:t>
            </w:r>
          </w:p>
        </w:tc>
        <w:tc>
          <w:tcPr>
            <w:tcW w:w="9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2,690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2,411</w:t>
            </w: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profit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Embedded Processing:</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Revenue</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Operating profit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384</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profit*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Power, Signal Chain and High Volume)</w:t>
      </w:r>
    </w:p>
    <w:p>
      <w:pPr>
        <w:spacing w:after="0" w:line="121"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increased due to Power and Signal Chain. High Volume decreased.</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increased due to higher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Connected Microcontrollers and Processors)</w:t>
      </w:r>
    </w:p>
    <w:p>
      <w:pPr>
        <w:spacing w:after="0" w:line="121"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increased in both product lines about equally.</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15"/>
          <w:szCs w:val="15"/>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calculators and custom ASIC products)</w:t>
      </w:r>
    </w:p>
    <w:p>
      <w:pPr>
        <w:spacing w:after="0" w:line="121"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decreased by $30 million, and operating profit declined by $17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tabs>
          <w:tab w:leader="none" w:pos="10900" w:val="left"/>
        </w:tabs>
        <w:rPr>
          <w:sz w:val="20"/>
          <w:szCs w:val="20"/>
          <w:color w:val="auto"/>
        </w:rPr>
      </w:pPr>
      <w:r>
        <w:rPr>
          <w:rFonts w:ascii="Arial" w:cs="Arial" w:eastAsia="Arial" w:hAnsi="Arial"/>
          <w:sz w:val="18"/>
          <w:szCs w:val="18"/>
          <w:b w:val="1"/>
          <w:bCs w:val="1"/>
          <w:color w:val="auto"/>
        </w:rPr>
        <w:t>TI reports 2Q18 financial results and shareholder returns</w:t>
      </w:r>
      <w:r>
        <w:rPr>
          <w:sz w:val="20"/>
          <w:szCs w:val="20"/>
          <w:color w:val="auto"/>
        </w:rPr>
        <w:tab/>
      </w:r>
      <w:r>
        <w:rPr>
          <w:rFonts w:ascii="Arial" w:cs="Arial" w:eastAsia="Arial" w:hAnsi="Arial"/>
          <w:sz w:val="15"/>
          <w:szCs w:val="15"/>
          <w:b w:val="1"/>
          <w:bCs w:val="1"/>
          <w:color w:val="auto"/>
        </w:rPr>
        <w:t>Page 7</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For 12 Months Ended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(GAAP)</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6,589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4,564</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(527)</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5,734</w:t>
            </w:r>
          </w:p>
        </w:tc>
        <w:tc>
          <w:tcPr>
            <w:tcW w:w="280" w:type="dxa"/>
            <w:vAlign w:val="bottom"/>
            <w:tcBorders>
              <w:top w:val="single" w:sz="8" w:color="CFF0FC"/>
              <w:bottom w:val="single" w:sz="8" w:color="CFF0FC"/>
            </w:tcBorders>
            <w:shd w:val="clear" w:color="auto" w:fill="CFF0FC"/>
          </w:tcPr>
          <w:p>
            <w:pPr>
              <w:spacing w:after="0"/>
              <w:rPr>
                <w:sz w:val="22"/>
                <w:szCs w:val="22"/>
                <w:color w:val="auto"/>
              </w:rPr>
            </w:pP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4,037</w:t>
            </w:r>
          </w:p>
        </w:tc>
        <w:tc>
          <w:tcPr>
            <w:tcW w:w="320" w:type="dxa"/>
            <w:vAlign w:val="bottom"/>
            <w:tcBorders>
              <w:top w:val="single" w:sz="8" w:color="CFF0FC"/>
              <w:bottom w:val="single" w:sz="8" w:color="CFF0FC"/>
            </w:tcBorders>
            <w:shd w:val="clear" w:color="auto" w:fill="CFF0FC"/>
          </w:tcPr>
          <w:p>
            <w:pPr>
              <w:spacing w:after="0"/>
              <w:rPr>
                <w:sz w:val="22"/>
                <w:szCs w:val="22"/>
                <w:color w:val="auto"/>
              </w:rPr>
            </w:pPr>
          </w:p>
        </w:tc>
        <w:tc>
          <w:tcPr>
            <w:tcW w:w="146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15,672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14,184</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42.0%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32.2%</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2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28.5%</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more clearly communicates that discrete tax items are excluded from such rate. The term also helps differentiate from the effective tax rate, which includes discrete tax items. No adjustments are made to the estimated annual effective tax rate when using the term annual operating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tabs>
          <w:tab w:leader="none" w:pos="10900" w:val="left"/>
        </w:tabs>
        <w:rPr>
          <w:sz w:val="20"/>
          <w:szCs w:val="20"/>
          <w:color w:val="auto"/>
        </w:rPr>
      </w:pPr>
      <w:r>
        <w:rPr>
          <w:rFonts w:ascii="Arial" w:cs="Arial" w:eastAsia="Arial" w:hAnsi="Arial"/>
          <w:sz w:val="18"/>
          <w:szCs w:val="18"/>
          <w:b w:val="1"/>
          <w:bCs w:val="1"/>
          <w:color w:val="auto"/>
        </w:rPr>
        <w:t>TI reports 2Q18 financial results and shareholder returns</w:t>
      </w:r>
      <w:r>
        <w:rPr>
          <w:sz w:val="20"/>
          <w:szCs w:val="20"/>
          <w:color w:val="auto"/>
        </w:rPr>
        <w:tab/>
      </w:r>
      <w:r>
        <w:rPr>
          <w:rFonts w:ascii="Arial" w:cs="Arial" w:eastAsia="Arial" w:hAnsi="Arial"/>
          <w:sz w:val="15"/>
          <w:szCs w:val="15"/>
          <w:b w:val="1"/>
          <w:bCs w:val="1"/>
          <w:color w:val="auto"/>
        </w:rPr>
        <w:t>Page 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0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40" w:lineRule="exact"/>
        <w:rPr>
          <w:sz w:val="20"/>
          <w:szCs w:val="20"/>
          <w:color w:val="auto"/>
        </w:rPr>
      </w:pPr>
    </w:p>
    <w:p>
      <w:pPr>
        <w:ind w:left="440" w:hanging="432"/>
        <w:spacing w:after="0"/>
        <w:tabs>
          <w:tab w:leader="none" w:pos="440" w:val="left"/>
        </w:tabs>
        <w:numPr>
          <w:ilvl w:val="0"/>
          <w:numId w:val="7"/>
        </w:numPr>
        <w:rPr>
          <w:rFonts w:ascii="Arial" w:cs="Arial" w:eastAsia="Arial" w:hAnsi="Arial"/>
          <w:sz w:val="22"/>
          <w:szCs w:val="22"/>
          <w:color w:val="auto"/>
        </w:rPr>
      </w:pPr>
      <w:r>
        <w:rPr>
          <w:rFonts w:ascii="Arial" w:cs="Arial" w:eastAsia="Arial" w:hAnsi="Arial"/>
          <w:sz w:val="18"/>
          <w:szCs w:val="18"/>
          <w:color w:val="auto"/>
        </w:rPr>
        <w:t>Market demand for semiconductors, particularly in our end markets;</w:t>
      </w:r>
    </w:p>
    <w:p>
      <w:pPr>
        <w:spacing w:after="0" w:line="98" w:lineRule="exact"/>
        <w:rPr>
          <w:rFonts w:ascii="Arial" w:cs="Arial" w:eastAsia="Arial" w:hAnsi="Arial"/>
          <w:sz w:val="22"/>
          <w:szCs w:val="22"/>
          <w:color w:val="auto"/>
        </w:rPr>
      </w:pPr>
    </w:p>
    <w:p>
      <w:pPr>
        <w:ind w:left="440" w:hanging="432"/>
        <w:spacing w:after="0"/>
        <w:tabs>
          <w:tab w:leader="none" w:pos="440"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ability to compete in products and prices in an intensely competitive industry;</w:t>
      </w:r>
    </w:p>
    <w:p>
      <w:pPr>
        <w:spacing w:after="0" w:line="120" w:lineRule="exact"/>
        <w:rPr>
          <w:rFonts w:ascii="Arial" w:cs="Arial" w:eastAsia="Arial" w:hAnsi="Arial"/>
          <w:sz w:val="22"/>
          <w:szCs w:val="22"/>
          <w:color w:val="auto"/>
        </w:rPr>
      </w:pPr>
    </w:p>
    <w:p>
      <w:pPr>
        <w:ind w:left="440" w:right="140" w:hanging="432"/>
        <w:spacing w:after="0" w:line="232" w:lineRule="auto"/>
        <w:tabs>
          <w:tab w:leader="none" w:pos="440" w:val="left"/>
        </w:tabs>
        <w:numPr>
          <w:ilvl w:val="0"/>
          <w:numId w:val="7"/>
        </w:numPr>
        <w:rPr>
          <w:rFonts w:ascii="Arial" w:cs="Arial" w:eastAsia="Arial" w:hAnsi="Arial"/>
          <w:sz w:val="22"/>
          <w:szCs w:val="22"/>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95" w:lineRule="exact"/>
        <w:rPr>
          <w:rFonts w:ascii="Arial" w:cs="Arial" w:eastAsia="Arial" w:hAnsi="Arial"/>
          <w:sz w:val="22"/>
          <w:szCs w:val="22"/>
          <w:color w:val="auto"/>
        </w:rPr>
      </w:pPr>
    </w:p>
    <w:p>
      <w:pPr>
        <w:ind w:left="440" w:right="40" w:hanging="432"/>
        <w:spacing w:after="0" w:line="238" w:lineRule="auto"/>
        <w:tabs>
          <w:tab w:leader="none" w:pos="440" w:val="left"/>
        </w:tabs>
        <w:numPr>
          <w:ilvl w:val="0"/>
          <w:numId w:val="7"/>
        </w:numPr>
        <w:rPr>
          <w:rFonts w:ascii="Arial" w:cs="Arial" w:eastAsia="Arial" w:hAnsi="Arial"/>
          <w:sz w:val="22"/>
          <w:szCs w:val="22"/>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72" w:lineRule="exact"/>
        <w:rPr>
          <w:rFonts w:ascii="Arial" w:cs="Arial" w:eastAsia="Arial" w:hAnsi="Arial"/>
          <w:sz w:val="22"/>
          <w:szCs w:val="22"/>
          <w:color w:val="auto"/>
        </w:rPr>
      </w:pPr>
    </w:p>
    <w:p>
      <w:pPr>
        <w:ind w:left="440" w:hanging="432"/>
        <w:spacing w:after="0"/>
        <w:tabs>
          <w:tab w:leader="none" w:pos="440" w:val="left"/>
        </w:tabs>
        <w:numPr>
          <w:ilvl w:val="0"/>
          <w:numId w:val="7"/>
        </w:numPr>
        <w:rPr>
          <w:rFonts w:ascii="Arial" w:cs="Arial" w:eastAsia="Arial" w:hAnsi="Arial"/>
          <w:sz w:val="22"/>
          <w:szCs w:val="22"/>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20" w:lineRule="exact"/>
        <w:rPr>
          <w:rFonts w:ascii="Arial" w:cs="Arial" w:eastAsia="Arial" w:hAnsi="Arial"/>
          <w:sz w:val="22"/>
          <w:szCs w:val="22"/>
          <w:color w:val="auto"/>
        </w:rPr>
      </w:pPr>
    </w:p>
    <w:p>
      <w:pPr>
        <w:ind w:left="440" w:hanging="432"/>
        <w:spacing w:after="0"/>
        <w:tabs>
          <w:tab w:leader="none" w:pos="440" w:val="left"/>
        </w:tabs>
        <w:numPr>
          <w:ilvl w:val="0"/>
          <w:numId w:val="7"/>
        </w:numPr>
        <w:rPr>
          <w:rFonts w:ascii="Arial" w:cs="Arial" w:eastAsia="Arial" w:hAnsi="Arial"/>
          <w:sz w:val="19"/>
          <w:szCs w:val="19"/>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110" w:lineRule="exact"/>
        <w:rPr>
          <w:rFonts w:ascii="Arial" w:cs="Arial" w:eastAsia="Arial" w:hAnsi="Arial"/>
          <w:sz w:val="19"/>
          <w:szCs w:val="19"/>
          <w:color w:val="auto"/>
        </w:rPr>
      </w:pPr>
    </w:p>
    <w:p>
      <w:pPr>
        <w:ind w:left="440" w:hanging="432"/>
        <w:spacing w:after="0"/>
        <w:tabs>
          <w:tab w:leader="none" w:pos="440"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20" w:lineRule="exact"/>
        <w:rPr>
          <w:rFonts w:ascii="Arial" w:cs="Arial" w:eastAsia="Arial" w:hAnsi="Arial"/>
          <w:sz w:val="22"/>
          <w:szCs w:val="22"/>
          <w:color w:val="auto"/>
        </w:rPr>
      </w:pPr>
    </w:p>
    <w:p>
      <w:pPr>
        <w:ind w:left="440" w:right="280" w:hanging="432"/>
        <w:spacing w:after="0" w:line="232" w:lineRule="auto"/>
        <w:tabs>
          <w:tab w:leader="none" w:pos="440" w:val="left"/>
        </w:tabs>
        <w:numPr>
          <w:ilvl w:val="0"/>
          <w:numId w:val="7"/>
        </w:numPr>
        <w:rPr>
          <w:rFonts w:ascii="Arial" w:cs="Arial" w:eastAsia="Arial" w:hAnsi="Arial"/>
          <w:sz w:val="22"/>
          <w:szCs w:val="22"/>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84" w:lineRule="exact"/>
        <w:rPr>
          <w:rFonts w:ascii="Arial" w:cs="Arial" w:eastAsia="Arial" w:hAnsi="Arial"/>
          <w:sz w:val="22"/>
          <w:szCs w:val="22"/>
          <w:color w:val="auto"/>
        </w:rPr>
      </w:pPr>
    </w:p>
    <w:p>
      <w:pPr>
        <w:ind w:left="440" w:hanging="432"/>
        <w:spacing w:after="0"/>
        <w:tabs>
          <w:tab w:leader="none" w:pos="440" w:val="left"/>
        </w:tabs>
        <w:numPr>
          <w:ilvl w:val="0"/>
          <w:numId w:val="7"/>
        </w:numPr>
        <w:rPr>
          <w:rFonts w:ascii="Arial" w:cs="Arial" w:eastAsia="Arial" w:hAnsi="Arial"/>
          <w:sz w:val="21"/>
          <w:szCs w:val="21"/>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0" w:lineRule="exact"/>
        <w:rPr>
          <w:rFonts w:ascii="Arial" w:cs="Arial" w:eastAsia="Arial" w:hAnsi="Arial"/>
          <w:sz w:val="21"/>
          <w:szCs w:val="21"/>
          <w:color w:val="auto"/>
        </w:rPr>
      </w:pPr>
    </w:p>
    <w:p>
      <w:pPr>
        <w:ind w:left="440" w:right="160" w:hanging="432"/>
        <w:spacing w:after="0" w:line="297" w:lineRule="auto"/>
        <w:tabs>
          <w:tab w:leader="none" w:pos="440" w:val="left"/>
        </w:tabs>
        <w:numPr>
          <w:ilvl w:val="0"/>
          <w:numId w:val="7"/>
        </w:numPr>
        <w:rPr>
          <w:rFonts w:ascii="Arial" w:cs="Arial" w:eastAsia="Arial" w:hAnsi="Arial"/>
          <w:sz w:val="19"/>
          <w:szCs w:val="19"/>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42" w:lineRule="exact"/>
        <w:rPr>
          <w:rFonts w:ascii="Arial" w:cs="Arial" w:eastAsia="Arial" w:hAnsi="Arial"/>
          <w:sz w:val="19"/>
          <w:szCs w:val="19"/>
          <w:color w:val="auto"/>
        </w:rPr>
      </w:pPr>
    </w:p>
    <w:p>
      <w:pPr>
        <w:ind w:left="440" w:right="380" w:hanging="432"/>
        <w:spacing w:after="0" w:line="232" w:lineRule="auto"/>
        <w:tabs>
          <w:tab w:leader="none" w:pos="440" w:val="left"/>
        </w:tabs>
        <w:numPr>
          <w:ilvl w:val="0"/>
          <w:numId w:val="7"/>
        </w:numPr>
        <w:rPr>
          <w:rFonts w:ascii="Arial" w:cs="Arial" w:eastAsia="Arial" w:hAnsi="Arial"/>
          <w:sz w:val="22"/>
          <w:szCs w:val="22"/>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95" w:lineRule="exact"/>
        <w:rPr>
          <w:rFonts w:ascii="Arial" w:cs="Arial" w:eastAsia="Arial" w:hAnsi="Arial"/>
          <w:sz w:val="22"/>
          <w:szCs w:val="22"/>
          <w:color w:val="auto"/>
        </w:rPr>
      </w:pPr>
    </w:p>
    <w:p>
      <w:pPr>
        <w:ind w:left="440" w:right="100" w:hanging="432"/>
        <w:spacing w:after="0" w:line="251" w:lineRule="auto"/>
        <w:tabs>
          <w:tab w:leader="none" w:pos="440" w:val="left"/>
        </w:tabs>
        <w:numPr>
          <w:ilvl w:val="0"/>
          <w:numId w:val="7"/>
        </w:numPr>
        <w:rPr>
          <w:rFonts w:ascii="Arial" w:cs="Arial" w:eastAsia="Arial" w:hAnsi="Arial"/>
          <w:sz w:val="21"/>
          <w:szCs w:val="21"/>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60" w:lineRule="exact"/>
        <w:rPr>
          <w:rFonts w:ascii="Arial" w:cs="Arial" w:eastAsia="Arial" w:hAnsi="Arial"/>
          <w:sz w:val="21"/>
          <w:szCs w:val="21"/>
          <w:color w:val="auto"/>
        </w:rPr>
      </w:pPr>
    </w:p>
    <w:p>
      <w:pPr>
        <w:ind w:left="440" w:hanging="432"/>
        <w:spacing w:after="0"/>
        <w:tabs>
          <w:tab w:leader="none" w:pos="440" w:val="left"/>
        </w:tabs>
        <w:numPr>
          <w:ilvl w:val="0"/>
          <w:numId w:val="7"/>
        </w:numPr>
        <w:rPr>
          <w:rFonts w:ascii="Arial" w:cs="Arial" w:eastAsia="Arial" w:hAnsi="Arial"/>
          <w:sz w:val="22"/>
          <w:szCs w:val="22"/>
          <w:color w:val="auto"/>
        </w:rPr>
      </w:pPr>
      <w:r>
        <w:rPr>
          <w:rFonts w:ascii="Arial" w:cs="Arial" w:eastAsia="Arial" w:hAnsi="Arial"/>
          <w:sz w:val="18"/>
          <w:szCs w:val="18"/>
          <w:color w:val="auto"/>
        </w:rPr>
        <w:t>A loss suffered by one of our customers or distributors with respect to TI-consigned inventory;</w:t>
      </w:r>
    </w:p>
    <w:p>
      <w:pPr>
        <w:spacing w:after="0" w:line="120" w:lineRule="exact"/>
        <w:rPr>
          <w:rFonts w:ascii="Arial" w:cs="Arial" w:eastAsia="Arial" w:hAnsi="Arial"/>
          <w:sz w:val="22"/>
          <w:szCs w:val="22"/>
          <w:color w:val="auto"/>
        </w:rPr>
      </w:pPr>
    </w:p>
    <w:p>
      <w:pPr>
        <w:ind w:left="440" w:right="860" w:hanging="432"/>
        <w:spacing w:after="0" w:line="232" w:lineRule="auto"/>
        <w:tabs>
          <w:tab w:leader="none" w:pos="440" w:val="left"/>
        </w:tabs>
        <w:numPr>
          <w:ilvl w:val="0"/>
          <w:numId w:val="7"/>
        </w:numPr>
        <w:rPr>
          <w:rFonts w:ascii="Arial" w:cs="Arial" w:eastAsia="Arial" w:hAnsi="Arial"/>
          <w:sz w:val="22"/>
          <w:szCs w:val="22"/>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84" w:lineRule="exact"/>
        <w:rPr>
          <w:rFonts w:ascii="Arial" w:cs="Arial" w:eastAsia="Arial" w:hAnsi="Arial"/>
          <w:sz w:val="22"/>
          <w:szCs w:val="22"/>
          <w:color w:val="auto"/>
        </w:rPr>
      </w:pPr>
    </w:p>
    <w:p>
      <w:pPr>
        <w:ind w:left="440" w:hanging="432"/>
        <w:spacing w:after="0"/>
        <w:tabs>
          <w:tab w:leader="none" w:pos="440" w:val="left"/>
        </w:tabs>
        <w:numPr>
          <w:ilvl w:val="0"/>
          <w:numId w:val="7"/>
        </w:numPr>
        <w:rPr>
          <w:rFonts w:ascii="Arial" w:cs="Arial" w:eastAsia="Arial" w:hAnsi="Arial"/>
          <w:sz w:val="21"/>
          <w:szCs w:val="21"/>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tabs>
          <w:tab w:leader="none" w:pos="10900" w:val="left"/>
        </w:tabs>
        <w:rPr>
          <w:sz w:val="20"/>
          <w:szCs w:val="20"/>
          <w:color w:val="auto"/>
        </w:rPr>
      </w:pPr>
      <w:r>
        <w:rPr>
          <w:rFonts w:ascii="Arial" w:cs="Arial" w:eastAsia="Arial" w:hAnsi="Arial"/>
          <w:sz w:val="18"/>
          <w:szCs w:val="18"/>
          <w:b w:val="1"/>
          <w:bCs w:val="1"/>
          <w:color w:val="auto"/>
        </w:rPr>
        <w:t>TI reports 2Q18 financial results and shareholder returns</w:t>
      </w:r>
      <w:r>
        <w:rPr>
          <w:sz w:val="20"/>
          <w:szCs w:val="20"/>
          <w:color w:val="auto"/>
        </w:rPr>
        <w:tab/>
      </w:r>
      <w:r>
        <w:rPr>
          <w:rFonts w:ascii="Arial" w:cs="Arial" w:eastAsia="Arial" w:hAnsi="Arial"/>
          <w:sz w:val="15"/>
          <w:szCs w:val="15"/>
          <w:b w:val="1"/>
          <w:bCs w:val="1"/>
          <w:color w:val="auto"/>
        </w:rPr>
        <w:t>Page 9</w:t>
      </w:r>
    </w:p>
    <w:p>
      <w:pPr>
        <w:spacing w:after="0" w:line="337" w:lineRule="exact"/>
        <w:rPr>
          <w:sz w:val="20"/>
          <w:szCs w:val="20"/>
          <w:color w:val="auto"/>
        </w:rPr>
      </w:pPr>
    </w:p>
    <w:p>
      <w:pPr>
        <w:ind w:left="440" w:right="460" w:hanging="432"/>
        <w:spacing w:after="0" w:line="232" w:lineRule="auto"/>
        <w:tabs>
          <w:tab w:leader="none" w:pos="44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95" w:lineRule="exact"/>
        <w:rPr>
          <w:rFonts w:ascii="Arial" w:cs="Arial" w:eastAsia="Arial" w:hAnsi="Arial"/>
          <w:sz w:val="22"/>
          <w:szCs w:val="22"/>
          <w:color w:val="auto"/>
        </w:rPr>
      </w:pPr>
    </w:p>
    <w:p>
      <w:pPr>
        <w:ind w:left="440" w:right="400" w:hanging="432"/>
        <w:spacing w:after="0" w:line="232" w:lineRule="auto"/>
        <w:tabs>
          <w:tab w:leader="none" w:pos="44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95" w:lineRule="exact"/>
        <w:rPr>
          <w:rFonts w:ascii="Arial" w:cs="Arial" w:eastAsia="Arial" w:hAnsi="Arial"/>
          <w:sz w:val="22"/>
          <w:szCs w:val="22"/>
          <w:color w:val="auto"/>
        </w:rPr>
      </w:pPr>
    </w:p>
    <w:p>
      <w:pPr>
        <w:ind w:left="440" w:right="820" w:hanging="432"/>
        <w:spacing w:after="0" w:line="232" w:lineRule="auto"/>
        <w:tabs>
          <w:tab w:leader="none" w:pos="440" w:val="left"/>
        </w:tabs>
        <w:numPr>
          <w:ilvl w:val="0"/>
          <w:numId w:val="8"/>
        </w:numPr>
        <w:rPr>
          <w:rFonts w:ascii="Arial" w:cs="Arial" w:eastAsia="Arial" w:hAnsi="Arial"/>
          <w:sz w:val="22"/>
          <w:szCs w:val="22"/>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3" w:lineRule="exact"/>
        <w:rPr>
          <w:rFonts w:ascii="Arial" w:cs="Arial" w:eastAsia="Arial" w:hAnsi="Arial"/>
          <w:sz w:val="22"/>
          <w:szCs w:val="22"/>
          <w:color w:val="auto"/>
        </w:rPr>
      </w:pPr>
    </w:p>
    <w:p>
      <w:pPr>
        <w:ind w:left="440" w:hanging="432"/>
        <w:spacing w:after="0"/>
        <w:tabs>
          <w:tab w:leader="none" w:pos="440" w:val="left"/>
        </w:tabs>
        <w:numPr>
          <w:ilvl w:val="0"/>
          <w:numId w:val="8"/>
        </w:numPr>
        <w:rPr>
          <w:rFonts w:ascii="Arial" w:cs="Arial" w:eastAsia="Arial" w:hAnsi="Arial"/>
          <w:sz w:val="22"/>
          <w:szCs w:val="22"/>
          <w:color w:val="auto"/>
        </w:rPr>
      </w:pPr>
      <w:r>
        <w:rPr>
          <w:rFonts w:ascii="Arial" w:cs="Arial" w:eastAsia="Arial" w:hAnsi="Arial"/>
          <w:sz w:val="18"/>
          <w:szCs w:val="18"/>
          <w:color w:val="auto"/>
        </w:rPr>
        <w:t>Increases in health care and pension benefit costs;</w:t>
      </w:r>
    </w:p>
    <w:p>
      <w:pPr>
        <w:spacing w:after="0" w:line="98" w:lineRule="exact"/>
        <w:rPr>
          <w:rFonts w:ascii="Arial" w:cs="Arial" w:eastAsia="Arial" w:hAnsi="Arial"/>
          <w:sz w:val="22"/>
          <w:szCs w:val="22"/>
          <w:color w:val="auto"/>
        </w:rPr>
      </w:pPr>
    </w:p>
    <w:p>
      <w:pPr>
        <w:ind w:left="440" w:hanging="432"/>
        <w:spacing w:after="0"/>
        <w:tabs>
          <w:tab w:leader="none" w:pos="44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recruit and retain skilled engineering, management and technical personnel;</w:t>
      </w:r>
    </w:p>
    <w:p>
      <w:pPr>
        <w:spacing w:after="0" w:line="120" w:lineRule="exact"/>
        <w:rPr>
          <w:rFonts w:ascii="Arial" w:cs="Arial" w:eastAsia="Arial" w:hAnsi="Arial"/>
          <w:sz w:val="22"/>
          <w:szCs w:val="22"/>
          <w:color w:val="auto"/>
        </w:rPr>
      </w:pPr>
    </w:p>
    <w:p>
      <w:pPr>
        <w:ind w:left="440" w:right="500" w:hanging="432"/>
        <w:spacing w:after="0" w:line="232" w:lineRule="auto"/>
        <w:tabs>
          <w:tab w:leader="none" w:pos="44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3" w:lineRule="exact"/>
        <w:rPr>
          <w:rFonts w:ascii="Arial" w:cs="Arial" w:eastAsia="Arial" w:hAnsi="Arial"/>
          <w:sz w:val="22"/>
          <w:szCs w:val="22"/>
          <w:color w:val="auto"/>
        </w:rPr>
      </w:pPr>
    </w:p>
    <w:p>
      <w:pPr>
        <w:ind w:left="440" w:hanging="432"/>
        <w:spacing w:after="0"/>
        <w:tabs>
          <w:tab w:leader="none" w:pos="440" w:val="left"/>
        </w:tabs>
        <w:numPr>
          <w:ilvl w:val="0"/>
          <w:numId w:val="8"/>
        </w:numPr>
        <w:rPr>
          <w:rFonts w:ascii="Arial" w:cs="Arial" w:eastAsia="Arial" w:hAnsi="Arial"/>
          <w:sz w:val="22"/>
          <w:szCs w:val="22"/>
          <w:color w:val="auto"/>
        </w:rPr>
      </w:pPr>
      <w:r>
        <w:rPr>
          <w:rFonts w:ascii="Arial" w:cs="Arial" w:eastAsia="Arial" w:hAnsi="Arial"/>
          <w:sz w:val="18"/>
          <w:szCs w:val="18"/>
          <w:color w:val="auto"/>
        </w:rPr>
        <w:t>Impairments of our non-financial assets.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approximately 100,000 customers transform the future, today. Learn more at </w:t>
      </w:r>
      <w:r>
        <w:rPr>
          <w:rFonts w:ascii="Arial" w:cs="Arial" w:eastAsia="Arial" w:hAnsi="Arial"/>
          <w:sz w:val="18"/>
          <w:szCs w:val="18"/>
          <w:u w:val="single" w:color="auto"/>
          <w:color w:val="0000FF"/>
        </w:rPr>
        <w:t>www.ti.com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99"/>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2019-12-28T21:14:24Z</dcterms:created>
  <dcterms:modified xsi:type="dcterms:W3CDTF">2019-12-28T21:14:24Z</dcterms:modified>
</cp:coreProperties>
</file>