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As filed with the Securities and Exchange Commission on February 4, 2022</w:t>
      </w:r>
    </w:p>
    <w:p>
      <w:pPr>
        <w:spacing w:after="0" w:line="26" w:lineRule="exact"/>
        <w:rPr>
          <w:sz w:val="24"/>
          <w:szCs w:val="24"/>
          <w:color w:val="auto"/>
        </w:rPr>
      </w:pPr>
    </w:p>
    <w:p>
      <w:pPr>
        <w:ind w:left="902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67310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109855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8"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S-3</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91440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4"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TEXAS INSTRUMENTS INCORPORATED</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8" w:lineRule="exact"/>
        <w:rPr>
          <w:sz w:val="24"/>
          <w:szCs w:val="24"/>
          <w:color w:val="auto"/>
        </w:rPr>
      </w:pPr>
    </w:p>
    <w:tbl>
      <w:tblPr>
        <w:tblLayout w:type="fixed"/>
        <w:tblInd w:w="1020" w:type="dxa"/>
        <w:tblCellMar>
          <w:top w:w="0" w:type="dxa"/>
          <w:left w:w="0" w:type="dxa"/>
          <w:bottom w:w="0" w:type="dxa"/>
          <w:right w:w="0" w:type="dxa"/>
        </w:tblCellMar>
      </w:tblPr>
      <w:tr>
        <w:trPr>
          <w:trHeight w:val="194"/>
        </w:trPr>
        <w:tc>
          <w:tcPr>
            <w:tcW w:w="4780" w:type="dxa"/>
            <w:vAlign w:val="bottom"/>
          </w:tcPr>
          <w:p>
            <w:pPr>
              <w:jc w:val="center"/>
              <w:ind w:right="2765"/>
              <w:spacing w:after="0"/>
              <w:rPr>
                <w:sz w:val="20"/>
                <w:szCs w:val="20"/>
                <w:color w:val="auto"/>
              </w:rPr>
            </w:pPr>
            <w:r>
              <w:rPr>
                <w:rFonts w:ascii="Arial" w:cs="Arial" w:eastAsia="Arial" w:hAnsi="Arial"/>
                <w:sz w:val="16"/>
                <w:szCs w:val="16"/>
                <w:b w:val="1"/>
                <w:bCs w:val="1"/>
                <w:color w:val="auto"/>
                <w:w w:val="93"/>
              </w:rPr>
              <w:t>Delaware</w:t>
            </w:r>
          </w:p>
        </w:tc>
        <w:tc>
          <w:tcPr>
            <w:tcW w:w="4280" w:type="dxa"/>
            <w:vAlign w:val="bottom"/>
          </w:tcPr>
          <w:p>
            <w:pPr>
              <w:jc w:val="center"/>
              <w:ind w:left="2785"/>
              <w:spacing w:after="0"/>
              <w:rPr>
                <w:sz w:val="20"/>
                <w:szCs w:val="20"/>
                <w:color w:val="auto"/>
              </w:rPr>
            </w:pPr>
            <w:r>
              <w:rPr>
                <w:rFonts w:ascii="Arial" w:cs="Arial" w:eastAsia="Arial" w:hAnsi="Arial"/>
                <w:sz w:val="16"/>
                <w:szCs w:val="16"/>
                <w:b w:val="1"/>
                <w:bCs w:val="1"/>
                <w:color w:val="auto"/>
                <w:w w:val="91"/>
              </w:rPr>
              <w:t>75-0289970</w:t>
            </w:r>
          </w:p>
        </w:tc>
      </w:tr>
      <w:tr>
        <w:trPr>
          <w:trHeight w:val="148"/>
        </w:trPr>
        <w:tc>
          <w:tcPr>
            <w:tcW w:w="4780" w:type="dxa"/>
            <w:vAlign w:val="bottom"/>
          </w:tcPr>
          <w:p>
            <w:pPr>
              <w:jc w:val="center"/>
              <w:ind w:right="276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280" w:type="dxa"/>
            <w:vAlign w:val="bottom"/>
          </w:tcPr>
          <w:p>
            <w:pPr>
              <w:jc w:val="center"/>
              <w:ind w:left="2785"/>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780" w:type="dxa"/>
            <w:vAlign w:val="bottom"/>
          </w:tcPr>
          <w:p>
            <w:pPr>
              <w:jc w:val="center"/>
              <w:ind w:right="2765"/>
              <w:spacing w:after="0"/>
              <w:rPr>
                <w:sz w:val="20"/>
                <w:szCs w:val="20"/>
                <w:color w:val="auto"/>
              </w:rPr>
            </w:pPr>
            <w:r>
              <w:rPr>
                <w:rFonts w:ascii="Arial" w:cs="Arial" w:eastAsia="Arial" w:hAnsi="Arial"/>
                <w:sz w:val="14"/>
                <w:szCs w:val="14"/>
                <w:b w:val="1"/>
                <w:bCs w:val="1"/>
                <w:color w:val="auto"/>
                <w:w w:val="95"/>
              </w:rPr>
              <w:t>Incorporation or Organization)</w:t>
            </w:r>
          </w:p>
        </w:tc>
        <w:tc>
          <w:tcPr>
            <w:tcW w:w="4280" w:type="dxa"/>
            <w:vAlign w:val="bottom"/>
          </w:tcPr>
          <w:p>
            <w:pPr>
              <w:jc w:val="center"/>
              <w:ind w:left="2785"/>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12500 TI Boulevard</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Dallas, Texas 75243</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(214) 479-3773</w:t>
      </w: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Cynthia Hoff Trochu</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Senior Vice President, Secretary and General Counsel</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Texas Instruments Incorporated</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12500 TI Boulevard</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Dallas, Texas 75243</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(214) 479-3773</w:t>
      </w: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Copy to:</w:t>
      </w:r>
    </w:p>
    <w:p>
      <w:pPr>
        <w:spacing w:after="0" w:line="6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Emily Roberts</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Davis Polk &amp; Wardwell LLP</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1600 El Camino Real</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Menlo Park, California 94025</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(650) 752-2000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109855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7"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From time to time after this Registration Statement becomes effective.</w:t>
      </w:r>
    </w:p>
    <w:p>
      <w:pPr>
        <w:spacing w:after="0" w:line="47" w:lineRule="exact"/>
        <w:rPr>
          <w:sz w:val="24"/>
          <w:szCs w:val="24"/>
          <w:color w:val="auto"/>
        </w:rPr>
      </w:pPr>
    </w:p>
    <w:p>
      <w:pPr>
        <w:ind w:left="560"/>
        <w:spacing w:after="0" w:line="173"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14" w:lineRule="exact"/>
        <w:rPr>
          <w:sz w:val="24"/>
          <w:szCs w:val="24"/>
          <w:color w:val="auto"/>
        </w:rPr>
      </w:pPr>
    </w:p>
    <w:p>
      <w:pPr>
        <w:ind w:left="120" w:right="280" w:firstLine="44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left="120" w:right="200" w:firstLine="44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left="120" w:right="100" w:firstLine="4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left="120" w:right="80" w:firstLine="440"/>
        <w:spacing w:after="0" w:line="214"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left="120" w:right="100" w:firstLine="440"/>
        <w:spacing w:after="0" w:line="214"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left="120" w:right="360" w:firstLine="440"/>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54"/>
        </w:trPr>
        <w:tc>
          <w:tcPr>
            <w:tcW w:w="17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0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3660" w:type="dxa"/>
            <w:vAlign w:val="bottom"/>
          </w:tcPr>
          <w:p>
            <w:pPr>
              <w:ind w:left="152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720" w:type="dxa"/>
            <w:vAlign w:val="bottom"/>
          </w:tcPr>
          <w:p>
            <w:pPr>
              <w:spacing w:after="0"/>
              <w:rPr>
                <w:sz w:val="20"/>
                <w:szCs w:val="20"/>
                <w:color w:val="auto"/>
              </w:rPr>
            </w:pPr>
            <w:r>
              <w:rPr>
                <w:rFonts w:ascii="Arial" w:cs="Arial" w:eastAsia="Arial" w:hAnsi="Arial"/>
                <w:sz w:val="16"/>
                <w:szCs w:val="16"/>
                <w:color w:val="auto"/>
              </w:rPr>
              <w:t>Non-accelerated filer</w:t>
            </w:r>
          </w:p>
        </w:tc>
        <w:tc>
          <w:tcPr>
            <w:tcW w:w="5040" w:type="dxa"/>
            <w:vAlign w:val="bottom"/>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660" w:type="dxa"/>
            <w:vAlign w:val="bottom"/>
          </w:tcPr>
          <w:p>
            <w:pPr>
              <w:ind w:left="152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7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660" w:type="dxa"/>
            <w:vAlign w:val="bottom"/>
          </w:tcPr>
          <w:p>
            <w:pPr>
              <w:ind w:left="152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 w:lineRule="exact"/>
        <w:rPr>
          <w:sz w:val="24"/>
          <w:szCs w:val="24"/>
          <w:color w:val="auto"/>
        </w:rPr>
      </w:pPr>
    </w:p>
    <w:p>
      <w:pPr>
        <w:ind w:left="120" w:right="360" w:firstLine="4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44450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60"/>
          </w:cols>
          <w:pgMar w:left="320" w:top="230" w:right="5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171450</wp:posOffset>
            </wp:positionV>
            <wp:extent cx="2871470" cy="668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714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262255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080"/>
          </w:cols>
          <w:pgMar w:left="320" w:top="459" w:right="499" w:bottom="1440" w:gutter="0" w:footer="0" w:header="0"/>
        </w:sectPr>
      </w:pPr>
    </w:p>
    <w:p>
      <w:pPr>
        <w:spacing w:after="0" w:line="197"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4140"/>
        <w:spacing w:after="0"/>
        <w:tabs>
          <w:tab w:leader="none" w:pos="160" w:val="left"/>
        </w:tabs>
        <w:rPr>
          <w:sz w:val="20"/>
          <w:szCs w:val="20"/>
          <w:color w:val="auto"/>
        </w:rPr>
      </w:pPr>
      <w:r>
        <w:rPr>
          <w:rFonts w:ascii="Arial" w:cs="Arial" w:eastAsia="Arial" w:hAnsi="Arial"/>
          <w:sz w:val="18"/>
          <w:szCs w:val="18"/>
          <w:color w:val="auto"/>
        </w:rPr>
        <w:t>•</w:t>
        <w:tab/>
        <w:t>Warrants</w:t>
      </w:r>
    </w:p>
    <w:p>
      <w:pPr>
        <w:spacing w:after="0" w:line="117" w:lineRule="exact"/>
        <w:rPr>
          <w:sz w:val="20"/>
          <w:szCs w:val="20"/>
          <w:color w:val="auto"/>
        </w:rPr>
      </w:pPr>
    </w:p>
    <w:p>
      <w:pPr>
        <w:sectPr>
          <w:pgSz w:w="11900" w:h="16838" w:orient="portrait"/>
          <w:cols w:equalWidth="0" w:num="3">
            <w:col w:w="260" w:space="200"/>
            <w:col w:w="4880" w:space="720"/>
            <w:col w:w="5020"/>
          </w:cols>
          <w:pgMar w:left="320" w:top="459" w:right="499" w:bottom="1440" w:gutter="0" w:footer="0" w:header="0"/>
          <w:type w:val="continuous"/>
        </w:sectPr>
      </w:pPr>
    </w:p>
    <w:p>
      <w:pPr>
        <w:jc w:val="center"/>
        <w:ind w:left="2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Units</w:t>
      </w:r>
    </w:p>
    <w:p>
      <w:pPr>
        <w:spacing w:after="0" w:line="129" w:lineRule="exact"/>
        <w:rPr>
          <w:sz w:val="20"/>
          <w:szCs w:val="20"/>
          <w:color w:val="auto"/>
        </w:rPr>
      </w:pPr>
    </w:p>
    <w:p>
      <w:pPr>
        <w:sectPr>
          <w:pgSz w:w="11900" w:h="16838" w:orient="portrait"/>
          <w:cols w:equalWidth="0" w:num="4">
            <w:col w:w="260" w:space="200"/>
            <w:col w:w="4880" w:space="720"/>
            <w:col w:w="60" w:space="180"/>
            <w:col w:w="4780"/>
          </w:cols>
          <w:pgMar w:left="320" w:top="459" w:right="499" w:bottom="1440" w:gutter="0" w:footer="0" w:header="0"/>
          <w:type w:val="continuous"/>
        </w:sectPr>
      </w:pPr>
    </w:p>
    <w:p>
      <w:pPr>
        <w:ind w:left="460" w:hanging="25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ind w:left="100"/>
              <w:spacing w:after="0"/>
              <w:rPr>
                <w:sz w:val="20"/>
                <w:szCs w:val="20"/>
                <w:color w:val="auto"/>
              </w:rPr>
            </w:pPr>
            <w:r>
              <w:rPr>
                <w:rFonts w:ascii="Arial" w:cs="Arial" w:eastAsia="Arial" w:hAnsi="Arial"/>
                <w:sz w:val="18"/>
                <w:szCs w:val="18"/>
                <w:color w:val="auto"/>
              </w:rPr>
              <w:t>Maturity</w:t>
            </w:r>
          </w:p>
        </w:tc>
        <w:tc>
          <w:tcPr>
            <w:tcW w:w="1280" w:type="dxa"/>
            <w:vAlign w:val="bottom"/>
          </w:tcPr>
          <w:p>
            <w:pPr>
              <w:ind w:left="1120"/>
              <w:spacing w:after="0"/>
              <w:rPr>
                <w:sz w:val="20"/>
                <w:szCs w:val="20"/>
                <w:color w:val="auto"/>
              </w:rPr>
            </w:pPr>
            <w:r>
              <w:rPr>
                <w:rFonts w:ascii="Arial" w:cs="Arial" w:eastAsia="Arial" w:hAnsi="Arial"/>
                <w:sz w:val="18"/>
                <w:szCs w:val="18"/>
                <w:color w:val="auto"/>
              </w:rPr>
              <w:t>•</w:t>
            </w:r>
          </w:p>
        </w:tc>
        <w:tc>
          <w:tcPr>
            <w:tcW w:w="2940" w:type="dxa"/>
            <w:vAlign w:val="bottom"/>
          </w:tcPr>
          <w:p>
            <w:pPr>
              <w:ind w:left="100"/>
              <w:spacing w:after="0"/>
              <w:rPr>
                <w:sz w:val="20"/>
                <w:szCs w:val="20"/>
                <w:color w:val="auto"/>
              </w:rPr>
            </w:pPr>
            <w:r>
              <w:rPr>
                <w:rFonts w:ascii="Arial" w:cs="Arial" w:eastAsia="Arial" w:hAnsi="Arial"/>
                <w:sz w:val="18"/>
                <w:szCs w:val="18"/>
                <w:color w:val="auto"/>
              </w:rPr>
              <w:t>Redemption terms</w:t>
            </w:r>
          </w:p>
        </w:tc>
        <w:tc>
          <w:tcPr>
            <w:tcW w:w="800" w:type="dxa"/>
            <w:vAlign w:val="bottom"/>
          </w:tcPr>
          <w:p>
            <w:pPr>
              <w:ind w:left="640"/>
              <w:spacing w:after="0"/>
              <w:rPr>
                <w:sz w:val="20"/>
                <w:szCs w:val="20"/>
                <w:color w:val="auto"/>
              </w:rPr>
            </w:pPr>
            <w:r>
              <w:rPr>
                <w:rFonts w:ascii="Arial" w:cs="Arial" w:eastAsia="Arial" w:hAnsi="Arial"/>
                <w:sz w:val="18"/>
                <w:szCs w:val="18"/>
                <w:color w:val="auto"/>
              </w:rPr>
              <w:t>•</w:t>
            </w:r>
          </w:p>
        </w:tc>
        <w:tc>
          <w:tcPr>
            <w:tcW w:w="1680" w:type="dxa"/>
            <w:vAlign w:val="bottom"/>
          </w:tcPr>
          <w:p>
            <w:pPr>
              <w:ind w:left="100"/>
              <w:spacing w:after="0"/>
              <w:rPr>
                <w:sz w:val="20"/>
                <w:szCs w:val="20"/>
                <w:color w:val="auto"/>
              </w:rPr>
            </w:pPr>
            <w:r>
              <w:rPr>
                <w:rFonts w:ascii="Arial" w:cs="Arial" w:eastAsia="Arial" w:hAnsi="Arial"/>
                <w:sz w:val="18"/>
                <w:szCs w:val="18"/>
                <w:color w:val="auto"/>
              </w:rPr>
              <w:t>Liquidation amount</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ind w:left="100"/>
              <w:spacing w:after="0"/>
              <w:rPr>
                <w:sz w:val="20"/>
                <w:szCs w:val="20"/>
                <w:color w:val="auto"/>
              </w:rPr>
            </w:pPr>
            <w:r>
              <w:rPr>
                <w:rFonts w:ascii="Arial" w:cs="Arial" w:eastAsia="Arial" w:hAnsi="Arial"/>
                <w:sz w:val="18"/>
                <w:szCs w:val="18"/>
                <w:color w:val="auto"/>
              </w:rPr>
              <w:t>Interest rate</w:t>
            </w:r>
          </w:p>
        </w:tc>
        <w:tc>
          <w:tcPr>
            <w:tcW w:w="4220" w:type="dxa"/>
            <w:vAlign w:val="bottom"/>
            <w:gridSpan w:val="2"/>
          </w:tcPr>
          <w:p>
            <w:pPr>
              <w:ind w:left="1120"/>
              <w:spacing w:after="0"/>
              <w:rPr>
                <w:sz w:val="20"/>
                <w:szCs w:val="20"/>
                <w:color w:val="auto"/>
              </w:rPr>
            </w:pPr>
            <w:r>
              <w:rPr>
                <w:rFonts w:ascii="Arial" w:cs="Arial" w:eastAsia="Arial" w:hAnsi="Arial"/>
                <w:sz w:val="18"/>
                <w:szCs w:val="18"/>
                <w:color w:val="auto"/>
              </w:rPr>
              <w:t>•  Listing on a security exchange</w:t>
            </w:r>
          </w:p>
        </w:tc>
        <w:tc>
          <w:tcPr>
            <w:tcW w:w="800" w:type="dxa"/>
            <w:vAlign w:val="bottom"/>
          </w:tcPr>
          <w:p>
            <w:pPr>
              <w:ind w:left="640"/>
              <w:spacing w:after="0"/>
              <w:rPr>
                <w:sz w:val="20"/>
                <w:szCs w:val="20"/>
                <w:color w:val="auto"/>
              </w:rPr>
            </w:pPr>
            <w:r>
              <w:rPr>
                <w:rFonts w:ascii="Arial" w:cs="Arial" w:eastAsia="Arial" w:hAnsi="Arial"/>
                <w:sz w:val="18"/>
                <w:szCs w:val="18"/>
                <w:color w:val="auto"/>
              </w:rPr>
              <w:t>•</w:t>
            </w:r>
          </w:p>
        </w:tc>
        <w:tc>
          <w:tcPr>
            <w:tcW w:w="1680" w:type="dxa"/>
            <w:vAlign w:val="bottom"/>
          </w:tcPr>
          <w:p>
            <w:pPr>
              <w:ind w:left="100"/>
              <w:spacing w:after="0"/>
              <w:rPr>
                <w:sz w:val="20"/>
                <w:szCs w:val="20"/>
                <w:color w:val="auto"/>
              </w:rPr>
            </w:pPr>
            <w:r>
              <w:rPr>
                <w:rFonts w:ascii="Arial" w:cs="Arial" w:eastAsia="Arial" w:hAnsi="Arial"/>
                <w:sz w:val="18"/>
                <w:szCs w:val="18"/>
                <w:color w:val="auto"/>
                <w:w w:val="87"/>
              </w:rPr>
              <w:t>Subsidiary guarantees</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ind w:left="100"/>
              <w:spacing w:after="0"/>
              <w:rPr>
                <w:sz w:val="20"/>
                <w:szCs w:val="20"/>
                <w:color w:val="auto"/>
              </w:rPr>
            </w:pPr>
            <w:r>
              <w:rPr>
                <w:rFonts w:ascii="Arial" w:cs="Arial" w:eastAsia="Arial" w:hAnsi="Arial"/>
                <w:sz w:val="18"/>
                <w:szCs w:val="18"/>
                <w:color w:val="auto"/>
              </w:rPr>
              <w:t>Currency of payments</w:t>
            </w:r>
          </w:p>
        </w:tc>
        <w:tc>
          <w:tcPr>
            <w:tcW w:w="4220" w:type="dxa"/>
            <w:vAlign w:val="bottom"/>
            <w:gridSpan w:val="2"/>
          </w:tcPr>
          <w:p>
            <w:pPr>
              <w:ind w:left="1120"/>
              <w:spacing w:after="0"/>
              <w:rPr>
                <w:sz w:val="20"/>
                <w:szCs w:val="20"/>
                <w:color w:val="auto"/>
              </w:rPr>
            </w:pPr>
            <w:r>
              <w:rPr>
                <w:rFonts w:ascii="Arial" w:cs="Arial" w:eastAsia="Arial" w:hAnsi="Arial"/>
                <w:sz w:val="18"/>
                <w:szCs w:val="18"/>
                <w:color w:val="auto"/>
              </w:rPr>
              <w:t>•  Amount payable at maturity</w:t>
            </w:r>
          </w:p>
        </w:tc>
        <w:tc>
          <w:tcPr>
            <w:tcW w:w="800" w:type="dxa"/>
            <w:vAlign w:val="bottom"/>
          </w:tcPr>
          <w:p>
            <w:pPr>
              <w:ind w:left="640"/>
              <w:spacing w:after="0"/>
              <w:rPr>
                <w:sz w:val="20"/>
                <w:szCs w:val="20"/>
                <w:color w:val="auto"/>
              </w:rPr>
            </w:pPr>
            <w:r>
              <w:rPr>
                <w:rFonts w:ascii="Arial" w:cs="Arial" w:eastAsia="Arial" w:hAnsi="Arial"/>
                <w:sz w:val="18"/>
                <w:szCs w:val="18"/>
                <w:color w:val="auto"/>
              </w:rPr>
              <w:t>•</w:t>
            </w:r>
          </w:p>
        </w:tc>
        <w:tc>
          <w:tcPr>
            <w:tcW w:w="1680" w:type="dxa"/>
            <w:vAlign w:val="bottom"/>
          </w:tcPr>
          <w:p>
            <w:pPr>
              <w:ind w:left="100"/>
              <w:spacing w:after="0"/>
              <w:rPr>
                <w:sz w:val="20"/>
                <w:szCs w:val="20"/>
                <w:color w:val="auto"/>
              </w:rPr>
            </w:pPr>
            <w:r>
              <w:rPr>
                <w:rFonts w:ascii="Arial" w:cs="Arial" w:eastAsia="Arial" w:hAnsi="Arial"/>
                <w:sz w:val="18"/>
                <w:szCs w:val="18"/>
                <w:color w:val="auto"/>
              </w:rPr>
              <w:t>Sinking fund terms</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ind w:left="100"/>
              <w:spacing w:after="0"/>
              <w:rPr>
                <w:sz w:val="20"/>
                <w:szCs w:val="20"/>
                <w:color w:val="auto"/>
              </w:rPr>
            </w:pPr>
            <w:r>
              <w:rPr>
                <w:rFonts w:ascii="Arial" w:cs="Arial" w:eastAsia="Arial" w:hAnsi="Arial"/>
                <w:sz w:val="18"/>
                <w:szCs w:val="18"/>
                <w:color w:val="auto"/>
              </w:rPr>
              <w:t>Dividends</w:t>
            </w:r>
          </w:p>
        </w:tc>
        <w:tc>
          <w:tcPr>
            <w:tcW w:w="1280" w:type="dxa"/>
            <w:vAlign w:val="bottom"/>
          </w:tcPr>
          <w:p>
            <w:pPr>
              <w:ind w:left="1120"/>
              <w:spacing w:after="0"/>
              <w:rPr>
                <w:sz w:val="20"/>
                <w:szCs w:val="20"/>
                <w:color w:val="auto"/>
              </w:rPr>
            </w:pPr>
            <w:r>
              <w:rPr>
                <w:rFonts w:ascii="Arial" w:cs="Arial" w:eastAsia="Arial" w:hAnsi="Arial"/>
                <w:sz w:val="18"/>
                <w:szCs w:val="18"/>
                <w:color w:val="auto"/>
              </w:rPr>
              <w:t>•</w:t>
            </w:r>
          </w:p>
        </w:tc>
        <w:tc>
          <w:tcPr>
            <w:tcW w:w="2940" w:type="dxa"/>
            <w:vAlign w:val="bottom"/>
          </w:tcPr>
          <w:p>
            <w:pPr>
              <w:ind w:left="100"/>
              <w:spacing w:after="0"/>
              <w:rPr>
                <w:sz w:val="20"/>
                <w:szCs w:val="20"/>
                <w:color w:val="auto"/>
              </w:rPr>
            </w:pPr>
            <w:r>
              <w:rPr>
                <w:rFonts w:ascii="Arial" w:cs="Arial" w:eastAsia="Arial" w:hAnsi="Arial"/>
                <w:sz w:val="18"/>
                <w:szCs w:val="18"/>
                <w:color w:val="auto"/>
              </w:rPr>
              <w:t>Conversion or exchange rights</w:t>
            </w: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3, 2022, the reported last sale price on The Nasdaq Global Select Market for our common stock was $175.59.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120" w:right="660" w:firstLine="440"/>
        <w:spacing w:after="0" w:line="334"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9 of our Annual Report on Form 10-K for the year ended December 31, 2021,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 w:right="24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date of this prospectus is February 4, 2022</w:t>
      </w:r>
    </w:p>
    <w:p>
      <w:pPr>
        <w:sectPr>
          <w:pgSz w:w="11900" w:h="16838" w:orient="portrait"/>
          <w:cols w:equalWidth="0" w:num="1">
            <w:col w:w="11080"/>
          </w:cols>
          <w:pgMar w:left="320" w:top="459" w:right="49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40" w:type="dxa"/>
            <w:vAlign w:val="bottom"/>
            <w:gridSpan w:val="4"/>
          </w:tcPr>
          <w:p>
            <w:pPr>
              <w:ind w:left="2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64"/>
        </w:trPr>
        <w:tc>
          <w:tcPr>
            <w:tcW w:w="4340" w:type="dxa"/>
            <w:vAlign w:val="bottom"/>
            <w:gridSpan w:val="1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The Company</w:t>
              </w:r>
            </w:hyperlink>
          </w:p>
        </w:tc>
        <w:tc>
          <w:tcPr>
            <w:tcW w:w="232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412"/>
        </w:trPr>
        <w:tc>
          <w:tcPr>
            <w:tcW w:w="4340" w:type="dxa"/>
            <w:vAlign w:val="bottom"/>
            <w:gridSpan w:val="14"/>
            <w:vMerge w:val="continue"/>
          </w:tcPr>
          <w:p>
            <w:pPr>
              <w:spacing w:after="0"/>
              <w:rPr>
                <w:sz w:val="24"/>
                <w:szCs w:val="24"/>
                <w:color w:val="auto"/>
              </w:rPr>
            </w:pPr>
          </w:p>
        </w:tc>
        <w:tc>
          <w:tcPr>
            <w:tcW w:w="2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40" w:type="dxa"/>
            <w:vAlign w:val="bottom"/>
            <w:gridSpan w:val="14"/>
            <w:vMerge w:val="continue"/>
          </w:tcPr>
          <w:p>
            <w:pPr>
              <w:spacing w:after="0"/>
              <w:rPr>
                <w:sz w:val="13"/>
                <w:szCs w:val="13"/>
                <w:color w:val="auto"/>
              </w:rPr>
            </w:pPr>
          </w:p>
        </w:tc>
        <w:tc>
          <w:tcPr>
            <w:tcW w:w="6340" w:type="dxa"/>
            <w:vAlign w:val="bottom"/>
            <w:gridSpan w:val="2"/>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w:t>
              </w:r>
            </w:hyperlink>
          </w:p>
        </w:tc>
        <w:tc>
          <w:tcPr>
            <w:tcW w:w="2700" w:type="dxa"/>
            <w:vAlign w:val="bottom"/>
            <w:gridSpan w:val="6"/>
          </w:tcPr>
          <w:p>
            <w:pPr>
              <w:spacing w:after="0"/>
              <w:rPr>
                <w:sz w:val="18"/>
                <w:szCs w:val="18"/>
                <w:color w:val="auto"/>
              </w:rPr>
            </w:pPr>
          </w:p>
        </w:tc>
        <w:tc>
          <w:tcPr>
            <w:tcW w:w="664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Notice Regarding Forward-Looking Statements</w:t>
              </w:r>
            </w:hyperlink>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920" w:type="dxa"/>
            <w:vAlign w:val="bottom"/>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Description of Capital Stock</w:t>
              </w:r>
            </w:hyperlink>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Description of Debt Securities</w:t>
              </w:r>
            </w:hyperlink>
          </w:p>
        </w:tc>
        <w:tc>
          <w:tcPr>
            <w:tcW w:w="2160" w:type="dxa"/>
            <w:vAlign w:val="bottom"/>
            <w:gridSpan w:val="3"/>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Description of Warrants</w:t>
              </w:r>
            </w:hyperlink>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Description of Units</w:t>
              </w:r>
            </w:hyperlink>
          </w:p>
        </w:tc>
        <w:tc>
          <w:tcPr>
            <w:tcW w:w="2620" w:type="dxa"/>
            <w:vAlign w:val="bottom"/>
            <w:gridSpan w:val="5"/>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Forms of Securities</w:t>
              </w:r>
            </w:hyperlink>
          </w:p>
        </w:tc>
        <w:tc>
          <w:tcPr>
            <w:tcW w:w="2880" w:type="dxa"/>
            <w:vAlign w:val="bottom"/>
            <w:gridSpan w:val="8"/>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Plan of Distribution</w:t>
              </w:r>
            </w:hyperlink>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Validity of Securities</w:t>
              </w:r>
            </w:hyperlink>
          </w:p>
        </w:tc>
        <w:tc>
          <w:tcPr>
            <w:tcW w:w="2820" w:type="dxa"/>
            <w:vAlign w:val="bottom"/>
            <w:gridSpan w:val="7"/>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Experts</w:t>
              </w:r>
            </w:hyperlink>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24" w:lineRule="exact"/>
        <w:rPr>
          <w:sz w:val="20"/>
          <w:szCs w:val="20"/>
          <w:color w:val="auto"/>
        </w:rPr>
      </w:pPr>
    </w:p>
    <w:p>
      <w:pPr>
        <w:jc w:val="both"/>
        <w:ind w:left="120" w:right="620" w:firstLine="440"/>
        <w:spacing w:after="0" w:line="263"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on the SEC’s website www.sec.gov.</w:t>
      </w:r>
    </w:p>
    <w:p>
      <w:pPr>
        <w:spacing w:after="0" w:line="170" w:lineRule="exact"/>
        <w:rPr>
          <w:sz w:val="20"/>
          <w:szCs w:val="20"/>
          <w:color w:val="auto"/>
        </w:rPr>
      </w:pPr>
    </w:p>
    <w:p>
      <w:pPr>
        <w:ind w:left="120" w:right="40" w:firstLine="440"/>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27">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year ended December 31, 2021, filed on February 4, 2022, the Current Report on </w:t>
      </w:r>
      <w:hyperlink r:id="rId28">
        <w:r>
          <w:rPr>
            <w:rFonts w:ascii="Arial" w:cs="Arial" w:eastAsia="Arial" w:hAnsi="Arial"/>
            <w:sz w:val="16"/>
            <w:szCs w:val="16"/>
            <w:u w:val="single" w:color="auto"/>
            <w:color w:val="0000EE"/>
          </w:rPr>
          <w:t>Form 8-K</w:t>
        </w:r>
      </w:hyperlink>
      <w:r>
        <w:rPr>
          <w:rFonts w:ascii="Arial" w:cs="Arial" w:eastAsia="Arial" w:hAnsi="Arial"/>
          <w:sz w:val="16"/>
          <w:szCs w:val="16"/>
          <w:color w:val="auto"/>
        </w:rPr>
        <w:t xml:space="preserve">, filed on January 26, 2022, the description of our common stock contained in our registration statement on </w:t>
      </w:r>
      <w:hyperlink r:id="rId29">
        <w:r>
          <w:rPr>
            <w:rFonts w:ascii="Arial" w:cs="Arial" w:eastAsia="Arial" w:hAnsi="Arial"/>
            <w:sz w:val="16"/>
            <w:szCs w:val="16"/>
            <w:u w:val="single" w:color="auto"/>
            <w:color w:val="0000EE"/>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66" w:lineRule="exact"/>
        <w:rPr>
          <w:rFonts w:ascii="Arial" w:cs="Arial" w:eastAsia="Arial" w:hAnsi="Arial"/>
          <w:sz w:val="16"/>
          <w:szCs w:val="16"/>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4" w:lineRule="exact"/>
        <w:rPr>
          <w:rFonts w:ascii="Arial" w:cs="Arial" w:eastAsia="Arial" w:hAnsi="Arial"/>
          <w:sz w:val="16"/>
          <w:szCs w:val="16"/>
          <w:color w:val="auto"/>
        </w:rPr>
      </w:pPr>
    </w:p>
    <w:p>
      <w:pPr>
        <w:ind w:left="120" w:firstLine="440"/>
        <w:spacing w:after="0" w:line="259" w:lineRule="auto"/>
        <w:rPr>
          <w:sz w:val="20"/>
          <w:szCs w:val="20"/>
          <w:color w:val="auto"/>
        </w:rPr>
      </w:pPr>
      <w:r>
        <w:rPr>
          <w:rFonts w:ascii="Arial" w:cs="Arial" w:eastAsia="Arial" w:hAnsi="Arial"/>
          <w:sz w:val="18"/>
          <w:szCs w:val="18"/>
          <w:color w:val="auto"/>
        </w:rPr>
        <w:t>You may request a copy of these filings at no cost, by writing or telephoning us at: Texas Instruments Incorporated, P.O. Box 660199, MS 8657, Dallas, Texas 75266-0199, Attention: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99" w:lineRule="exact"/>
        <w:rPr>
          <w:rFonts w:ascii="Arial" w:cs="Arial" w:eastAsia="Arial" w:hAnsi="Arial"/>
          <w:sz w:val="16"/>
          <w:szCs w:val="16"/>
          <w:color w:val="auto"/>
        </w:rPr>
      </w:pPr>
    </w:p>
    <w:p>
      <w:pPr>
        <w:jc w:val="center"/>
        <w:ind w:right="-15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rFonts w:ascii="Arial" w:cs="Arial" w:eastAsia="Arial" w:hAnsi="Arial"/>
          <w:sz w:val="16"/>
          <w:szCs w:val="16"/>
          <w:color w:val="auto"/>
        </w:rPr>
      </w:pPr>
    </w:p>
    <w:p>
      <w:pPr>
        <w:ind w:left="120" w:firstLine="440"/>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2" w:lineRule="exact"/>
        <w:rPr>
          <w:rFonts w:ascii="Arial" w:cs="Arial" w:eastAsia="Arial" w:hAnsi="Arial"/>
          <w:sz w:val="16"/>
          <w:szCs w:val="16"/>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rFonts w:ascii="Arial" w:cs="Arial" w:eastAsia="Arial" w:hAnsi="Arial"/>
          <w:sz w:val="16"/>
          <w:szCs w:val="16"/>
          <w:color w:val="auto"/>
        </w:rPr>
      </w:pPr>
    </w:p>
    <w:p>
      <w:pPr>
        <w:ind w:left="1080" w:right="1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58" w:lineRule="exact"/>
        <w:rPr>
          <w:rFonts w:ascii="Arial" w:cs="Arial" w:eastAsia="Arial" w:hAnsi="Arial"/>
          <w:sz w:val="16"/>
          <w:szCs w:val="16"/>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vendors and other third parties ;</w:t>
      </w:r>
    </w:p>
    <w:p>
      <w:pPr>
        <w:spacing w:after="0" w:line="75"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implement and realize opportunities from acquisitions and other strategic, business and organizational changes, or our ability to realize our expectations regarding the amount and timing of associated restructuring charges and cost savings;</w:t>
      </w:r>
    </w:p>
    <w:p>
      <w:pPr>
        <w:spacing w:after="0" w:line="29"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9"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75"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32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of January 25, 2022, there were 923,547,062 shares of common stock outstanding which were held of record by 12,134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85"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Our By-Laws provide that the annual meeting of stockholders shall be held on a date as may be fixed by our board of directors and as stated in a written notice, which must be mailed or delivered to each stockholder at least 10 days prior to any stockholder meeting.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As of January 25, 2022,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 Special meetings of stockholders may also be requested by a stockholder or stockholders who own, individually or in the aggregate, at least 25% of our outstanding common stock, subject to the written notice requirements and exceptions set forth in the By-Laws.</w:t>
      </w:r>
    </w:p>
    <w:p>
      <w:pPr>
        <w:spacing w:after="0" w:line="188"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9"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1080" w:right="320" w:hanging="424"/>
        <w:spacing w:after="0" w:line="308"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1080" w:hanging="424"/>
        <w:spacing w:after="0" w:line="272"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 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5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You should look in the prospectus supplement for any additional or different terms of the debt securities being offered, including the following terms:</w:t>
      </w:r>
    </w:p>
    <w:p>
      <w:pPr>
        <w:spacing w:after="0" w:line="76"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rate or rates, if any, per year, at which the debt securities will bear interest, or the method of determining such rate or rates;</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“attributable debt” in respect of a sale and leaseback transaction means, at the time of determination, the lesser of</w:t>
      </w:r>
    </w:p>
    <w:p>
      <w:pPr>
        <w:spacing w:after="0" w:line="46" w:lineRule="exact"/>
        <w:rPr>
          <w:sz w:val="20"/>
          <w:szCs w:val="20"/>
          <w:color w:val="auto"/>
        </w:rPr>
      </w:pPr>
    </w:p>
    <w:p>
      <w:pPr>
        <w:ind w:left="120" w:right="120" w:hanging="4"/>
        <w:spacing w:after="0" w:line="302" w:lineRule="auto"/>
        <w:tabs>
          <w:tab w:leader="none" w:pos="37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55"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87"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54"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53" w:lineRule="exact"/>
        <w:rPr>
          <w:rFonts w:ascii="Arial" w:cs="Arial" w:eastAsia="Arial" w:hAnsi="Arial"/>
          <w:sz w:val="16"/>
          <w:szCs w:val="16"/>
          <w:color w:val="auto"/>
        </w:rPr>
      </w:pPr>
    </w:p>
    <w:p>
      <w:pPr>
        <w:ind w:left="1080" w:right="2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1080" w:right="40" w:hanging="424"/>
        <w:spacing w:after="0" w:line="275"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81"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63" w:lineRule="exact"/>
        <w:rPr>
          <w:sz w:val="20"/>
          <w:szCs w:val="20"/>
          <w:color w:val="auto"/>
        </w:rPr>
      </w:pPr>
    </w:p>
    <w:p>
      <w:pPr>
        <w:ind w:left="108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1080" w:right="32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540" w:hanging="331"/>
        <w:spacing w:after="0"/>
        <w:tabs>
          <w:tab w:leader="none" w:pos="154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720" w:hanging="331"/>
        <w:spacing w:after="0" w:line="342"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29" w:lineRule="exact"/>
        <w:rPr>
          <w:rFonts w:ascii="Arial" w:cs="Arial" w:eastAsia="Arial" w:hAnsi="Arial"/>
          <w:sz w:val="16"/>
          <w:szCs w:val="16"/>
          <w:color w:val="auto"/>
        </w:rPr>
      </w:pPr>
    </w:p>
    <w:p>
      <w:pPr>
        <w:ind w:left="1080" w:right="120" w:hanging="424"/>
        <w:spacing w:after="0" w:line="286"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65"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i w:val="1"/>
          <w:iCs w:val="1"/>
          <w:color w:val="auto"/>
        </w:rPr>
        <w:t>Exempted Debt</w:t>
      </w:r>
      <w:r>
        <w:rPr>
          <w:rFonts w:ascii="Arial" w:cs="Arial" w:eastAsia="Arial" w:hAnsi="Arial"/>
          <w:sz w:val="17"/>
          <w:szCs w:val="17"/>
          <w:color w:val="auto"/>
        </w:rPr>
        <w:t>. The indenture provides that, notwithstanding the restrictions on mortgages and sale and leaseback transactions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Consolidation, Merger and Sale or Conveyance</w:t>
      </w:r>
      <w:r>
        <w:rPr>
          <w:rFonts w:ascii="Arial" w:cs="Arial" w:eastAsia="Arial" w:hAnsi="Arial"/>
          <w:sz w:val="16"/>
          <w:szCs w:val="16"/>
          <w:color w:val="auto"/>
        </w:rPr>
        <w:t>. We may not consolidate with, merge with or into, or sell, or convey (including by way of lease)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or substantially all of our assets to any person or permit any person to merge with or into us unless:</w:t>
      </w:r>
    </w:p>
    <w:p>
      <w:pPr>
        <w:spacing w:after="0" w:line="116" w:lineRule="exact"/>
        <w:rPr>
          <w:sz w:val="20"/>
          <w:szCs w:val="20"/>
          <w:color w:val="auto"/>
        </w:rPr>
      </w:pPr>
    </w:p>
    <w:p>
      <w:pPr>
        <w:ind w:left="1080" w:right="160" w:hanging="424"/>
        <w:spacing w:after="0" w:line="273"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83" w:lineRule="exact"/>
        <w:rPr>
          <w:rFonts w:ascii="Arial" w:cs="Arial" w:eastAsia="Arial" w:hAnsi="Arial"/>
          <w:sz w:val="17"/>
          <w:szCs w:val="17"/>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ind w:left="1080" w:right="60" w:hanging="424"/>
        <w:spacing w:after="0" w:line="31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 The restrictions in the bullets above shall not be applicable to:</w:t>
      </w:r>
    </w:p>
    <w:p>
      <w:pPr>
        <w:spacing w:after="0" w:line="54" w:lineRule="exact"/>
        <w:rPr>
          <w:rFonts w:ascii="Arial" w:cs="Arial" w:eastAsia="Arial" w:hAnsi="Arial"/>
          <w:sz w:val="16"/>
          <w:szCs w:val="16"/>
          <w:color w:val="auto"/>
        </w:rPr>
      </w:pPr>
    </w:p>
    <w:p>
      <w:pPr>
        <w:ind w:left="1080" w:right="580" w:hanging="424"/>
        <w:spacing w:after="0" w:line="308"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1" w:lineRule="exact"/>
        <w:rPr>
          <w:rFonts w:ascii="Arial" w:cs="Arial" w:eastAsia="Arial" w:hAnsi="Arial"/>
          <w:sz w:val="17"/>
          <w:szCs w:val="17"/>
          <w:color w:val="auto"/>
        </w:rPr>
      </w:pPr>
    </w:p>
    <w:p>
      <w:pPr>
        <w:ind w:left="1080" w:hanging="424"/>
        <w:spacing w:after="0" w:line="273"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merger of us with or into a single direct or indirect wholly owned subsidiary of ours pursuant to Section 251(g) (or any successor provision) of the General Corporation Law of the State of Delaware. 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1080" w:right="22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default in the payment of interest on any debt securities of such series when due and payable, if that default continues for a period of 30 days;</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540" w:right="280" w:hanging="331"/>
        <w:spacing w:after="0" w:line="277"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relief in respect of us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540" w:right="180" w:hanging="331"/>
        <w:spacing w:after="0" w:line="277"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540" w:right="400" w:hanging="331"/>
        <w:spacing w:after="0" w:line="277" w:lineRule="auto"/>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540" w:right="140" w:hanging="331"/>
        <w:spacing w:after="0" w:line="277" w:lineRule="auto"/>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 The default by us under any other debt, including any other series of debt securities, is not a default under the indenture.</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4"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83"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1080" w:right="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1080" w:hanging="424"/>
        <w:spacing w:after="0" w:line="293"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6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77" w:lineRule="exact"/>
        <w:rPr>
          <w:sz w:val="20"/>
          <w:szCs w:val="20"/>
          <w:color w:val="auto"/>
        </w:rPr>
      </w:pPr>
    </w:p>
    <w:p>
      <w:pPr>
        <w:ind w:left="1080" w:right="40" w:hanging="424"/>
        <w:spacing w:after="0" w:line="270"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86"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93"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75"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extends the stated maturity of the principal of, or the time of payment of any installment of interest on, any debt securities of such series;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1080" w:right="70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9" w:lineRule="exact"/>
        <w:rPr>
          <w:rFonts w:ascii="Arial" w:cs="Arial" w:eastAsia="Arial" w:hAnsi="Arial"/>
          <w:sz w:val="18"/>
          <w:szCs w:val="18"/>
          <w:color w:val="auto"/>
        </w:rPr>
      </w:pPr>
    </w:p>
    <w:p>
      <w:pPr>
        <w:ind w:left="5540" w:right="180" w:hanging="4884"/>
        <w:spacing w:after="0" w:line="449" w:lineRule="auto"/>
        <w:tabs>
          <w:tab w:leader="none" w:pos="10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waives a default in respect of a covenant or provision which cannot be modified or amended without the consent of each affected holder. 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7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320" w:top="459" w:right="5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6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or selling security holders may sell the securities being offered hereby in the following manner or any manner specified in a prospectus supplement:</w:t>
      </w:r>
    </w:p>
    <w:p>
      <w:pPr>
        <w:spacing w:after="0" w:line="76"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61"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9"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2021, and the effectiveness of our internal control over financial reporting as of December 31, 2021, as set forth in their reports, which are incorporated by reference into this prospectus and elsewhere in the registration statement. Our financial statements and our management’s assessment of the effectiveness of internal control over financial reporting as of December 31, 2021, are incorporated by reference in reliance on Ernst &amp; Young LLP’s reports, given on their authority as experts in accounting and auditing.</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320" w:top="459" w:right="5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table sets forth the estimated costs and expenses payable by the Registrant in connection with the sale of the securities being registered hereby.</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Amount to be</w:t>
            </w:r>
          </w:p>
        </w:tc>
      </w:tr>
      <w:tr>
        <w:trPr>
          <w:trHeight w:val="171"/>
        </w:trPr>
        <w:tc>
          <w:tcPr>
            <w:tcW w:w="6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Paid</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Printing</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 (including Blue Sky fees)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Rating agency fees</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Miscellaneous</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6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Omitted because the registration fee is being deferred pursuant to Rule 456(b).</w:t>
      </w:r>
    </w:p>
    <w:p>
      <w:pPr>
        <w:spacing w:after="0" w:line="23"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These fees and expenses depend on the securities offered and the number of issuances, and accordingly cannot be estimated at this time.</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Article VI of the Registrant’s By-Laws provides for indemnification by the Registrant of its directors, officers and employees to the fullest extent permitted by the Delaware General Corporation Law.</w:t>
      </w:r>
    </w:p>
    <w:p>
      <w:pPr>
        <w:spacing w:after="0" w:line="17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Article Seventh of the Restated Certificate of Incorporation provides that a director shall not be liable to the Company or its stockholders for monetary damages for breach of fiduciary duty as a director, except to the extent such exemption from liability or limitation thereof is not permitted under the General Corporation Law of the State of Delaware.</w:t>
      </w:r>
    </w:p>
    <w:p>
      <w:pPr>
        <w:spacing w:after="0" w:line="19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65" w:lineRule="exact"/>
        <w:rPr>
          <w:sz w:val="20"/>
          <w:szCs w:val="20"/>
          <w:color w:val="auto"/>
        </w:rPr>
      </w:pPr>
    </w:p>
    <w:p>
      <w:pPr>
        <w:ind w:left="120" w:right="1020" w:firstLine="440"/>
        <w:spacing w:after="0" w:line="277" w:lineRule="auto"/>
        <w:rPr>
          <w:sz w:val="20"/>
          <w:szCs w:val="20"/>
          <w:color w:val="auto"/>
        </w:rPr>
      </w:pPr>
      <w:r>
        <w:rPr>
          <w:rFonts w:ascii="Arial" w:cs="Arial" w:eastAsia="Arial" w:hAnsi="Arial"/>
          <w:sz w:val="18"/>
          <w:szCs w:val="18"/>
          <w:color w:val="auto"/>
        </w:rPr>
        <w:t>The proposed form of Underwriting Agreement incorporated by reference as Exhibit 1.1 to this Registration Statement provides for indemnification of directors and officers of the Registrant by the underwriters against certain liabilities.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40"/>
          </w:cols>
          <w:pgMar w:left="320" w:top="459" w:right="5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following exhibits are filed as part of this Registration Statement: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Exhibit No.</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Document</w:t>
            </w:r>
          </w:p>
        </w:tc>
        <w:tc>
          <w:tcPr>
            <w:tcW w:w="4440" w:type="dxa"/>
            <w:vAlign w:val="bottom"/>
            <w:gridSpan w:val="8"/>
          </w:tcPr>
          <w:p>
            <w:pPr>
              <w:spacing w:after="0"/>
              <w:rPr>
                <w:sz w:val="14"/>
                <w:szCs w:val="14"/>
                <w:color w:val="auto"/>
              </w:rPr>
            </w:pPr>
          </w:p>
        </w:tc>
      </w:tr>
      <w:tr>
        <w:trPr>
          <w:trHeight w:val="277"/>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w w:val="92"/>
              </w:rPr>
            </w:pPr>
            <w:hyperlink r:id="rId53">
              <w:r>
                <w:rPr>
                  <w:rFonts w:ascii="Arial" w:cs="Arial" w:eastAsia="Arial" w:hAnsi="Arial"/>
                  <w:sz w:val="18"/>
                  <w:szCs w:val="18"/>
                  <w:color w:val="0000EE"/>
                  <w:w w:val="92"/>
                </w:rPr>
                <w:t>Form of Underwriting Agreement (incorporated by reference to Exhibit 1.1 of the Registrant’s Registration Statement on Form S-3</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filed February 22, 2019)</w:t>
              </w:r>
            </w:hyperlink>
          </w:p>
        </w:tc>
        <w:tc>
          <w:tcPr>
            <w:tcW w:w="100" w:type="dxa"/>
            <w:vAlign w:val="bottom"/>
            <w:gridSpan w:val="3"/>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3.1</w:t>
            </w:r>
          </w:p>
        </w:tc>
        <w:tc>
          <w:tcPr>
            <w:tcW w:w="7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Restated Certificate of Incorporation of the Registrant, dated April 18, 1985, as amended (incorporated by reference to Exhibit 3(a)</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3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54">
              <w:r>
                <w:rPr>
                  <w:rFonts w:ascii="Arial" w:cs="Arial" w:eastAsia="Arial" w:hAnsi="Arial"/>
                  <w:sz w:val="18"/>
                  <w:szCs w:val="18"/>
                  <w:color w:val="0000EE"/>
                  <w:w w:val="90"/>
                </w:rPr>
                <w:t>of the Registrant’s Annual Report on Form 10-K for the year ended December 31, 2014)</w:t>
              </w:r>
            </w:hyperlink>
          </w:p>
        </w:tc>
        <w:tc>
          <w:tcPr>
            <w:tcW w:w="3120" w:type="dxa"/>
            <w:vAlign w:val="bottom"/>
            <w:tcBorders>
              <w:top w:val="single" w:sz="8" w:color="0000EE"/>
            </w:tcBorders>
            <w:gridSpan w:val="4"/>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4"/>
                <w:szCs w:val="24"/>
                <w:color w:val="auto"/>
              </w:rPr>
            </w:pPr>
          </w:p>
        </w:tc>
        <w:tc>
          <w:tcPr>
            <w:tcW w:w="9480" w:type="dxa"/>
            <w:vAlign w:val="bottom"/>
            <w:tcBorders>
              <w:bottom w:val="single" w:sz="8" w:color="0000EE"/>
            </w:tcBorders>
            <w:gridSpan w:val="15"/>
          </w:tcPr>
          <w:p>
            <w:pPr>
              <w:spacing w:after="0"/>
              <w:rPr>
                <w:rFonts w:ascii="Arial" w:cs="Arial" w:eastAsia="Arial" w:hAnsi="Arial"/>
                <w:sz w:val="18"/>
                <w:szCs w:val="18"/>
                <w:color w:val="0000EE"/>
                <w:w w:val="91"/>
              </w:rPr>
            </w:pPr>
            <w:hyperlink r:id="rId55">
              <w:r>
                <w:rPr>
                  <w:rFonts w:ascii="Arial" w:cs="Arial" w:eastAsia="Arial" w:hAnsi="Arial"/>
                  <w:sz w:val="18"/>
                  <w:szCs w:val="18"/>
                  <w:color w:val="0000EE"/>
                  <w:w w:val="91"/>
                </w:rPr>
                <w:t>By-Laws of the Registrant (incorporated by reference to Exhibit 3 to the Registrant’s Current Report on Form 8-K filed January 26,</w:t>
              </w:r>
            </w:hyperlink>
          </w:p>
        </w:tc>
        <w:tc>
          <w:tcPr>
            <w:tcW w:w="6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55">
              <w:r>
                <w:rPr>
                  <w:rFonts w:ascii="Arial" w:cs="Arial" w:eastAsia="Arial" w:hAnsi="Arial"/>
                  <w:sz w:val="18"/>
                  <w:szCs w:val="18"/>
                  <w:color w:val="0000EE"/>
                  <w:w w:val="86"/>
                </w:rPr>
                <w:t>2022)</w:t>
              </w:r>
            </w:hyperlink>
          </w:p>
        </w:tc>
        <w:tc>
          <w:tcPr>
            <w:tcW w:w="1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4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4.1</w:t>
            </w:r>
          </w:p>
        </w:tc>
        <w:tc>
          <w:tcPr>
            <w:tcW w:w="74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4.2</w:t>
            </w:r>
          </w:p>
        </w:tc>
        <w:tc>
          <w:tcPr>
            <w:tcW w:w="74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auto"/>
              </w:rPr>
              <w:t>Specimen Preferred Stock Certificate*</w:t>
            </w:r>
          </w:p>
        </w:tc>
      </w:tr>
      <w:tr>
        <w:trPr>
          <w:trHeight w:val="283"/>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4.3</w:t>
            </w:r>
          </w:p>
        </w:tc>
        <w:tc>
          <w:tcPr>
            <w:tcW w:w="7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w w:val="93"/>
              </w:rPr>
            </w:pPr>
            <w:hyperlink r:id="rId56">
              <w:r>
                <w:rPr>
                  <w:rFonts w:ascii="Arial" w:cs="Arial" w:eastAsia="Arial" w:hAnsi="Arial"/>
                  <w:sz w:val="18"/>
                  <w:szCs w:val="18"/>
                  <w:color w:val="0000EE"/>
                  <w:w w:val="93"/>
                </w:rPr>
                <w:t>Indenture dated as of May 23, 2011 between Texas Instruments Incorporated, a Delaware corporation, as Issuer and U.S. Bank</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National Association, a National Association, as Trustee (incorporated by reference to Exhibit 4.2 to the Registrant’s Current Report</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40" w:type="dxa"/>
            <w:vAlign w:val="bottom"/>
            <w:gridSpan w:val="17"/>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on Form 8-K filed May 23, 2011)</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4.4</w:t>
            </w:r>
          </w:p>
        </w:tc>
        <w:tc>
          <w:tcPr>
            <w:tcW w:w="7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rPr>
            </w:pPr>
            <w:hyperlink r:id="rId56">
              <w:r>
                <w:rPr>
                  <w:rFonts w:ascii="Arial" w:cs="Arial" w:eastAsia="Arial" w:hAnsi="Arial"/>
                  <w:sz w:val="18"/>
                  <w:szCs w:val="18"/>
                  <w:color w:val="0000EE"/>
                </w:rPr>
                <w:t>Form of Note (included in Exhibit 4.3)</w:t>
              </w:r>
            </w:hyperlink>
          </w:p>
        </w:tc>
      </w:tr>
      <w:tr>
        <w:trPr>
          <w:trHeight w:val="345"/>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4.5</w:t>
            </w:r>
          </w:p>
        </w:tc>
        <w:tc>
          <w:tcPr>
            <w:tcW w:w="740" w:type="dxa"/>
            <w:vAlign w:val="bottom"/>
          </w:tcPr>
          <w:p>
            <w:pPr>
              <w:spacing w:after="0"/>
              <w:rPr>
                <w:sz w:val="24"/>
                <w:szCs w:val="24"/>
                <w:color w:val="auto"/>
              </w:rPr>
            </w:pPr>
          </w:p>
        </w:tc>
        <w:tc>
          <w:tcPr>
            <w:tcW w:w="28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Form of Warrant Agreement*</w:t>
            </w:r>
          </w:p>
        </w:tc>
        <w:tc>
          <w:tcPr>
            <w:tcW w:w="6740" w:type="dxa"/>
            <w:vAlign w:val="bottom"/>
            <w:gridSpan w:val="12"/>
          </w:tcPr>
          <w:p>
            <w:pPr>
              <w:spacing w:after="0"/>
              <w:rPr>
                <w:sz w:val="24"/>
                <w:szCs w:val="24"/>
                <w:color w:val="auto"/>
              </w:rPr>
            </w:pP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4.6</w:t>
            </w:r>
          </w:p>
        </w:tc>
        <w:tc>
          <w:tcPr>
            <w:tcW w:w="74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Arial" w:cs="Arial" w:eastAsia="Arial" w:hAnsi="Arial"/>
                <w:sz w:val="18"/>
                <w:szCs w:val="18"/>
                <w:color w:val="auto"/>
              </w:rPr>
              <w:t>Form of Unit Agreement*</w:t>
            </w:r>
          </w:p>
        </w:tc>
      </w:tr>
      <w:tr>
        <w:trPr>
          <w:trHeight w:val="283"/>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5.1</w:t>
            </w:r>
          </w:p>
        </w:tc>
        <w:tc>
          <w:tcPr>
            <w:tcW w:w="7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Opinion of Davis Polk &amp; Wardwell LLP</w:t>
              </w:r>
            </w:hyperlink>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23.1</w:t>
            </w:r>
          </w:p>
        </w:tc>
        <w:tc>
          <w:tcPr>
            <w:tcW w:w="740" w:type="dxa"/>
            <w:vAlign w:val="bottom"/>
          </w:tcPr>
          <w:p>
            <w:pPr>
              <w:spacing w:after="0"/>
              <w:rPr>
                <w:sz w:val="24"/>
                <w:szCs w:val="24"/>
                <w:color w:val="auto"/>
              </w:rPr>
            </w:pPr>
          </w:p>
        </w:tc>
        <w:tc>
          <w:tcPr>
            <w:tcW w:w="2920" w:type="dxa"/>
            <w:vAlign w:val="bottom"/>
            <w:tcBorders>
              <w:top w:val="single" w:sz="8" w:color="0000EE"/>
            </w:tcBorders>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Consent of Ernst &amp; Young LLP</w:t>
              </w:r>
            </w:hyperlink>
          </w:p>
        </w:tc>
        <w:tc>
          <w:tcPr>
            <w:tcW w:w="6620" w:type="dxa"/>
            <w:vAlign w:val="bottom"/>
            <w:gridSpan w:val="11"/>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23.2</w:t>
            </w:r>
          </w:p>
        </w:tc>
        <w:tc>
          <w:tcPr>
            <w:tcW w:w="740" w:type="dxa"/>
            <w:vAlign w:val="bottom"/>
          </w:tcPr>
          <w:p>
            <w:pPr>
              <w:spacing w:after="0"/>
              <w:rPr>
                <w:sz w:val="24"/>
                <w:szCs w:val="24"/>
                <w:color w:val="auto"/>
              </w:rPr>
            </w:pPr>
          </w:p>
        </w:tc>
        <w:tc>
          <w:tcPr>
            <w:tcW w:w="47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Consent of Davis Polk &amp; Wardwell LLP (included in Exhibit 5.1)</w:t>
              </w:r>
            </w:hyperlink>
          </w:p>
        </w:tc>
        <w:tc>
          <w:tcPr>
            <w:tcW w:w="4800" w:type="dxa"/>
            <w:vAlign w:val="bottom"/>
            <w:gridSpan w:val="9"/>
          </w:tcPr>
          <w:p>
            <w:pPr>
              <w:spacing w:after="0"/>
              <w:rPr>
                <w:sz w:val="24"/>
                <w:szCs w:val="24"/>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24.1</w:t>
            </w:r>
          </w:p>
        </w:tc>
        <w:tc>
          <w:tcPr>
            <w:tcW w:w="740" w:type="dxa"/>
            <w:vAlign w:val="bottom"/>
          </w:tcPr>
          <w:p>
            <w:pPr>
              <w:spacing w:after="0"/>
              <w:rPr>
                <w:sz w:val="24"/>
                <w:szCs w:val="24"/>
                <w:color w:val="auto"/>
              </w:rPr>
            </w:pPr>
          </w:p>
        </w:tc>
        <w:tc>
          <w:tcPr>
            <w:tcW w:w="58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Power of Attorney (included on the signature page of the Registration Statement)</w:t>
              </w:r>
            </w:hyperlink>
          </w:p>
        </w:tc>
        <w:tc>
          <w:tcPr>
            <w:tcW w:w="3680" w:type="dxa"/>
            <w:vAlign w:val="bottom"/>
            <w:gridSpan w:val="6"/>
          </w:tcPr>
          <w:p>
            <w:pPr>
              <w:spacing w:after="0"/>
              <w:rPr>
                <w:sz w:val="24"/>
                <w:szCs w:val="24"/>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25.1</w:t>
            </w:r>
          </w:p>
        </w:tc>
        <w:tc>
          <w:tcPr>
            <w:tcW w:w="7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Statement of Eligibility on Form T-1 of U.S. Bank National Association</w:t>
              </w:r>
            </w:hyperlink>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107.1</w:t>
            </w:r>
          </w:p>
        </w:tc>
        <w:tc>
          <w:tcPr>
            <w:tcW w:w="740" w:type="dxa"/>
            <w:vAlign w:val="bottom"/>
          </w:tcPr>
          <w:p>
            <w:pPr>
              <w:spacing w:after="0"/>
              <w:rPr>
                <w:sz w:val="24"/>
                <w:szCs w:val="24"/>
                <w:color w:val="auto"/>
              </w:rPr>
            </w:pPr>
          </w:p>
        </w:tc>
        <w:tc>
          <w:tcPr>
            <w:tcW w:w="5180" w:type="dxa"/>
            <w:vAlign w:val="bottom"/>
            <w:tcBorders>
              <w:top w:val="single" w:sz="8" w:color="0000EE"/>
            </w:tcBorders>
            <w:gridSpan w:val="1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Calculation of Filing Fee Tables</w:t>
              </w:r>
            </w:hyperlink>
          </w:p>
        </w:tc>
        <w:tc>
          <w:tcPr>
            <w:tcW w:w="4360" w:type="dxa"/>
            <w:vAlign w:val="bottom"/>
            <w:gridSpan w:val="7"/>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by amendment.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undersigned Registrant hereby undertakes:</w:t>
      </w:r>
    </w:p>
    <w:p>
      <w:pPr>
        <w:spacing w:after="0" w:line="117" w:lineRule="exact"/>
        <w:rPr>
          <w:sz w:val="20"/>
          <w:szCs w:val="20"/>
          <w:color w:val="auto"/>
        </w:rPr>
      </w:pPr>
    </w:p>
    <w:p>
      <w:pPr>
        <w:ind w:left="120" w:right="840" w:firstLine="436"/>
        <w:spacing w:after="0" w:line="277"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securities registered hereby, a post-effective amendment to this registration statement:</w:t>
      </w:r>
    </w:p>
    <w:p>
      <w:pPr>
        <w:spacing w:after="0" w:line="62" w:lineRule="exact"/>
        <w:rPr>
          <w:sz w:val="20"/>
          <w:szCs w:val="20"/>
          <w:color w:val="auto"/>
        </w:rPr>
      </w:pPr>
    </w:p>
    <w:p>
      <w:pPr>
        <w:ind w:left="780" w:hanging="224"/>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20" w:right="160" w:firstLine="436"/>
        <w:spacing w:after="0" w:line="255" w:lineRule="auto"/>
        <w:tabs>
          <w:tab w:leader="none" w:pos="82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a 20 percent change in the maximum aggregate offering price set forth in the “Calculation of Registration Fee” table in the effective registration statement;</w:t>
      </w:r>
    </w:p>
    <w:p>
      <w:pPr>
        <w:spacing w:after="0" w:line="170" w:lineRule="exact"/>
        <w:rPr>
          <w:sz w:val="20"/>
          <w:szCs w:val="20"/>
          <w:color w:val="auto"/>
        </w:rPr>
      </w:pPr>
    </w:p>
    <w:p>
      <w:pPr>
        <w:ind w:left="120" w:right="520" w:firstLine="436"/>
        <w:spacing w:after="0" w:line="277" w:lineRule="auto"/>
        <w:tabs>
          <w:tab w:leader="none" w:pos="8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(ii) and (iii) above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with or furnished to the Securities and Exchange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187" w:lineRule="exact"/>
        <w:rPr>
          <w:sz w:val="20"/>
          <w:szCs w:val="20"/>
          <w:color w:val="auto"/>
        </w:rPr>
      </w:pPr>
    </w:p>
    <w:p>
      <w:pPr>
        <w:jc w:val="both"/>
        <w:ind w:left="120" w:right="40" w:firstLine="436"/>
        <w:spacing w:after="0" w:line="263"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3" w:lineRule="exact"/>
        <w:rPr>
          <w:rFonts w:ascii="Arial" w:cs="Arial" w:eastAsia="Arial" w:hAnsi="Arial"/>
          <w:sz w:val="18"/>
          <w:szCs w:val="18"/>
          <w:color w:val="auto"/>
        </w:rPr>
      </w:pPr>
    </w:p>
    <w:p>
      <w:pPr>
        <w:ind w:left="120" w:right="640" w:firstLine="436"/>
        <w:spacing w:after="0" w:line="277"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sz w:val="20"/>
          <w:szCs w:val="20"/>
          <w:color w:val="auto"/>
        </w:rPr>
      </w:pPr>
    </w:p>
    <w:p>
      <w:pPr>
        <w:ind w:left="120" w:right="280" w:firstLine="436"/>
        <w:spacing w:after="0" w:line="277" w:lineRule="auto"/>
        <w:tabs>
          <w:tab w:leader="none" w:pos="8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20" w:firstLine="436"/>
        <w:spacing w:after="0" w:line="269" w:lineRule="auto"/>
        <w:tabs>
          <w:tab w:leader="none" w:pos="845"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2" w:lineRule="exact"/>
        <w:rPr>
          <w:sz w:val="20"/>
          <w:szCs w:val="20"/>
          <w:color w:val="auto"/>
        </w:rPr>
      </w:pPr>
    </w:p>
    <w:p>
      <w:pPr>
        <w:ind w:left="120" w:right="40" w:firstLine="436"/>
        <w:spacing w:after="0" w:line="257"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sz w:val="20"/>
          <w:szCs w:val="20"/>
          <w:color w:val="auto"/>
        </w:rPr>
      </w:pPr>
    </w:p>
    <w:p>
      <w:pPr>
        <w:ind w:left="780" w:hanging="224"/>
        <w:spacing w:after="0"/>
        <w:tabs>
          <w:tab w:leader="none" w:pos="7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120" w:right="640" w:firstLine="436"/>
        <w:spacing w:after="0" w:line="277" w:lineRule="auto"/>
        <w:tabs>
          <w:tab w:leader="none" w:pos="8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36"/>
        <w:spacing w:after="0" w:line="277" w:lineRule="auto"/>
        <w:tabs>
          <w:tab w:leader="none" w:pos="8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860" w:hanging="30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40" w:firstLine="436"/>
        <w:spacing w:after="0" w:line="257" w:lineRule="auto"/>
        <w:tabs>
          <w:tab w:leader="none" w:pos="9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120" w:right="180" w:firstLine="436"/>
        <w:spacing w:after="0" w:line="271" w:lineRule="auto"/>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Dallas, State of Texas, as of February 4, 2022.</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tabs>
          <w:tab w:leader="none" w:pos="77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Rafael R. Lizardi</w:t>
      </w:r>
    </w:p>
    <w:p>
      <w:pPr>
        <w:spacing w:after="0" w:line="23" w:lineRule="exact"/>
        <w:rPr>
          <w:sz w:val="20"/>
          <w:szCs w:val="20"/>
          <w:color w:val="auto"/>
        </w:rPr>
      </w:pPr>
    </w:p>
    <w:p>
      <w:pPr>
        <w:ind w:left="7100"/>
        <w:spacing w:after="0"/>
        <w:tabs>
          <w:tab w:leader="none" w:pos="7720" w:val="left"/>
        </w:tabs>
        <w:rPr>
          <w:sz w:val="20"/>
          <w:szCs w:val="20"/>
          <w:color w:val="auto"/>
        </w:rPr>
      </w:pPr>
      <w:r>
        <w:rPr>
          <w:rFonts w:ascii="Arial" w:cs="Arial" w:eastAsia="Arial" w:hAnsi="Arial"/>
          <w:sz w:val="18"/>
          <w:szCs w:val="18"/>
          <w:color w:val="auto"/>
        </w:rPr>
        <w:t>Title:</w:t>
        <w:tab/>
        <w:t>Senior Vice President and Chief</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Richard K. Templeton, Rafael R. Lizardi, Julie C. Knecht, and Cynthia Hoff Trochu,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7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as of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60" w:type="dxa"/>
            <w:vAlign w:val="bottom"/>
          </w:tcPr>
          <w:p>
            <w:pPr>
              <w:spacing w:after="0"/>
              <w:rPr>
                <w:sz w:val="14"/>
                <w:szCs w:val="14"/>
                <w:color w:val="auto"/>
              </w:rPr>
            </w:pPr>
          </w:p>
        </w:tc>
      </w:tr>
      <w:tr>
        <w:trPr>
          <w:trHeight w:val="426"/>
        </w:trPr>
        <w:tc>
          <w:tcPr>
            <w:tcW w:w="4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/s/ Richard K. Templeton</w:t>
            </w:r>
          </w:p>
        </w:tc>
        <w:tc>
          <w:tcPr>
            <w:tcW w:w="478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Director, Chairman of the Board, President and Chief</w:t>
            </w:r>
          </w:p>
        </w:tc>
        <w:tc>
          <w:tcPr>
            <w:tcW w:w="1720" w:type="dxa"/>
            <w:vAlign w:val="bottom"/>
            <w:gridSpan w:val="3"/>
          </w:tcPr>
          <w:p>
            <w:pPr>
              <w:jc w:val="center"/>
              <w:ind w:left="390"/>
              <w:spacing w:after="0"/>
              <w:rPr>
                <w:sz w:val="20"/>
                <w:szCs w:val="20"/>
                <w:color w:val="auto"/>
              </w:rPr>
            </w:pPr>
            <w:r>
              <w:rPr>
                <w:rFonts w:ascii="Arial" w:cs="Arial" w:eastAsia="Arial" w:hAnsi="Arial"/>
                <w:sz w:val="18"/>
                <w:szCs w:val="18"/>
                <w:color w:val="auto"/>
                <w:w w:val="90"/>
              </w:rPr>
              <w:t>February 4, 2022</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1"/>
              </w:rPr>
              <w:t>Richard K. Templeton</w:t>
            </w:r>
          </w:p>
        </w:tc>
        <w:tc>
          <w:tcPr>
            <w:tcW w:w="4780" w:type="dxa"/>
            <w:vAlign w:val="bottom"/>
            <w:gridSpan w:val="3"/>
          </w:tcPr>
          <w:p>
            <w:pPr>
              <w:ind w:left="1840"/>
              <w:spacing w:after="0"/>
              <w:rPr>
                <w:sz w:val="20"/>
                <w:szCs w:val="20"/>
                <w:color w:val="auto"/>
              </w:rPr>
            </w:pPr>
            <w:r>
              <w:rPr>
                <w:rFonts w:ascii="Arial" w:cs="Arial" w:eastAsia="Arial" w:hAnsi="Arial"/>
                <w:sz w:val="18"/>
                <w:szCs w:val="18"/>
                <w:color w:val="auto"/>
              </w:rPr>
              <w:t>Executive Officer</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Rafael R. Lizardi</w:t>
            </w:r>
          </w:p>
        </w:tc>
        <w:tc>
          <w:tcPr>
            <w:tcW w:w="4780" w:type="dxa"/>
            <w:vAlign w:val="bottom"/>
            <w:gridSpan w:val="3"/>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c>
          <w:tcPr>
            <w:tcW w:w="1720" w:type="dxa"/>
            <w:vAlign w:val="bottom"/>
            <w:gridSpan w:val="3"/>
          </w:tcPr>
          <w:p>
            <w:pPr>
              <w:jc w:val="center"/>
              <w:ind w:left="390"/>
              <w:spacing w:after="0"/>
              <w:rPr>
                <w:sz w:val="20"/>
                <w:szCs w:val="20"/>
                <w:color w:val="auto"/>
              </w:rPr>
            </w:pPr>
            <w:r>
              <w:rPr>
                <w:rFonts w:ascii="Arial" w:cs="Arial" w:eastAsia="Arial" w:hAnsi="Arial"/>
                <w:sz w:val="18"/>
                <w:szCs w:val="18"/>
                <w:color w:val="auto"/>
                <w:w w:val="90"/>
              </w:rPr>
              <w:t>February 4, 2022</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3"/>
              </w:rPr>
              <w:t>Rafael R. Lizardi</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Julie C. Knecht</w:t>
            </w:r>
          </w:p>
        </w:tc>
        <w:tc>
          <w:tcPr>
            <w:tcW w:w="478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Vice President and Chief Accounting Officer</w:t>
            </w:r>
          </w:p>
        </w:tc>
        <w:tc>
          <w:tcPr>
            <w:tcW w:w="1720" w:type="dxa"/>
            <w:vAlign w:val="bottom"/>
            <w:gridSpan w:val="3"/>
          </w:tcPr>
          <w:p>
            <w:pPr>
              <w:jc w:val="center"/>
              <w:ind w:left="390"/>
              <w:spacing w:after="0"/>
              <w:rPr>
                <w:sz w:val="20"/>
                <w:szCs w:val="20"/>
                <w:color w:val="auto"/>
              </w:rPr>
            </w:pPr>
            <w:r>
              <w:rPr>
                <w:rFonts w:ascii="Arial" w:cs="Arial" w:eastAsia="Arial" w:hAnsi="Arial"/>
                <w:sz w:val="18"/>
                <w:szCs w:val="18"/>
                <w:color w:val="auto"/>
                <w:w w:val="90"/>
              </w:rPr>
              <w:t>February 4, 2022</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2"/>
              </w:rPr>
              <w:t>Julie C. Knecht</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6"/>
              </w:rPr>
              <w:t>/s/ Mark A. Blinn</w:t>
            </w:r>
          </w:p>
        </w:tc>
        <w:tc>
          <w:tcPr>
            <w:tcW w:w="478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390"/>
              <w:spacing w:after="0"/>
              <w:rPr>
                <w:sz w:val="20"/>
                <w:szCs w:val="20"/>
                <w:color w:val="auto"/>
              </w:rPr>
            </w:pPr>
            <w:r>
              <w:rPr>
                <w:rFonts w:ascii="Arial" w:cs="Arial" w:eastAsia="Arial" w:hAnsi="Arial"/>
                <w:sz w:val="18"/>
                <w:szCs w:val="18"/>
                <w:color w:val="auto"/>
                <w:w w:val="90"/>
              </w:rPr>
              <w:t>February 4, 2022</w:t>
            </w:r>
          </w:p>
        </w:tc>
      </w:tr>
      <w:tr>
        <w:trPr>
          <w:trHeight w:val="224"/>
        </w:trPr>
        <w:tc>
          <w:tcPr>
            <w:tcW w:w="412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Mark A. Blinn</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Todd M. Bluedorn</w:t>
            </w:r>
          </w:p>
        </w:tc>
        <w:tc>
          <w:tcPr>
            <w:tcW w:w="478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390"/>
              <w:spacing w:after="0"/>
              <w:rPr>
                <w:sz w:val="20"/>
                <w:szCs w:val="20"/>
                <w:color w:val="auto"/>
              </w:rPr>
            </w:pPr>
            <w:r>
              <w:rPr>
                <w:rFonts w:ascii="Arial" w:cs="Arial" w:eastAsia="Arial" w:hAnsi="Arial"/>
                <w:sz w:val="18"/>
                <w:szCs w:val="18"/>
                <w:color w:val="auto"/>
                <w:w w:val="90"/>
              </w:rPr>
              <w:t>February 4, 2022</w:t>
            </w:r>
          </w:p>
        </w:tc>
      </w:tr>
      <w:tr>
        <w:trPr>
          <w:trHeight w:val="224"/>
        </w:trPr>
        <w:tc>
          <w:tcPr>
            <w:tcW w:w="412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Todd M. Bluedorn</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Janet F. Clark</w:t>
            </w:r>
          </w:p>
        </w:tc>
        <w:tc>
          <w:tcPr>
            <w:tcW w:w="478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390"/>
              <w:spacing w:after="0"/>
              <w:rPr>
                <w:sz w:val="20"/>
                <w:szCs w:val="20"/>
                <w:color w:val="auto"/>
              </w:rPr>
            </w:pPr>
            <w:r>
              <w:rPr>
                <w:rFonts w:ascii="Arial" w:cs="Arial" w:eastAsia="Arial" w:hAnsi="Arial"/>
                <w:sz w:val="18"/>
                <w:szCs w:val="18"/>
                <w:color w:val="auto"/>
                <w:w w:val="90"/>
              </w:rPr>
              <w:t>February 4, 2022</w:t>
            </w:r>
          </w:p>
        </w:tc>
      </w:tr>
      <w:tr>
        <w:trPr>
          <w:trHeight w:val="224"/>
        </w:trPr>
        <w:tc>
          <w:tcPr>
            <w:tcW w:w="412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Janet F. Clark</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Carrie S. Cox</w:t>
            </w:r>
          </w:p>
        </w:tc>
        <w:tc>
          <w:tcPr>
            <w:tcW w:w="478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390"/>
              <w:spacing w:after="0"/>
              <w:rPr>
                <w:sz w:val="20"/>
                <w:szCs w:val="20"/>
                <w:color w:val="auto"/>
              </w:rPr>
            </w:pPr>
            <w:r>
              <w:rPr>
                <w:rFonts w:ascii="Arial" w:cs="Arial" w:eastAsia="Arial" w:hAnsi="Arial"/>
                <w:sz w:val="18"/>
                <w:szCs w:val="18"/>
                <w:color w:val="auto"/>
                <w:w w:val="90"/>
              </w:rPr>
              <w:t>February 4, 2022</w:t>
            </w:r>
          </w:p>
        </w:tc>
      </w:tr>
      <w:tr>
        <w:trPr>
          <w:trHeight w:val="224"/>
        </w:trPr>
        <w:tc>
          <w:tcPr>
            <w:tcW w:w="41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Carrie S. Cox</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Martin S. Craighead</w:t>
            </w:r>
          </w:p>
        </w:tc>
        <w:tc>
          <w:tcPr>
            <w:tcW w:w="478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390"/>
              <w:spacing w:after="0"/>
              <w:rPr>
                <w:sz w:val="20"/>
                <w:szCs w:val="20"/>
                <w:color w:val="auto"/>
              </w:rPr>
            </w:pPr>
            <w:r>
              <w:rPr>
                <w:rFonts w:ascii="Arial" w:cs="Arial" w:eastAsia="Arial" w:hAnsi="Arial"/>
                <w:sz w:val="18"/>
                <w:szCs w:val="18"/>
                <w:color w:val="auto"/>
                <w:w w:val="90"/>
              </w:rPr>
              <w:t>February 4, 2022</w:t>
            </w:r>
          </w:p>
        </w:tc>
      </w:tr>
      <w:tr>
        <w:trPr>
          <w:trHeight w:val="224"/>
        </w:trPr>
        <w:tc>
          <w:tcPr>
            <w:tcW w:w="41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Martin S. Craighead</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60" w:type="dxa"/>
            <w:vAlign w:val="bottom"/>
          </w:tcPr>
          <w:p>
            <w:pPr>
              <w:spacing w:after="0"/>
              <w:rPr>
                <w:sz w:val="14"/>
                <w:szCs w:val="14"/>
                <w:color w:val="auto"/>
              </w:rPr>
            </w:pPr>
          </w:p>
        </w:tc>
      </w:tr>
      <w:tr>
        <w:trPr>
          <w:trHeight w:val="425"/>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Jean M. Hobby</w:t>
            </w:r>
          </w:p>
        </w:tc>
        <w:tc>
          <w:tcPr>
            <w:tcW w:w="48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4, 2022</w:t>
            </w:r>
          </w:p>
        </w:tc>
      </w:tr>
      <w:tr>
        <w:trPr>
          <w:trHeight w:val="224"/>
        </w:trPr>
        <w:tc>
          <w:tcPr>
            <w:tcW w:w="41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Jean M. Hobby</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Michael D. Hsu</w:t>
            </w:r>
          </w:p>
        </w:tc>
        <w:tc>
          <w:tcPr>
            <w:tcW w:w="48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4, 2022</w:t>
            </w:r>
          </w:p>
        </w:tc>
      </w:tr>
      <w:tr>
        <w:trPr>
          <w:trHeight w:val="224"/>
        </w:trPr>
        <w:tc>
          <w:tcPr>
            <w:tcW w:w="412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Michael D. Hsu</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5"/>
              </w:rPr>
              <w:t>/s/ Haviv Ilan</w:t>
            </w:r>
          </w:p>
        </w:tc>
        <w:tc>
          <w:tcPr>
            <w:tcW w:w="482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Director, Executive Vice President and Chief Operating</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4, 2022</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6"/>
              </w:rPr>
              <w:t>Haviv Ilan</w:t>
            </w:r>
          </w:p>
        </w:tc>
        <w:tc>
          <w:tcPr>
            <w:tcW w:w="4820" w:type="dxa"/>
            <w:vAlign w:val="bottom"/>
            <w:gridSpan w:val="3"/>
          </w:tcPr>
          <w:p>
            <w:pPr>
              <w:ind w:left="2220"/>
              <w:spacing w:after="0"/>
              <w:rPr>
                <w:sz w:val="20"/>
                <w:szCs w:val="20"/>
                <w:color w:val="auto"/>
              </w:rPr>
            </w:pPr>
            <w:r>
              <w:rPr>
                <w:rFonts w:ascii="Arial" w:cs="Arial" w:eastAsia="Arial" w:hAnsi="Arial"/>
                <w:sz w:val="18"/>
                <w:szCs w:val="18"/>
                <w:color w:val="auto"/>
              </w:rPr>
              <w:t>Officer</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Ronald Kirk</w:t>
            </w:r>
          </w:p>
        </w:tc>
        <w:tc>
          <w:tcPr>
            <w:tcW w:w="48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4, 2022</w:t>
            </w:r>
          </w:p>
        </w:tc>
      </w:tr>
      <w:tr>
        <w:trPr>
          <w:trHeight w:val="224"/>
        </w:trPr>
        <w:tc>
          <w:tcPr>
            <w:tcW w:w="4120" w:type="dxa"/>
            <w:vAlign w:val="bottom"/>
            <w:gridSpan w:val="3"/>
          </w:tcPr>
          <w:p>
            <w:pPr>
              <w:jc w:val="center"/>
              <w:ind w:right="20"/>
              <w:spacing w:after="0"/>
              <w:rPr>
                <w:sz w:val="20"/>
                <w:szCs w:val="20"/>
                <w:color w:val="auto"/>
              </w:rPr>
            </w:pPr>
            <w:r>
              <w:rPr>
                <w:rFonts w:ascii="Arial" w:cs="Arial" w:eastAsia="Arial" w:hAnsi="Arial"/>
                <w:sz w:val="18"/>
                <w:szCs w:val="18"/>
                <w:color w:val="auto"/>
                <w:w w:val="96"/>
              </w:rPr>
              <w:t>Ronald Kirk</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Pamela H. Patsley</w:t>
            </w:r>
          </w:p>
        </w:tc>
        <w:tc>
          <w:tcPr>
            <w:tcW w:w="48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4, 2022</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89"/>
              </w:rPr>
              <w:t>Pamela H. Patsley</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7"/>
              </w:rPr>
              <w:t>/s/ Robert E. Sanchez</w:t>
            </w:r>
          </w:p>
        </w:tc>
        <w:tc>
          <w:tcPr>
            <w:tcW w:w="48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February 4, 2022</w:t>
            </w:r>
          </w:p>
        </w:tc>
      </w:tr>
      <w:tr>
        <w:trPr>
          <w:trHeight w:val="224"/>
        </w:trPr>
        <w:tc>
          <w:tcPr>
            <w:tcW w:w="412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Robert E. Sanchez</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ectPr>
          <w:pgSz w:w="11900" w:h="16838" w:orient="portrait"/>
          <w:cols w:equalWidth="0" w:num="1">
            <w:col w:w="10740"/>
          </w:cols>
          <w:pgMar w:left="320" w:top="459" w:right="8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89979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899795" cy="171450"/>
                    </a:xfrm>
                    <a:prstGeom prst="rect">
                      <a:avLst/>
                    </a:prstGeom>
                    <a:noFill/>
                  </pic:spPr>
                </pic:pic>
              </a:graphicData>
            </a:graphic>
          </wp:anchor>
        </w:drawing>
      </w:r>
    </w:p>
    <w:p>
      <w:pPr>
        <w:spacing w:after="0" w:line="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1600 El Camino Real</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davispolk.com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February 4, 2022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Texas Instruments Incorporated,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is filing with the Securities and Exchange Commission a Registration Statement on Form S-3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for the purpose of registering under the Securities Act of 1933, as amended (the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(a) shares of common stock, par value $1.00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(b) shares of preferred stock, par value $25.00</w:t>
      </w:r>
      <w:r>
        <w:rPr>
          <w:rFonts w:ascii="Arial" w:cs="Arial" w:eastAsia="Arial" w:hAnsi="Arial"/>
          <w:sz w:val="17"/>
          <w:szCs w:val="17"/>
          <w:b w:val="1"/>
          <w:bCs w:val="1"/>
          <w:color w:val="auto"/>
        </w:rPr>
        <w:t xml:space="preserve"> </w:t>
      </w:r>
      <w:r>
        <w:rPr>
          <w:rFonts w:ascii="Arial" w:cs="Arial" w:eastAsia="Arial" w:hAnsi="Arial"/>
          <w:sz w:val="17"/>
          <w:szCs w:val="17"/>
          <w:color w:val="auto"/>
        </w:rPr>
        <w:t>per share (the “</w:t>
      </w:r>
      <w:r>
        <w:rPr>
          <w:rFonts w:ascii="Arial" w:cs="Arial" w:eastAsia="Arial" w:hAnsi="Arial"/>
          <w:sz w:val="17"/>
          <w:szCs w:val="17"/>
          <w:b w:val="1"/>
          <w:bCs w:val="1"/>
          <w:color w:val="auto"/>
        </w:rPr>
        <w:t>Preferred Stock</w:t>
      </w:r>
      <w:r>
        <w:rPr>
          <w:rFonts w:ascii="Arial" w:cs="Arial" w:eastAsia="Arial" w:hAnsi="Arial"/>
          <w:sz w:val="17"/>
          <w:szCs w:val="17"/>
          <w:color w:val="auto"/>
        </w:rPr>
        <w:t>”) of the Company; (c) the Company’s debt securities (the “</w:t>
      </w:r>
      <w:r>
        <w:rPr>
          <w:rFonts w:ascii="Arial" w:cs="Arial" w:eastAsia="Arial" w:hAnsi="Arial"/>
          <w:sz w:val="17"/>
          <w:szCs w:val="17"/>
          <w:b w:val="1"/>
          <w:bCs w:val="1"/>
          <w:color w:val="auto"/>
        </w:rPr>
        <w:t>Debt Securities</w:t>
      </w:r>
      <w:r>
        <w:rPr>
          <w:rFonts w:ascii="Arial" w:cs="Arial" w:eastAsia="Arial" w:hAnsi="Arial"/>
          <w:sz w:val="17"/>
          <w:szCs w:val="17"/>
          <w:color w:val="auto"/>
        </w:rPr>
        <w:t>”), which may be issued pursuant to an indenture dated May 23, 2011 between the Company and U.S. Bank National Association, a National Association, as trustee (the “</w:t>
      </w:r>
      <w:r>
        <w:rPr>
          <w:rFonts w:ascii="Arial" w:cs="Arial" w:eastAsia="Arial" w:hAnsi="Arial"/>
          <w:sz w:val="17"/>
          <w:szCs w:val="17"/>
          <w:b w:val="1"/>
          <w:bCs w:val="1"/>
          <w:color w:val="auto"/>
        </w:rPr>
        <w:t>Debt Trustee</w:t>
      </w:r>
      <w:r>
        <w:rPr>
          <w:rFonts w:ascii="Arial" w:cs="Arial" w:eastAsia="Arial" w:hAnsi="Arial"/>
          <w:sz w:val="17"/>
          <w:szCs w:val="17"/>
          <w:color w:val="auto"/>
        </w:rPr>
        <w:t>”) (the “</w:t>
      </w:r>
      <w:r>
        <w:rPr>
          <w:rFonts w:ascii="Arial" w:cs="Arial" w:eastAsia="Arial" w:hAnsi="Arial"/>
          <w:sz w:val="17"/>
          <w:szCs w:val="17"/>
          <w:b w:val="1"/>
          <w:bCs w:val="1"/>
          <w:color w:val="auto"/>
        </w:rPr>
        <w:t>Indenture</w:t>
      </w:r>
      <w:r>
        <w:rPr>
          <w:rFonts w:ascii="Arial" w:cs="Arial" w:eastAsia="Arial" w:hAnsi="Arial"/>
          <w:sz w:val="17"/>
          <w:szCs w:val="17"/>
          <w:color w:val="auto"/>
        </w:rPr>
        <w:t>”); (d) warrants of the Company (the “</w:t>
      </w:r>
      <w:r>
        <w:rPr>
          <w:rFonts w:ascii="Arial" w:cs="Arial" w:eastAsia="Arial" w:hAnsi="Arial"/>
          <w:sz w:val="17"/>
          <w:szCs w:val="17"/>
          <w:b w:val="1"/>
          <w:bCs w:val="1"/>
          <w:color w:val="auto"/>
        </w:rPr>
        <w:t>Warrants</w:t>
      </w:r>
      <w:r>
        <w:rPr>
          <w:rFonts w:ascii="Arial" w:cs="Arial" w:eastAsia="Arial" w:hAnsi="Arial"/>
          <w:sz w:val="17"/>
          <w:szCs w:val="17"/>
          <w:color w:val="auto"/>
        </w:rPr>
        <w:t>”), which may be issued under one or more warrant agreements (each, a “</w:t>
      </w:r>
      <w:r>
        <w:rPr>
          <w:rFonts w:ascii="Arial" w:cs="Arial" w:eastAsia="Arial" w:hAnsi="Arial"/>
          <w:sz w:val="17"/>
          <w:szCs w:val="17"/>
          <w:b w:val="1"/>
          <w:bCs w:val="1"/>
          <w:color w:val="auto"/>
        </w:rPr>
        <w:t>Warrant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to be entered into between the Company and the warrant agent to be named therein (the “</w:t>
      </w:r>
      <w:r>
        <w:rPr>
          <w:rFonts w:ascii="Arial" w:cs="Arial" w:eastAsia="Arial" w:hAnsi="Arial"/>
          <w:sz w:val="17"/>
          <w:szCs w:val="17"/>
          <w:b w:val="1"/>
          <w:bCs w:val="1"/>
          <w:color w:val="auto"/>
        </w:rPr>
        <w:t>Warrant Agent</w:t>
      </w:r>
      <w:r>
        <w:rPr>
          <w:rFonts w:ascii="Arial" w:cs="Arial" w:eastAsia="Arial" w:hAnsi="Arial"/>
          <w:sz w:val="17"/>
          <w:szCs w:val="17"/>
          <w:color w:val="auto"/>
        </w:rPr>
        <w:t>”); and (e)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Stock, Debt Securities, and Warrants or any combination thereof that may be offered in the form of units (the “</w:t>
      </w:r>
      <w:r>
        <w:rPr>
          <w:rFonts w:ascii="Arial" w:cs="Arial" w:eastAsia="Arial" w:hAnsi="Arial"/>
          <w:sz w:val="17"/>
          <w:szCs w:val="17"/>
          <w:b w:val="1"/>
          <w:bCs w:val="1"/>
          <w:color w:val="auto"/>
        </w:rPr>
        <w:t>Units</w:t>
      </w:r>
      <w:r>
        <w:rPr>
          <w:rFonts w:ascii="Arial" w:cs="Arial" w:eastAsia="Arial" w:hAnsi="Arial"/>
          <w:sz w:val="17"/>
          <w:szCs w:val="17"/>
          <w:color w:val="auto"/>
        </w:rPr>
        <w:t>”) to be issued under one or more unit agreements to be entered into among the Company, a bank or trust company, as unit agent (the “</w:t>
      </w:r>
      <w:r>
        <w:rPr>
          <w:rFonts w:ascii="Arial" w:cs="Arial" w:eastAsia="Arial" w:hAnsi="Arial"/>
          <w:sz w:val="17"/>
          <w:szCs w:val="17"/>
          <w:b w:val="1"/>
          <w:bCs w:val="1"/>
          <w:color w:val="auto"/>
        </w:rPr>
        <w:t>Unit Agent</w:t>
      </w:r>
      <w:r>
        <w:rPr>
          <w:rFonts w:ascii="Arial" w:cs="Arial" w:eastAsia="Arial" w:hAnsi="Arial"/>
          <w:sz w:val="17"/>
          <w:szCs w:val="17"/>
          <w:color w:val="auto"/>
        </w:rPr>
        <w:t>”), and the holders from time to time of the Units (each such unit agreement, a “</w:t>
      </w:r>
      <w:r>
        <w:rPr>
          <w:rFonts w:ascii="Arial" w:cs="Arial" w:eastAsia="Arial" w:hAnsi="Arial"/>
          <w:sz w:val="17"/>
          <w:szCs w:val="17"/>
          <w:b w:val="1"/>
          <w:bCs w:val="1"/>
          <w:color w:val="auto"/>
        </w:rPr>
        <w:t>Unit Agreement</w:t>
      </w:r>
      <w:r>
        <w:rPr>
          <w:rFonts w:ascii="Arial" w:cs="Arial" w:eastAsia="Arial" w:hAnsi="Arial"/>
          <w:sz w:val="17"/>
          <w:szCs w:val="17"/>
          <w:color w:val="auto"/>
        </w:rPr>
        <w:t>”).</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w:t>
      </w:r>
    </w:p>
    <w:p>
      <w:pPr>
        <w:spacing w:after="0" w:line="131" w:lineRule="exact"/>
        <w:rPr>
          <w:sz w:val="20"/>
          <w:szCs w:val="20"/>
          <w:color w:val="auto"/>
        </w:rPr>
      </w:pPr>
    </w:p>
    <w:p>
      <w:pPr>
        <w:ind w:left="960" w:right="60" w:hanging="532"/>
        <w:spacing w:after="0" w:line="25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When the necessary corporate action on the part of the Company has been taken to authorize the issuance and sale of such shares of Common Stock proposed to be sold by the Company, and when such shares of Common Stock are issued and delivered in accordance with the applicable underwriting or other agreement against payment therefor (in excess of par value thereof) or upon conversion or exercise of any security offered under the Registration Statement (the “</w:t>
      </w:r>
      <w:r>
        <w:rPr>
          <w:rFonts w:ascii="Arial" w:cs="Arial" w:eastAsia="Arial" w:hAnsi="Arial"/>
          <w:sz w:val="18"/>
          <w:szCs w:val="18"/>
          <w:b w:val="1"/>
          <w:bCs w:val="1"/>
          <w:color w:val="auto"/>
        </w:rPr>
        <w:t>Offered Security</w:t>
      </w:r>
      <w:r>
        <w:rPr>
          <w:rFonts w:ascii="Arial" w:cs="Arial" w:eastAsia="Arial" w:hAnsi="Arial"/>
          <w:sz w:val="18"/>
          <w:szCs w:val="18"/>
          <w:color w:val="auto"/>
        </w:rPr>
        <w:t>”), in accordance with the terms of such Offered Security or the instrument governing such Offered Security providing for such</w:t>
      </w:r>
    </w:p>
    <w:p>
      <w:pPr>
        <w:sectPr>
          <w:pgSz w:w="11900" w:h="16838" w:orient="portrait"/>
          <w:cols w:equalWidth="0" w:num="1">
            <w:col w:w="11020"/>
          </w:cols>
          <w:pgMar w:left="440" w:top="121" w:right="439" w:bottom="1440" w:gutter="0" w:footer="0" w:header="0"/>
        </w:sectPr>
      </w:pPr>
    </w:p>
    <w:bookmarkStart w:id="32" w:name="page33"/>
    <w:bookmarkEnd w:id="32"/>
    <w:p>
      <w:pPr>
        <w:jc w:val="both"/>
        <w:ind w:left="560"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9154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891540" cy="171450"/>
                    </a:xfrm>
                    <a:prstGeom prst="rect">
                      <a:avLst/>
                    </a:prstGeom>
                    <a:noFill/>
                  </pic:spPr>
                </pic:pic>
              </a:graphicData>
            </a:graphic>
          </wp:anchor>
        </w:drawing>
        <w:t>conversion or exercise as approved by the Board of Directors of the Company, for the consideration approved by such Board of Directors (which consideration is not less than the par value of the Common Stock), such shares of Common Stock will be validly issued, fully-paid and non-assessable.</w:t>
      </w:r>
    </w:p>
    <w:p>
      <w:pPr>
        <w:spacing w:after="0" w:line="89" w:lineRule="exact"/>
        <w:rPr>
          <w:sz w:val="20"/>
          <w:szCs w:val="20"/>
          <w:color w:val="auto"/>
        </w:rPr>
      </w:pPr>
    </w:p>
    <w:p>
      <w:pPr>
        <w:ind w:left="540" w:right="20" w:hanging="532"/>
        <w:spacing w:after="0" w:line="273"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Upon designation of the relative rights, preferences and limitations of any series of Preferred Stock by the Board of Directors of the Company and the proper filing with the Secretary of State of the State of Delaware of a Certificate of Designation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(in excess of par value thereof), such shares of Preferred Stock will be validly issued, fully paid and non-assessable.</w:t>
      </w:r>
    </w:p>
    <w:p>
      <w:pPr>
        <w:spacing w:after="0" w:line="83" w:lineRule="exact"/>
        <w:rPr>
          <w:rFonts w:ascii="Arial" w:cs="Arial" w:eastAsia="Arial" w:hAnsi="Arial"/>
          <w:sz w:val="17"/>
          <w:szCs w:val="17"/>
          <w:color w:val="auto"/>
        </w:rPr>
      </w:pPr>
    </w:p>
    <w:p>
      <w:pPr>
        <w:ind w:left="540" w:hanging="532"/>
        <w:spacing w:after="0" w:line="268"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Assuming the Indenture has been duly authorized, executed and delivered by the Trustee, and when any supplemental indenture to be entered into in connection with the issuance of any Debt Securities has been duly authorized, executed and delivered by the Trustee and the Company; the specific terms of a particular series of Debt Securities have been duly authorized and established in accordance with the Indenture; and such Debt Securities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(x) the effect of fraudulent conveyance, fraudulent transfer or similar provision of applicable law on the conclusions expressed above, (y) the validity, legally binding effect or enforceability of any section of any supplemental indenture that requires or relates to adjustments to the conversion rate at a rate or in an amount that a court would determine in the circumstances under applicable law to be commercially unreasonable or a penalty or forfeiture or (z) the validity, legally binding effect or enforceability of any provision that permits holders to collect any portion of stated principal amount upon acceleration of the Debt Securities to the extent determined to constitute unearned interest.</w:t>
      </w:r>
    </w:p>
    <w:p>
      <w:pPr>
        <w:spacing w:after="0" w:line="91" w:lineRule="exact"/>
        <w:rPr>
          <w:rFonts w:ascii="Arial" w:cs="Arial" w:eastAsia="Arial" w:hAnsi="Arial"/>
          <w:sz w:val="17"/>
          <w:szCs w:val="17"/>
          <w:color w:val="auto"/>
        </w:rPr>
      </w:pPr>
    </w:p>
    <w:p>
      <w:pPr>
        <w:ind w:left="540" w:right="80" w:hanging="532"/>
        <w:spacing w:after="0" w:line="293"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69" w:lineRule="exact"/>
        <w:rPr>
          <w:rFonts w:ascii="Arial" w:cs="Arial" w:eastAsia="Arial" w:hAnsi="Arial"/>
          <w:sz w:val="16"/>
          <w:szCs w:val="16"/>
          <w:color w:val="auto"/>
        </w:rPr>
      </w:pPr>
    </w:p>
    <w:p>
      <w:pPr>
        <w:jc w:val="both"/>
        <w:ind w:left="540" w:hanging="532"/>
        <w:spacing w:after="0" w:line="263"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860" w:top="692" w:right="459" w:bottom="1440" w:gutter="0" w:footer="0" w:header="0"/>
        </w:sectPr>
      </w:pPr>
    </w:p>
    <w:bookmarkStart w:id="33" w:name="page34"/>
    <w:bookmarkEnd w:id="33"/>
    <w:p>
      <w:pPr>
        <w:ind w:left="98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9154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891540" cy="171450"/>
                    </a:xfrm>
                    <a:prstGeom prst="rect">
                      <a:avLst/>
                    </a:prstGeom>
                    <a:noFill/>
                  </pic:spPr>
                </pic:pic>
              </a:graphicData>
            </a:graphic>
          </wp:anchor>
        </w:drawing>
        <w:t>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87"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In connection with the opinions expressed above, we have assumed that, at or prior to the time of the delivery of any such security, (i) the Board of Directors of the Company shall have duly established the terms of such security and duly authorized the issuance and sale of such security and such authorization shall not have been modified or rescinded; (ii) the Company shall remain validly existing as a corporation in good standing under the laws of the State of Delaware; (iii) the Registration Statement shall have become effective and such effectiveness shall not have been terminated or rescinded;</w:t>
      </w:r>
    </w:p>
    <w:p>
      <w:pPr>
        <w:spacing w:after="0" w:line="1" w:lineRule="exact"/>
        <w:rPr>
          <w:sz w:val="20"/>
          <w:szCs w:val="20"/>
          <w:color w:val="auto"/>
        </w:rPr>
      </w:pPr>
    </w:p>
    <w:p>
      <w:pPr>
        <w:ind w:left="4" w:right="20" w:hanging="4"/>
        <w:spacing w:after="0" w:line="269" w:lineRule="auto"/>
        <w:tabs>
          <w:tab w:leader="none" w:pos="309"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Indenture, the Debt Securities, the Warrant Agreement and the Unit Agreement are each valid, binding and enforceable agreements of each party thereto (other than as expressly covered above in respect of the Company); and (v) there shall not have occurred any change in law affecting the validity or enforceability of such security. We have also assumed that (i) the terms of any security whose terms are established subsequent to the date hereof and the issuance, execution, delivery and performance by the Company of any such security (a) require no action by or in respect of, or filing with, any governmental body, agency or official and (b) do not contravene, or constitute a default under, any provision of applicable law or public policy or regulation or any judgment, injunction, order or decree or any agreement or other instrument binding upon the Company and (ii) any Warrant Agreement and Unit Agreement will be governed by the laws of the State of New York.</w:t>
      </w:r>
    </w:p>
    <w:p>
      <w:pPr>
        <w:spacing w:after="0" w:line="180"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We are members of the Bars of the State of New York and the State of California and the foregoing opinion is limited to the laws of the State of New York and the General Corporation Law of the State of Delaware.</w:t>
      </w:r>
    </w:p>
    <w:p>
      <w:pPr>
        <w:spacing w:after="0" w:line="170"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“Validity of Securities” in the prospectus, which is a part of the Registration Statement. In giving this consent, we do not admit that we are in the category of persons whose consent is required under Section 7 of the Securities Act.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/s/ Davis Polk &amp; Wardwell LLP</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692" w:right="4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Texas Instruments Incorporated for the registration of common stock, preferred stock, debt securities, warrants, and units and to the incorporation by reference therein of our reports dated February 4, 2022, with respect to the consolidated financial statements of Texas Instruments Incorporated, and the effectiveness of internal control over financial reporting of Texas Instruments Incorporated included in its Annual Report (Form 10-K) for the year ended December 31, 2021,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February 4,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ectPr>
          <w:pgSz w:w="11900" w:h="16838" w:orient="portrait"/>
          <w:cols w:equalWidth="0" w:num="1">
            <w:col w:w="11020"/>
          </w:cols>
          <w:pgMar w:left="440"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6"/>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24" w:hanging="424"/>
        <w:spacing w:after="0"/>
        <w:tabs>
          <w:tab w:leader="none" w:pos="424" w:val="left"/>
        </w:tabs>
        <w:numPr>
          <w:ilvl w:val="0"/>
          <w:numId w:val="35"/>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6660" w:type="dxa"/>
            <w:vAlign w:val="bottom"/>
            <w:gridSpan w:val="2"/>
          </w:tcPr>
          <w:p>
            <w:pPr>
              <w:jc w:val="right"/>
              <w:ind w:right="637"/>
              <w:spacing w:after="0"/>
              <w:rPr>
                <w:sz w:val="20"/>
                <w:szCs w:val="20"/>
                <w:color w:val="auto"/>
              </w:rPr>
            </w:pPr>
            <w:r>
              <w:rPr>
                <w:rFonts w:ascii="Arial" w:cs="Arial" w:eastAsia="Arial" w:hAnsi="Arial"/>
                <w:sz w:val="18"/>
                <w:szCs w:val="18"/>
                <w:b w:val="1"/>
                <w:bCs w:val="1"/>
                <w:color w:val="auto"/>
              </w:rPr>
              <w:t>31-0841368</w:t>
            </w:r>
          </w:p>
        </w:tc>
        <w:tc>
          <w:tcPr>
            <w:tcW w:w="8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186"/>
        </w:trPr>
        <w:tc>
          <w:tcPr>
            <w:tcW w:w="4340" w:type="dxa"/>
            <w:vAlign w:val="bottom"/>
          </w:tcPr>
          <w:p>
            <w:pPr>
              <w:spacing w:after="0"/>
              <w:rPr>
                <w:sz w:val="16"/>
                <w:szCs w:val="16"/>
                <w:color w:val="auto"/>
              </w:rPr>
            </w:pPr>
          </w:p>
        </w:tc>
        <w:tc>
          <w:tcPr>
            <w:tcW w:w="32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5"/>
              </w:rPr>
              <w:t>I.R.S. Employer Identification No.</w:t>
            </w:r>
          </w:p>
        </w:tc>
        <w:tc>
          <w:tcPr>
            <w:tcW w:w="3480" w:type="dxa"/>
            <w:vAlign w:val="bottom"/>
          </w:tcPr>
          <w:p>
            <w:pPr>
              <w:spacing w:after="0"/>
              <w:rPr>
                <w:sz w:val="16"/>
                <w:szCs w:val="16"/>
                <w:color w:val="auto"/>
              </w:rPr>
            </w:pPr>
          </w:p>
        </w:tc>
      </w:tr>
      <w:tr>
        <w:trPr>
          <w:trHeight w:val="426"/>
        </w:trPr>
        <w:tc>
          <w:tcPr>
            <w:tcW w:w="754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94"/>
              </w:rPr>
              <w:t>800 Nicollet Mall</w:t>
            </w:r>
          </w:p>
        </w:tc>
        <w:tc>
          <w:tcPr>
            <w:tcW w:w="3480" w:type="dxa"/>
            <w:vAlign w:val="bottom"/>
          </w:tcPr>
          <w:p>
            <w:pPr>
              <w:spacing w:after="0"/>
              <w:rPr>
                <w:sz w:val="24"/>
                <w:szCs w:val="24"/>
                <w:color w:val="auto"/>
              </w:rPr>
            </w:pPr>
          </w:p>
        </w:tc>
      </w:tr>
      <w:tr>
        <w:trPr>
          <w:trHeight w:val="225"/>
        </w:trPr>
        <w:tc>
          <w:tcPr>
            <w:tcW w:w="754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90"/>
              </w:rPr>
              <w:t>Minneapolis, Minnesota</w:t>
            </w:r>
          </w:p>
        </w:tc>
        <w:tc>
          <w:tcPr>
            <w:tcW w:w="3480" w:type="dxa"/>
            <w:vAlign w:val="bottom"/>
          </w:tcPr>
          <w:p>
            <w:pPr>
              <w:jc w:val="center"/>
              <w:ind w:right="1800"/>
              <w:spacing w:after="0"/>
              <w:rPr>
                <w:sz w:val="20"/>
                <w:szCs w:val="20"/>
                <w:color w:val="auto"/>
              </w:rPr>
            </w:pPr>
            <w:r>
              <w:rPr>
                <w:rFonts w:ascii="Arial" w:cs="Arial" w:eastAsia="Arial" w:hAnsi="Arial"/>
                <w:sz w:val="18"/>
                <w:szCs w:val="18"/>
                <w:b w:val="1"/>
                <w:bCs w:val="1"/>
                <w:color w:val="auto"/>
                <w:w w:val="87"/>
              </w:rPr>
              <w:t>55402</w:t>
            </w:r>
          </w:p>
        </w:tc>
      </w:tr>
      <w:tr>
        <w:trPr>
          <w:trHeight w:val="186"/>
        </w:trPr>
        <w:tc>
          <w:tcPr>
            <w:tcW w:w="754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80" w:type="dxa"/>
            <w:vAlign w:val="bottom"/>
          </w:tcPr>
          <w:p>
            <w:pPr>
              <w:jc w:val="center"/>
              <w:ind w:right="1800"/>
              <w:spacing w:after="0"/>
              <w:rPr>
                <w:sz w:val="20"/>
                <w:szCs w:val="20"/>
                <w:color w:val="auto"/>
              </w:rPr>
            </w:pPr>
            <w:r>
              <w:rPr>
                <w:rFonts w:ascii="Arial" w:cs="Arial" w:eastAsia="Arial" w:hAnsi="Arial"/>
                <w:sz w:val="14"/>
                <w:szCs w:val="14"/>
                <w:b w:val="1"/>
                <w:bCs w:val="1"/>
                <w:color w:val="auto"/>
                <w:w w:val="98"/>
              </w:rPr>
              <w:t>(Zip Code)</w:t>
            </w:r>
          </w:p>
        </w:tc>
      </w:tr>
      <w:tr>
        <w:trPr>
          <w:trHeight w:val="399"/>
        </w:trPr>
        <w:tc>
          <w:tcPr>
            <w:tcW w:w="4340" w:type="dxa"/>
            <w:vAlign w:val="bottom"/>
          </w:tcPr>
          <w:p>
            <w:pPr>
              <w:spacing w:after="0"/>
              <w:rPr>
                <w:sz w:val="24"/>
                <w:szCs w:val="24"/>
                <w:color w:val="auto"/>
              </w:rPr>
            </w:pPr>
          </w:p>
        </w:tc>
        <w:tc>
          <w:tcPr>
            <w:tcW w:w="320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4"/>
              </w:rPr>
              <w:t>Michael K. Herberger</w:t>
            </w:r>
          </w:p>
        </w:tc>
        <w:tc>
          <w:tcPr>
            <w:tcW w:w="3480" w:type="dxa"/>
            <w:vAlign w:val="bottom"/>
          </w:tcPr>
          <w:p>
            <w:pPr>
              <w:spacing w:after="0"/>
              <w:rPr>
                <w:sz w:val="24"/>
                <w:szCs w:val="24"/>
                <w:color w:val="auto"/>
              </w:rPr>
            </w:pPr>
          </w:p>
        </w:tc>
      </w:tr>
      <w:tr>
        <w:trPr>
          <w:trHeight w:val="216"/>
        </w:trPr>
        <w:tc>
          <w:tcPr>
            <w:tcW w:w="7540" w:type="dxa"/>
            <w:vAlign w:val="bottom"/>
            <w:gridSpan w:val="3"/>
          </w:tcPr>
          <w:p>
            <w:pPr>
              <w:jc w:val="center"/>
              <w:ind w:left="3376"/>
              <w:spacing w:after="0"/>
              <w:rPr>
                <w:sz w:val="20"/>
                <w:szCs w:val="20"/>
                <w:color w:val="auto"/>
              </w:rPr>
            </w:pPr>
            <w:r>
              <w:rPr>
                <w:rFonts w:ascii="Arial" w:cs="Arial" w:eastAsia="Arial" w:hAnsi="Arial"/>
                <w:sz w:val="18"/>
                <w:szCs w:val="18"/>
                <w:b w:val="1"/>
                <w:bCs w:val="1"/>
                <w:color w:val="auto"/>
                <w:w w:val="89"/>
              </w:rPr>
              <w:t>U.S. Bank National Association</w:t>
            </w:r>
          </w:p>
        </w:tc>
        <w:tc>
          <w:tcPr>
            <w:tcW w:w="348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20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0"/>
              </w:rPr>
              <w:t>13737 Noel Road</w:t>
            </w:r>
          </w:p>
        </w:tc>
        <w:tc>
          <w:tcPr>
            <w:tcW w:w="348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20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1"/>
              </w:rPr>
              <w:t>8</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348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20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3"/>
              </w:rPr>
              <w:t>Dallas, TX 75240</w:t>
            </w:r>
          </w:p>
        </w:tc>
        <w:tc>
          <w:tcPr>
            <w:tcW w:w="3480" w:type="dxa"/>
            <w:vAlign w:val="bottom"/>
          </w:tcPr>
          <w:p>
            <w:pPr>
              <w:spacing w:after="0"/>
              <w:rPr>
                <w:sz w:val="18"/>
                <w:szCs w:val="18"/>
                <w:color w:val="auto"/>
              </w:rPr>
            </w:pPr>
          </w:p>
        </w:tc>
      </w:tr>
      <w:tr>
        <w:trPr>
          <w:trHeight w:val="212"/>
        </w:trPr>
        <w:tc>
          <w:tcPr>
            <w:tcW w:w="6660" w:type="dxa"/>
            <w:vAlign w:val="bottom"/>
            <w:gridSpan w:val="2"/>
          </w:tcPr>
          <w:p>
            <w:pPr>
              <w:jc w:val="right"/>
              <w:ind w:right="517"/>
              <w:spacing w:after="0"/>
              <w:rPr>
                <w:sz w:val="20"/>
                <w:szCs w:val="20"/>
                <w:color w:val="auto"/>
              </w:rPr>
            </w:pPr>
            <w:r>
              <w:rPr>
                <w:rFonts w:ascii="Arial" w:cs="Arial" w:eastAsia="Arial" w:hAnsi="Arial"/>
                <w:sz w:val="18"/>
                <w:szCs w:val="18"/>
                <w:b w:val="1"/>
                <w:bCs w:val="1"/>
                <w:color w:val="auto"/>
              </w:rPr>
              <w:t>(972) 581-1612</w:t>
            </w:r>
          </w:p>
        </w:tc>
        <w:tc>
          <w:tcPr>
            <w:tcW w:w="8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186"/>
        </w:trPr>
        <w:tc>
          <w:tcPr>
            <w:tcW w:w="7540" w:type="dxa"/>
            <w:vAlign w:val="bottom"/>
            <w:gridSpan w:val="3"/>
          </w:tcPr>
          <w:p>
            <w:pPr>
              <w:jc w:val="center"/>
              <w:ind w:left="3396"/>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3480" w:type="dxa"/>
            <w:vAlign w:val="bottom"/>
          </w:tcPr>
          <w:p>
            <w:pPr>
              <w:spacing w:after="0"/>
              <w:rPr>
                <w:sz w:val="16"/>
                <w:szCs w:val="16"/>
                <w:color w:val="auto"/>
              </w:rPr>
            </w:pPr>
          </w:p>
        </w:tc>
      </w:tr>
      <w:tr>
        <w:trPr>
          <w:trHeight w:val="336"/>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03"/>
        </w:trPr>
        <w:tc>
          <w:tcPr>
            <w:tcW w:w="7540" w:type="dxa"/>
            <w:vAlign w:val="bottom"/>
            <w:gridSpan w:val="3"/>
          </w:tcPr>
          <w:p>
            <w:pPr>
              <w:jc w:val="center"/>
              <w:ind w:left="3376"/>
              <w:spacing w:after="0"/>
              <w:rPr>
                <w:sz w:val="20"/>
                <w:szCs w:val="20"/>
                <w:color w:val="auto"/>
              </w:rPr>
            </w:pPr>
            <w:r>
              <w:rPr>
                <w:rFonts w:ascii="Arial" w:cs="Arial" w:eastAsia="Arial" w:hAnsi="Arial"/>
                <w:sz w:val="18"/>
                <w:szCs w:val="18"/>
                <w:b w:val="1"/>
                <w:bCs w:val="1"/>
                <w:color w:val="auto"/>
                <w:w w:val="90"/>
              </w:rPr>
              <w:t>Texas Instruments Incorporated</w:t>
            </w:r>
          </w:p>
        </w:tc>
        <w:tc>
          <w:tcPr>
            <w:tcW w:w="3480" w:type="dxa"/>
            <w:vAlign w:val="bottom"/>
          </w:tcPr>
          <w:p>
            <w:pPr>
              <w:spacing w:after="0"/>
              <w:rPr>
                <w:sz w:val="24"/>
                <w:szCs w:val="24"/>
                <w:color w:val="auto"/>
              </w:rPr>
            </w:pPr>
          </w:p>
        </w:tc>
      </w:tr>
      <w:tr>
        <w:trPr>
          <w:trHeight w:val="186"/>
        </w:trPr>
        <w:tc>
          <w:tcPr>
            <w:tcW w:w="4340" w:type="dxa"/>
            <w:vAlign w:val="bottom"/>
          </w:tcPr>
          <w:p>
            <w:pPr>
              <w:spacing w:after="0"/>
              <w:rPr>
                <w:sz w:val="16"/>
                <w:szCs w:val="16"/>
                <w:color w:val="auto"/>
              </w:rPr>
            </w:pPr>
          </w:p>
        </w:tc>
        <w:tc>
          <w:tcPr>
            <w:tcW w:w="32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1"/>
              </w:rPr>
              <w:t>(Issuer with respect to the Securities)</w:t>
            </w:r>
          </w:p>
        </w:tc>
        <w:tc>
          <w:tcPr>
            <w:tcW w:w="3480" w:type="dxa"/>
            <w:vAlign w:val="bottom"/>
          </w:tcPr>
          <w:p>
            <w:pPr>
              <w:spacing w:after="0"/>
              <w:rPr>
                <w:sz w:val="16"/>
                <w:szCs w:val="16"/>
                <w:color w:val="auto"/>
              </w:rPr>
            </w:pPr>
          </w:p>
        </w:tc>
      </w:tr>
      <w:tr>
        <w:trPr>
          <w:trHeight w:val="336"/>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70"/>
        </w:trPr>
        <w:tc>
          <w:tcPr>
            <w:tcW w:w="754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Pr>
          <w:p>
            <w:pPr>
              <w:jc w:val="center"/>
              <w:ind w:right="1800"/>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754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right="180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54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jc w:val="center"/>
              <w:ind w:right="1800"/>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754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92"/>
              </w:rPr>
              <w:t>12500 TI Boulevard</w:t>
            </w:r>
          </w:p>
        </w:tc>
        <w:tc>
          <w:tcPr>
            <w:tcW w:w="3480" w:type="dxa"/>
            <w:vAlign w:val="bottom"/>
          </w:tcPr>
          <w:p>
            <w:pPr>
              <w:spacing w:after="0"/>
              <w:rPr>
                <w:sz w:val="24"/>
                <w:szCs w:val="24"/>
                <w:color w:val="auto"/>
              </w:rPr>
            </w:pPr>
          </w:p>
        </w:tc>
      </w:tr>
      <w:tr>
        <w:trPr>
          <w:trHeight w:val="225"/>
        </w:trPr>
        <w:tc>
          <w:tcPr>
            <w:tcW w:w="754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87"/>
              </w:rPr>
              <w:t>Dallas, Texas</w:t>
            </w:r>
          </w:p>
        </w:tc>
        <w:tc>
          <w:tcPr>
            <w:tcW w:w="3480" w:type="dxa"/>
            <w:vAlign w:val="bottom"/>
          </w:tcPr>
          <w:p>
            <w:pPr>
              <w:jc w:val="center"/>
              <w:ind w:right="1800"/>
              <w:spacing w:after="0"/>
              <w:rPr>
                <w:sz w:val="20"/>
                <w:szCs w:val="20"/>
                <w:color w:val="auto"/>
              </w:rPr>
            </w:pPr>
            <w:r>
              <w:rPr>
                <w:rFonts w:ascii="Arial" w:cs="Arial" w:eastAsia="Arial" w:hAnsi="Arial"/>
                <w:sz w:val="18"/>
                <w:szCs w:val="18"/>
                <w:b w:val="1"/>
                <w:bCs w:val="1"/>
                <w:color w:val="auto"/>
                <w:w w:val="87"/>
              </w:rPr>
              <w:t>75243</w:t>
            </w:r>
          </w:p>
        </w:tc>
      </w:tr>
      <w:tr>
        <w:trPr>
          <w:trHeight w:val="186"/>
        </w:trPr>
        <w:tc>
          <w:tcPr>
            <w:tcW w:w="754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480" w:type="dxa"/>
            <w:vAlign w:val="bottom"/>
          </w:tcPr>
          <w:p>
            <w:pPr>
              <w:jc w:val="center"/>
              <w:ind w:right="1800"/>
              <w:spacing w:after="0"/>
              <w:rPr>
                <w:sz w:val="20"/>
                <w:szCs w:val="20"/>
                <w:color w:val="auto"/>
              </w:rPr>
            </w:pPr>
            <w:r>
              <w:rPr>
                <w:rFonts w:ascii="Arial" w:cs="Arial" w:eastAsia="Arial" w:hAnsi="Arial"/>
                <w:sz w:val="14"/>
                <w:szCs w:val="14"/>
                <w:b w:val="1"/>
                <w:bCs w:val="1"/>
                <w:color w:val="auto"/>
                <w:w w:val="98"/>
              </w:rPr>
              <w:t>(Zip Code)</w:t>
            </w:r>
          </w:p>
        </w:tc>
      </w:tr>
      <w:tr>
        <w:trPr>
          <w:trHeight w:val="336"/>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03"/>
        </w:trPr>
        <w:tc>
          <w:tcPr>
            <w:tcW w:w="4340" w:type="dxa"/>
            <w:vAlign w:val="bottom"/>
          </w:tcPr>
          <w:p>
            <w:pPr>
              <w:spacing w:after="0"/>
              <w:rPr>
                <w:sz w:val="24"/>
                <w:szCs w:val="24"/>
                <w:color w:val="auto"/>
              </w:rPr>
            </w:pPr>
          </w:p>
        </w:tc>
        <w:tc>
          <w:tcPr>
            <w:tcW w:w="320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7"/>
              </w:rPr>
              <w:t>Notes</w:t>
            </w:r>
          </w:p>
        </w:tc>
        <w:tc>
          <w:tcPr>
            <w:tcW w:w="3480" w:type="dxa"/>
            <w:vAlign w:val="bottom"/>
          </w:tcPr>
          <w:p>
            <w:pPr>
              <w:spacing w:after="0"/>
              <w:rPr>
                <w:sz w:val="24"/>
                <w:szCs w:val="24"/>
                <w:color w:val="auto"/>
              </w:rPr>
            </w:pPr>
          </w:p>
        </w:tc>
      </w:tr>
      <w:tr>
        <w:trPr>
          <w:trHeight w:val="186"/>
        </w:trPr>
        <w:tc>
          <w:tcPr>
            <w:tcW w:w="4340" w:type="dxa"/>
            <w:vAlign w:val="bottom"/>
          </w:tcPr>
          <w:p>
            <w:pPr>
              <w:spacing w:after="0"/>
              <w:rPr>
                <w:sz w:val="16"/>
                <w:szCs w:val="16"/>
                <w:color w:val="auto"/>
              </w:rPr>
            </w:pPr>
          </w:p>
        </w:tc>
        <w:tc>
          <w:tcPr>
            <w:tcW w:w="32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3"/>
              </w:rPr>
              <w:t>(Title of the Indenture Securities)</w:t>
            </w:r>
          </w:p>
        </w:tc>
        <w:tc>
          <w:tcPr>
            <w:tcW w:w="3480" w:type="dxa"/>
            <w:vAlign w:val="bottom"/>
          </w:tcPr>
          <w:p>
            <w:pPr>
              <w:spacing w:after="0"/>
              <w:rPr>
                <w:sz w:val="16"/>
                <w:szCs w:val="16"/>
                <w:color w:val="auto"/>
              </w:rPr>
            </w:pPr>
          </w:p>
        </w:tc>
      </w:tr>
      <w:tr>
        <w:trPr>
          <w:trHeight w:val="214"/>
        </w:trPr>
        <w:tc>
          <w:tcPr>
            <w:tcW w:w="4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121" w:right="439" w:bottom="1440" w:gutter="0" w:footer="0" w:header="0"/>
        </w:sectPr>
      </w:pPr>
    </w:p>
    <w:bookmarkStart w:id="36" w:name="page37"/>
    <w:bookmarkEnd w:id="36"/>
    <w:p>
      <w:pPr>
        <w:jc w:val="center"/>
        <w:ind w:right="-4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T-1</w:t>
      </w:r>
    </w:p>
    <w:p>
      <w:pPr>
        <w:spacing w:after="0" w:line="25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 xml:space="preserve">GENERAL INFORMATION. </w:t>
      </w:r>
      <w:r>
        <w:rPr>
          <w:rFonts w:ascii="Arial" w:cs="Arial" w:eastAsia="Arial" w:hAnsi="Arial"/>
          <w:sz w:val="17"/>
          <w:szCs w:val="17"/>
          <w:color w:val="auto"/>
        </w:rPr>
        <w:t>Furnish the following information as to the Trustee.</w:t>
      </w:r>
    </w:p>
    <w:p>
      <w:pPr>
        <w:spacing w:after="0" w:line="135" w:lineRule="exact"/>
        <w:rPr>
          <w:sz w:val="20"/>
          <w:szCs w:val="20"/>
          <w:color w:val="auto"/>
        </w:rPr>
      </w:pPr>
    </w:p>
    <w:p>
      <w:pPr>
        <w:ind w:left="1424" w:right="3940" w:hanging="992"/>
        <w:spacing w:after="0" w:line="258" w:lineRule="auto"/>
        <w:tabs>
          <w:tab w:leader="none" w:pos="96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Name and address of each examining or supervising authority to which it is subject. </w:t>
      </w:r>
      <w:r>
        <w:rPr>
          <w:rFonts w:ascii="Arial" w:cs="Arial" w:eastAsia="Arial" w:hAnsi="Arial"/>
          <w:sz w:val="18"/>
          <w:szCs w:val="18"/>
          <w:color w:val="auto"/>
        </w:rPr>
        <w:t>Comptroller of the Currency</w:t>
      </w:r>
    </w:p>
    <w:p>
      <w:pPr>
        <w:spacing w:after="0" w:line="1"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Washington, D.C .</w:t>
      </w:r>
    </w:p>
    <w:p>
      <w:pPr>
        <w:spacing w:after="0" w:line="116" w:lineRule="exact"/>
        <w:rPr>
          <w:rFonts w:ascii="Arial" w:cs="Arial" w:eastAsia="Arial" w:hAnsi="Arial"/>
          <w:sz w:val="18"/>
          <w:szCs w:val="18"/>
          <w:color w:val="auto"/>
        </w:rPr>
      </w:pPr>
    </w:p>
    <w:p>
      <w:pPr>
        <w:ind w:left="964" w:hanging="532"/>
        <w:spacing w:after="0"/>
        <w:tabs>
          <w:tab w:leader="none" w:pos="96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Yes</w:t>
      </w:r>
    </w:p>
    <w:p>
      <w:pPr>
        <w:spacing w:after="0" w:line="355" w:lineRule="exact"/>
        <w:rPr>
          <w:sz w:val="20"/>
          <w:szCs w:val="20"/>
          <w:color w:val="auto"/>
        </w:rPr>
      </w:pPr>
    </w:p>
    <w:p>
      <w:pPr>
        <w:ind w:left="984" w:right="1500" w:hanging="1431"/>
        <w:spacing w:after="0" w:line="282" w:lineRule="auto"/>
        <w:tabs>
          <w:tab w:leader="none" w:pos="964"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THE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310" w:lineRule="exact"/>
        <w:rPr>
          <w:sz w:val="20"/>
          <w:szCs w:val="20"/>
          <w:color w:val="auto"/>
        </w:rPr>
      </w:pPr>
    </w:p>
    <w:p>
      <w:pPr>
        <w:ind w:left="1304" w:right="360" w:hanging="1308"/>
        <w:spacing w:after="0" w:line="277" w:lineRule="auto"/>
        <w:tabs>
          <w:tab w:leader="none" w:pos="1284"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319"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135" w:lineRule="exact"/>
        <w:rPr>
          <w:sz w:val="20"/>
          <w:szCs w:val="20"/>
          <w:color w:val="auto"/>
        </w:rPr>
      </w:pPr>
    </w:p>
    <w:p>
      <w:pPr>
        <w:ind w:left="964" w:hanging="532"/>
        <w:spacing w:after="0"/>
        <w:tabs>
          <w:tab w:leader="none" w:pos="9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30" w:lineRule="exact"/>
        <w:rPr>
          <w:rFonts w:ascii="Arial" w:cs="Arial" w:eastAsia="Arial" w:hAnsi="Arial"/>
          <w:sz w:val="18"/>
          <w:szCs w:val="18"/>
          <w:color w:val="auto"/>
        </w:rPr>
      </w:pPr>
    </w:p>
    <w:p>
      <w:pPr>
        <w:ind w:left="964" w:hanging="532"/>
        <w:spacing w:after="0" w:line="277" w:lineRule="auto"/>
        <w:tabs>
          <w:tab w:leader="none" w:pos="9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2021 published pursuant to law or the requirements of its supervising or examining authority, attached as Exhibit 7.</w:t>
      </w:r>
    </w:p>
    <w:p>
      <w:pPr>
        <w:spacing w:after="0" w:line="197" w:lineRule="exact"/>
        <w:rPr>
          <w:rFonts w:ascii="Arial" w:cs="Arial" w:eastAsia="Arial" w:hAnsi="Arial"/>
          <w:sz w:val="18"/>
          <w:szCs w:val="18"/>
          <w:color w:val="auto"/>
        </w:rPr>
      </w:pPr>
    </w:p>
    <w:p>
      <w:pPr>
        <w:ind w:left="424" w:right="560" w:hanging="432"/>
        <w:spacing w:after="0" w:line="258"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305(b)(2), Registration Number 333-229783 filed on June 21, 2021.</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0" w:right="49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Dallas, State of Texas on the 21</w:t>
      </w:r>
      <w:r>
        <w:rPr>
          <w:rFonts w:ascii="Arial" w:cs="Arial" w:eastAsia="Arial" w:hAnsi="Arial"/>
          <w:sz w:val="13"/>
          <w:szCs w:val="13"/>
          <w:color w:val="auto"/>
        </w:rPr>
        <w:t>st</w:t>
      </w:r>
      <w:r>
        <w:rPr>
          <w:rFonts w:ascii="Arial" w:cs="Arial" w:eastAsia="Arial" w:hAnsi="Arial"/>
          <w:sz w:val="16"/>
          <w:szCs w:val="16"/>
          <w:color w:val="auto"/>
        </w:rPr>
        <w:t xml:space="preserve"> day of January,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257810</wp:posOffset>
            </wp:positionV>
            <wp:extent cx="2545715" cy="4540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254571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Michael K. Herberger</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38" w:name="page39"/>
    <w:bookmarkEnd w:id="38"/>
    <w:p>
      <w:pPr>
        <w:jc w:val="center"/>
        <w:ind w:right="-10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171450</wp:posOffset>
            </wp:positionV>
            <wp:extent cx="4131945" cy="4800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413194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604"/>
        <w:spacing w:after="0"/>
        <w:rPr>
          <w:sz w:val="20"/>
          <w:szCs w:val="20"/>
          <w:color w:val="auto"/>
        </w:rPr>
      </w:pPr>
      <w:r>
        <w:rPr>
          <w:rFonts w:ascii="Arial" w:cs="Arial" w:eastAsia="Arial" w:hAnsi="Arial"/>
          <w:sz w:val="18"/>
          <w:szCs w:val="18"/>
          <w:b w:val="1"/>
          <w:bCs w:val="1"/>
          <w:color w:val="auto"/>
        </w:rPr>
        <w:t>CERTIFICATE OF CORPORATE EXISTENCE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Michael J. Hsu, Acting Comptroller of the Currency, do hereby certify that:</w:t>
      </w:r>
    </w:p>
    <w:p>
      <w:pPr>
        <w:spacing w:after="0" w:line="117" w:lineRule="exact"/>
        <w:rPr>
          <w:sz w:val="20"/>
          <w:szCs w:val="20"/>
          <w:color w:val="auto"/>
        </w:rPr>
      </w:pPr>
    </w:p>
    <w:p>
      <w:pPr>
        <w:ind w:left="4" w:right="100" w:hanging="4"/>
        <w:spacing w:after="0" w:line="308" w:lineRule="auto"/>
        <w:tabs>
          <w:tab w:leader="none" w:pos="18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46" w:lineRule="exact"/>
        <w:rPr>
          <w:rFonts w:ascii="Arial" w:cs="Arial" w:eastAsia="Arial" w:hAnsi="Arial"/>
          <w:sz w:val="17"/>
          <w:szCs w:val="17"/>
          <w:color w:val="auto"/>
        </w:rPr>
      </w:pPr>
    </w:p>
    <w:p>
      <w:pPr>
        <w:ind w:left="4" w:right="180" w:hanging="4"/>
        <w:spacing w:after="0" w:line="277" w:lineRule="auto"/>
        <w:tabs>
          <w:tab w:leader="none" w:pos="1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170"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IN TESTIMONY WHEREOF, today, July 23, 2021,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2134235</wp:posOffset>
            </wp:positionH>
            <wp:positionV relativeFrom="paragraph">
              <wp:posOffset>134620</wp:posOffset>
            </wp:positionV>
            <wp:extent cx="2726055" cy="548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272605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Acting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168910</wp:posOffset>
            </wp:positionV>
            <wp:extent cx="1551940" cy="15944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155194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4"/>
          </w:cols>
          <w:pgMar w:left="436" w:top="270" w:right="559" w:bottom="1440" w:gutter="0" w:footer="0" w:header="0"/>
        </w:sectPr>
      </w:pPr>
    </w:p>
    <w:bookmarkStart w:id="39" w:name="page40"/>
    <w:bookmarkEnd w:id="39"/>
    <w:p>
      <w:pPr>
        <w:jc w:val="center"/>
        <w:ind w:right="-12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171450</wp:posOffset>
            </wp:positionV>
            <wp:extent cx="4131945" cy="4800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413194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04"/>
        <w:spacing w:after="0"/>
        <w:rPr>
          <w:sz w:val="20"/>
          <w:szCs w:val="20"/>
          <w:color w:val="auto"/>
        </w:rPr>
      </w:pPr>
      <w:r>
        <w:rPr>
          <w:rFonts w:ascii="Arial" w:cs="Arial" w:eastAsia="Arial" w:hAnsi="Arial"/>
          <w:sz w:val="18"/>
          <w:szCs w:val="18"/>
          <w:b w:val="1"/>
          <w:bCs w:val="1"/>
          <w:color w:val="auto"/>
        </w:rPr>
        <w:t>CERTIFICATE OF FIDUCIARY POWERS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Michael J. Hsu, Acting Comptroller of the Currency, do hereby certify that:</w:t>
      </w:r>
    </w:p>
    <w:p>
      <w:pPr>
        <w:spacing w:after="0" w:line="117" w:lineRule="exact"/>
        <w:rPr>
          <w:sz w:val="20"/>
          <w:szCs w:val="20"/>
          <w:color w:val="auto"/>
        </w:rPr>
      </w:pPr>
    </w:p>
    <w:p>
      <w:pPr>
        <w:ind w:left="4" w:right="640" w:hanging="4"/>
        <w:spacing w:after="0" w:line="342" w:lineRule="auto"/>
        <w:tabs>
          <w:tab w:leader="none" w:pos="18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Office of 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23" w:lineRule="exact"/>
        <w:rPr>
          <w:rFonts w:ascii="Arial" w:cs="Arial" w:eastAsia="Arial" w:hAnsi="Arial"/>
          <w:sz w:val="16"/>
          <w:szCs w:val="16"/>
          <w:color w:val="auto"/>
        </w:rPr>
      </w:pPr>
    </w:p>
    <w:p>
      <w:pPr>
        <w:ind w:left="4" w:right="60" w:hanging="4"/>
        <w:spacing w:after="0" w:line="263" w:lineRule="auto"/>
        <w:tabs>
          <w:tab w:leader="none" w:pos="184"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full force and effect on the date of this certificate.</w:t>
      </w:r>
    </w:p>
    <w:p>
      <w:pPr>
        <w:spacing w:after="0" w:line="184"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IN TESTIMONY WHEREOF, today, July 23, 2021,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2134235</wp:posOffset>
            </wp:positionH>
            <wp:positionV relativeFrom="paragraph">
              <wp:posOffset>134620</wp:posOffset>
            </wp:positionV>
            <wp:extent cx="2726055" cy="548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272605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Acting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168910</wp:posOffset>
            </wp:positionV>
            <wp:extent cx="1551940" cy="15944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155194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4"/>
          </w:cols>
          <w:pgMar w:left="436" w:top="270" w:right="5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306070</wp:posOffset>
            </wp:positionV>
            <wp:extent cx="1397000" cy="4546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139700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14605</wp:posOffset>
            </wp:positionV>
            <wp:extent cx="25457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Michael K. Herberger</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9/30/2021</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($000’s)</w:t>
      </w:r>
    </w:p>
    <w:p>
      <w:pPr>
        <w:spacing w:after="0" w:line="248"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9/30/2021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Cash and Balances Due From</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63,715,510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Depository Institutions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148,000,109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w w:val="99"/>
              </w:rPr>
              <w:t>Loans &amp; Lease Financing Receivables</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298,005,995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Assets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6,031,305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13,529,305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27,506,020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0" w:type="dxa"/>
            <w:vAlign w:val="bottom"/>
          </w:tcPr>
          <w:p>
            <w:pPr>
              <w:ind w:left="340"/>
              <w:spacing w:after="0"/>
              <w:rPr>
                <w:sz w:val="20"/>
                <w:szCs w:val="20"/>
                <w:color w:val="auto"/>
              </w:rPr>
            </w:pPr>
            <w:r>
              <w:rPr>
                <w:rFonts w:ascii="Arial" w:cs="Arial" w:eastAsia="Arial" w:hAnsi="Arial"/>
                <w:sz w:val="18"/>
                <w:szCs w:val="18"/>
                <w:b w:val="1"/>
                <w:bCs w:val="1"/>
                <w:color w:val="auto"/>
              </w:rPr>
              <w:t>Total Assets</w:t>
            </w:r>
          </w:p>
        </w:tc>
        <w:tc>
          <w:tcPr>
            <w:tcW w:w="30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556,810,647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Deposits</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449,625,649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 Funds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Treasury Demand Notes</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Trading Liabilities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1,136,642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Other Borrowed Money</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33,001 ,952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Acceptances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Subordinated Notes and Debentures</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14,733,477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0" w:type="dxa"/>
            <w:vAlign w:val="bottom"/>
          </w:tcPr>
          <w:p>
            <w:pPr>
              <w:ind w:left="340"/>
              <w:spacing w:after="0"/>
              <w:rPr>
                <w:sz w:val="20"/>
                <w:szCs w:val="20"/>
                <w:color w:val="auto"/>
              </w:rPr>
            </w:pPr>
            <w:r>
              <w:rPr>
                <w:rFonts w:ascii="Arial" w:cs="Arial" w:eastAsia="Arial" w:hAnsi="Arial"/>
                <w:sz w:val="18"/>
                <w:szCs w:val="18"/>
                <w:b w:val="1"/>
                <w:bCs w:val="1"/>
                <w:color w:val="auto"/>
              </w:rPr>
              <w:t>Total Liabilities</w:t>
            </w:r>
          </w:p>
        </w:tc>
        <w:tc>
          <w:tcPr>
            <w:tcW w:w="30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504,114,595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Common and Preferred Stock</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Surplus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14,266,915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Undivided Profits</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37,606,027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Minority Interest in Subsidiaries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804,910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0" w:type="dxa"/>
            <w:vAlign w:val="bottom"/>
          </w:tcPr>
          <w:p>
            <w:pPr>
              <w:ind w:left="700"/>
              <w:spacing w:after="0"/>
              <w:rPr>
                <w:sz w:val="20"/>
                <w:szCs w:val="20"/>
                <w:color w:val="auto"/>
              </w:rPr>
            </w:pPr>
            <w:r>
              <w:rPr>
                <w:rFonts w:ascii="Arial" w:cs="Arial" w:eastAsia="Arial" w:hAnsi="Arial"/>
                <w:sz w:val="18"/>
                <w:szCs w:val="18"/>
                <w:b w:val="1"/>
                <w:bCs w:val="1"/>
                <w:color w:val="auto"/>
              </w:rPr>
              <w:t>Total Equity Capital</w:t>
            </w:r>
          </w:p>
        </w:tc>
        <w:tc>
          <w:tcPr>
            <w:tcW w:w="30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52,696,052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556,810,647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20" w:type="dxa"/>
            <w:vAlign w:val="bottom"/>
          </w:tcPr>
          <w:p>
            <w:pPr>
              <w:jc w:val="right"/>
              <w:ind w:right="257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107.1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S-3</w:t>
      </w:r>
    </w:p>
    <w:p>
      <w:pPr>
        <w:spacing w:after="0" w:line="25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319"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Proposed</w:t>
            </w: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Maximum</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330"/>
              <w:spacing w:after="0"/>
              <w:rPr>
                <w:sz w:val="20"/>
                <w:szCs w:val="20"/>
                <w:color w:val="auto"/>
              </w:rPr>
            </w:pPr>
            <w:r>
              <w:rPr>
                <w:rFonts w:ascii="Arial" w:cs="Arial" w:eastAsia="Arial" w:hAnsi="Arial"/>
                <w:sz w:val="14"/>
                <w:szCs w:val="14"/>
                <w:b w:val="1"/>
                <w:bCs w:val="1"/>
                <w:color w:val="auto"/>
                <w:w w:val="90"/>
              </w:rPr>
              <w:t>Fee</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Maximum</w:t>
            </w:r>
          </w:p>
        </w:tc>
        <w:tc>
          <w:tcPr>
            <w:tcW w:w="8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18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Security</w:t>
            </w:r>
          </w:p>
        </w:tc>
        <w:tc>
          <w:tcPr>
            <w:tcW w:w="1120" w:type="dxa"/>
            <w:vAlign w:val="bottom"/>
            <w:gridSpan w:val="2"/>
            <w:vMerge w:val="continue"/>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Offering</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Aggregate</w:t>
            </w: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Fee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20" w:type="dxa"/>
            <w:vAlign w:val="bottom"/>
            <w:gridSpan w:val="2"/>
          </w:tcPr>
          <w:p>
            <w:pPr>
              <w:jc w:val="center"/>
              <w:ind w:right="330"/>
              <w:spacing w:after="0" w:line="149" w:lineRule="exact"/>
              <w:rPr>
                <w:sz w:val="20"/>
                <w:szCs w:val="20"/>
                <w:color w:val="auto"/>
              </w:rPr>
            </w:pPr>
            <w:r>
              <w:rPr>
                <w:rFonts w:ascii="Arial" w:cs="Arial" w:eastAsia="Arial" w:hAnsi="Arial"/>
                <w:sz w:val="14"/>
                <w:szCs w:val="14"/>
                <w:b w:val="1"/>
                <w:bCs w:val="1"/>
                <w:color w:val="auto"/>
                <w:w w:val="92"/>
              </w:rPr>
              <w:t>Calculation</w:t>
            </w:r>
          </w:p>
        </w:tc>
        <w:tc>
          <w:tcPr>
            <w:tcW w:w="900" w:type="dxa"/>
            <w:vAlign w:val="bottom"/>
            <w:gridSpan w:val="2"/>
            <w:vMerge w:val="continue"/>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Price Per</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Offering</w:t>
            </w:r>
          </w:p>
        </w:tc>
        <w:tc>
          <w:tcPr>
            <w:tcW w:w="560" w:type="dxa"/>
            <w:vAlign w:val="bottom"/>
            <w:gridSpan w:val="2"/>
            <w:vMerge w:val="continue"/>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1"/>
              </w:rPr>
              <w:t>Type</w:t>
            </w: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Class Title</w:t>
            </w:r>
          </w:p>
        </w:tc>
        <w:tc>
          <w:tcPr>
            <w:tcW w:w="112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8"/>
              </w:rPr>
              <w:t>Rule</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Registered</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Unit</w:t>
            </w:r>
            <w:r>
              <w:rPr>
                <w:rFonts w:ascii="Arial" w:cs="Arial" w:eastAsia="Arial" w:hAnsi="Arial"/>
                <w:sz w:val="12"/>
                <w:szCs w:val="12"/>
                <w:b w:val="1"/>
                <w:bCs w:val="1"/>
                <w:color w:val="auto"/>
              </w:rPr>
              <w:t>(1)</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Rate</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195"/>
        </w:trPr>
        <w:tc>
          <w:tcPr>
            <w:tcW w:w="42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Fees to Be Paid</w:t>
            </w:r>
          </w:p>
        </w:tc>
        <w:tc>
          <w:tcPr>
            <w:tcW w:w="5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Equity</w:t>
            </w: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Common</w:t>
            </w:r>
          </w:p>
        </w:tc>
        <w:tc>
          <w:tcPr>
            <w:tcW w:w="2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ind w:left="440"/>
              <w:spacing w:after="0" w:line="195" w:lineRule="exact"/>
              <w:rPr>
                <w:sz w:val="20"/>
                <w:szCs w:val="20"/>
                <w:color w:val="auto"/>
              </w:rPr>
            </w:pPr>
            <w:r>
              <w:rPr>
                <w:rFonts w:ascii="Arial" w:cs="Arial" w:eastAsia="Arial" w:hAnsi="Arial"/>
                <w:sz w:val="18"/>
                <w:szCs w:val="18"/>
                <w:color w:val="auto"/>
                <w:w w:val="79"/>
              </w:rPr>
              <w:t>457</w:t>
            </w:r>
          </w:p>
        </w:tc>
        <w:tc>
          <w:tcPr>
            <w:tcW w:w="42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(r)</w:t>
            </w: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Stock</w:t>
            </w: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Fees Previously Paid</w:t>
            </w:r>
          </w:p>
        </w:tc>
        <w:tc>
          <w:tcPr>
            <w:tcW w:w="520" w:type="dxa"/>
            <w:vAlign w:val="bottom"/>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180" w:type="dxa"/>
            <w:vAlign w:val="bottom"/>
          </w:tcPr>
          <w:p>
            <w:pPr>
              <w:spacing w:after="0"/>
              <w:rPr>
                <w:sz w:val="17"/>
                <w:szCs w:val="17"/>
                <w:color w:val="auto"/>
              </w:rPr>
            </w:pPr>
          </w:p>
        </w:tc>
        <w:tc>
          <w:tcPr>
            <w:tcW w:w="92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0"/>
              </w:rPr>
              <w:t>Common</w:t>
            </w:r>
          </w:p>
        </w:tc>
        <w:tc>
          <w:tcPr>
            <w:tcW w:w="112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t>
            </w:r>
          </w:p>
        </w:tc>
        <w:tc>
          <w:tcPr>
            <w:tcW w:w="5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Stock</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Fees to Be Paid</w:t>
            </w:r>
          </w:p>
        </w:tc>
        <w:tc>
          <w:tcPr>
            <w:tcW w:w="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w w:val="87"/>
              </w:rPr>
              <w:t>Preferred</w:t>
            </w:r>
          </w:p>
        </w:tc>
        <w:tc>
          <w:tcPr>
            <w:tcW w:w="112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457(r)</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Stock</w:t>
            </w: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Fees Previously Paid</w:t>
            </w:r>
          </w:p>
        </w:tc>
        <w:tc>
          <w:tcPr>
            <w:tcW w:w="520" w:type="dxa"/>
            <w:vAlign w:val="bottom"/>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180" w:type="dxa"/>
            <w:vAlign w:val="bottom"/>
          </w:tcPr>
          <w:p>
            <w:pPr>
              <w:spacing w:after="0"/>
              <w:rPr>
                <w:sz w:val="17"/>
                <w:szCs w:val="17"/>
                <w:color w:val="auto"/>
              </w:rPr>
            </w:pPr>
          </w:p>
        </w:tc>
        <w:tc>
          <w:tcPr>
            <w:tcW w:w="92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87"/>
              </w:rPr>
              <w:t>Preferred</w:t>
            </w:r>
          </w:p>
        </w:tc>
        <w:tc>
          <w:tcPr>
            <w:tcW w:w="112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t>
            </w:r>
          </w:p>
        </w:tc>
        <w:tc>
          <w:tcPr>
            <w:tcW w:w="5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Stock</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Fees to Be Paid</w:t>
            </w:r>
          </w:p>
        </w:tc>
        <w:tc>
          <w:tcPr>
            <w:tcW w:w="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Debt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w w:val="89"/>
              </w:rPr>
              <w:t>Debt</w:t>
            </w:r>
          </w:p>
        </w:tc>
        <w:tc>
          <w:tcPr>
            <w:tcW w:w="112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457(r)</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Securities</w:t>
            </w: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Fees Previously Paid</w:t>
            </w:r>
          </w:p>
        </w:tc>
        <w:tc>
          <w:tcPr>
            <w:tcW w:w="520" w:type="dxa"/>
            <w:vAlign w:val="bottom"/>
          </w:tcPr>
          <w:p>
            <w:pPr>
              <w:jc w:val="center"/>
              <w:spacing w:after="0" w:line="201" w:lineRule="exact"/>
              <w:rPr>
                <w:sz w:val="20"/>
                <w:szCs w:val="20"/>
                <w:color w:val="auto"/>
              </w:rPr>
            </w:pPr>
            <w:r>
              <w:rPr>
                <w:rFonts w:ascii="Arial" w:cs="Arial" w:eastAsia="Arial" w:hAnsi="Arial"/>
                <w:sz w:val="18"/>
                <w:szCs w:val="18"/>
                <w:color w:val="auto"/>
                <w:w w:val="94"/>
              </w:rPr>
              <w:t>Debt</w:t>
            </w:r>
          </w:p>
        </w:tc>
        <w:tc>
          <w:tcPr>
            <w:tcW w:w="180" w:type="dxa"/>
            <w:vAlign w:val="bottom"/>
          </w:tcPr>
          <w:p>
            <w:pPr>
              <w:spacing w:after="0"/>
              <w:rPr>
                <w:sz w:val="17"/>
                <w:szCs w:val="17"/>
                <w:color w:val="auto"/>
              </w:rPr>
            </w:pPr>
          </w:p>
        </w:tc>
        <w:tc>
          <w:tcPr>
            <w:tcW w:w="92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89"/>
              </w:rPr>
              <w:t>Debt</w:t>
            </w:r>
          </w:p>
        </w:tc>
        <w:tc>
          <w:tcPr>
            <w:tcW w:w="112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t>
            </w:r>
          </w:p>
        </w:tc>
        <w:tc>
          <w:tcPr>
            <w:tcW w:w="5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Fees to Be Paid</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Other</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Warrants</w:t>
            </w: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457(r)</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Fees Previously Paid</w:t>
            </w:r>
          </w:p>
        </w:tc>
        <w:tc>
          <w:tcPr>
            <w:tcW w:w="52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18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Warrants</w:t>
            </w: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Fees to Be Paid</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Other</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Units</w:t>
            </w: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457(r)</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Fees Previously Paid</w:t>
            </w:r>
          </w:p>
        </w:tc>
        <w:tc>
          <w:tcPr>
            <w:tcW w:w="52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18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Units</w:t>
            </w: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Total Offering Amounts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20" w:type="dxa"/>
            <w:vAlign w:val="bottom"/>
            <w:gridSpan w:val="5"/>
          </w:tcPr>
          <w:p>
            <w:pPr>
              <w:jc w:val="center"/>
              <w:ind w:left="70"/>
              <w:spacing w:after="0"/>
              <w:rPr>
                <w:sz w:val="20"/>
                <w:szCs w:val="20"/>
                <w:color w:val="auto"/>
              </w:rPr>
            </w:pPr>
            <w:r>
              <w:rPr>
                <w:rFonts w:ascii="Arial" w:cs="Arial" w:eastAsia="Arial" w:hAnsi="Arial"/>
                <w:sz w:val="18"/>
                <w:szCs w:val="18"/>
                <w:b w:val="1"/>
                <w:bCs w:val="1"/>
                <w:color w:val="auto"/>
                <w:w w:val="88"/>
              </w:rPr>
              <w:t>Total Fees Previously Paid</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Total Fee Offsets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Net Fee Due</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24" w:right="80" w:hanging="424"/>
        <w:spacing w:after="0" w:line="263"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indeterminate amount of securities to be offered at indeterminate prices is being registered pursuant to this registration statement. The registrant is deferring payment of the registration fee pursuant to Rule 456(b) and is omitting this information in reliance on Rule 456(b) and Rule 457(r).</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lvl w:ilvl="1">
      <w:lvlJc w:val="left"/>
      <w:lvlText w:val="•"/>
      <w:numFmt w:val="bullet"/>
      <w:start w:val="1"/>
    </w:lvl>
  </w:abstractNum>
  <w:abstractNum w:abstractNumId="9">
    <w:nsid w:val="4353D0CD"/>
    <w:multiLevelType w:val="hybridMultilevel"/>
    <w:lvl w:ilvl="0">
      <w:lvlJc w:val="left"/>
      <w:lvlText w:val="•"/>
      <w:numFmt w:val="bullet"/>
      <w:start w:val="1"/>
    </w:lvl>
    <w:lvl w:ilvl="1">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lvl w:ilvl="1">
      <w:lvlJc w:val="left"/>
      <w:lvlText w:val="•"/>
      <w:numFmt w:val="bullet"/>
      <w:start w:val="1"/>
    </w:lvl>
  </w:abstractNum>
  <w:abstractNum w:abstractNumId="12">
    <w:nsid w:val="54E49EB4"/>
    <w:multiLevelType w:val="hybridMultilevel"/>
    <w:lvl w:ilvl="0">
      <w:lvlJc w:val="left"/>
      <w:lvlText w:val="•"/>
      <w:numFmt w:val="bullet"/>
      <w:start w:val="1"/>
    </w:lvl>
    <w:lvl w:ilvl="1">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lowerRoman"/>
      <w:start w:val="1"/>
    </w:lvl>
  </w:abstractNum>
  <w:abstractNum w:abstractNumId="24">
    <w:nsid w:val="4516DDE9"/>
    <w:multiLevelType w:val="hybridMultilevel"/>
    <w:lvl w:ilvl="0">
      <w:lvlJc w:val="left"/>
      <w:lvlText w:val="(%1)"/>
      <w:numFmt w:val="lowerRoman"/>
      <w:start w:val="3"/>
    </w:lvl>
  </w:abstractNum>
  <w:abstractNum w:abstractNumId="25">
    <w:nsid w:val="3006C83E"/>
    <w:multiLevelType w:val="hybridMultilevel"/>
    <w:lvl w:ilvl="0">
      <w:lvlJc w:val="left"/>
      <w:lvlText w:val="(%1)"/>
      <w:numFmt w:val="decimal"/>
      <w:start w:val="2"/>
    </w:lvl>
  </w:abstractNum>
  <w:abstractNum w:abstractNumId="26">
    <w:nsid w:val="614FD4A1"/>
    <w:multiLevelType w:val="hybridMultilevel"/>
    <w:lvl w:ilvl="0">
      <w:lvlJc w:val="left"/>
      <w:lvlText w:val="(%1)"/>
      <w:numFmt w:val="upperLetter"/>
      <w:start w:val="1"/>
    </w:lvl>
  </w:abstractNum>
  <w:abstractNum w:abstractNumId="27">
    <w:nsid w:val="419AC241"/>
    <w:multiLevelType w:val="hybridMultilevel"/>
    <w:lvl w:ilvl="0">
      <w:lvlJc w:val="left"/>
      <w:lvlText w:val="(%1)"/>
      <w:numFmt w:val="decimal"/>
      <w:start w:val="5"/>
    </w:lvl>
  </w:abstractNum>
  <w:abstractNum w:abstractNumId="28">
    <w:nsid w:val="5577F8E1"/>
    <w:multiLevelType w:val="hybridMultilevel"/>
    <w:lvl w:ilvl="0">
      <w:lvlJc w:val="left"/>
      <w:lvlText w:val="(%1)"/>
      <w:numFmt w:val="lowerRoman"/>
      <w:start w:val="1"/>
    </w:lvl>
  </w:abstractNum>
  <w:abstractNum w:abstractNumId="29">
    <w:nsid w:val="440BADFC"/>
    <w:multiLevelType w:val="hybridMultilevel"/>
    <w:lvl w:ilvl="0">
      <w:lvlJc w:val="left"/>
      <w:lvlText w:val="(%1)"/>
      <w:numFmt w:val="lowerRoman"/>
      <w:start w:val="3"/>
    </w:lvl>
  </w:abstractNum>
  <w:abstractNum w:abstractNumId="30">
    <w:nsid w:val="5072367"/>
    <w:multiLevelType w:val="hybridMultilevel"/>
    <w:lvl w:ilvl="0">
      <w:lvlJc w:val="left"/>
      <w:lvlText w:val="(%1)"/>
      <w:numFmt w:val="lowerLetter"/>
      <w:start w:val="2"/>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2"/>
    </w:lvl>
  </w:abstractNum>
  <w:abstractNum w:abstractNumId="33">
    <w:nsid w:val="7724C67E"/>
    <w:multiLevelType w:val="hybridMultilevel"/>
    <w:lvl w:ilvl="0">
      <w:lvlJc w:val="left"/>
      <w:lvlText w:val="(%1)"/>
      <w:numFmt w:val="lowerRoman"/>
      <w:start w:val="4"/>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
      <w:numFmt w:val="bullet"/>
      <w:start w:val="1"/>
    </w:lvl>
    <w:lvl w:ilvl="1">
      <w:lvlJc w:val="left"/>
      <w:lvlText w:val="%2."/>
      <w:numFmt w:val="decimal"/>
      <w:start w:val="1"/>
    </w:lvl>
  </w:abstractNum>
  <w:abstractNum w:abstractNumId="37">
    <w:nsid w:val="51EAD36B"/>
    <w:multiLevelType w:val="hybridMultilevel"/>
    <w:lvl w:ilvl="0">
      <w:lvlJc w:val="left"/>
      <w:lvlText w:val="**"/>
      <w:numFmt w:val="bullet"/>
      <w:start w:val="1"/>
    </w:lvl>
    <w:lvl w:ilvl="1">
      <w:lvlJc w:val="left"/>
      <w:lvlText w:val="%2"/>
      <w:numFmt w:val="decimal"/>
      <w:start w:val="1"/>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jpeg"/><Relationship Id="rId64" Type="http://schemas.openxmlformats.org/officeDocument/2006/relationships/image" Target="media/image50.png"/><Relationship Id="rId65" Type="http://schemas.openxmlformats.org/officeDocument/2006/relationships/image" Target="media/image51.jpeg"/><Relationship Id="rId66" Type="http://schemas.openxmlformats.org/officeDocument/2006/relationships/image" Target="media/image52.png"/><Relationship Id="rId67" Type="http://schemas.openxmlformats.org/officeDocument/2006/relationships/image" Target="media/image53.jpe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jpeg"/><Relationship Id="rId79" Type="http://schemas.openxmlformats.org/officeDocument/2006/relationships/image" Target="media/image65.png"/><Relationship Id="rId80" Type="http://schemas.openxmlformats.org/officeDocument/2006/relationships/image" Target="media/image66.jpeg"/><Relationship Id="rId81" Type="http://schemas.openxmlformats.org/officeDocument/2006/relationships/image" Target="media/image67.png"/><Relationship Id="rId82" Type="http://schemas.openxmlformats.org/officeDocument/2006/relationships/image" Target="media/image68.jpeg"/><Relationship Id="rId83" Type="http://schemas.openxmlformats.org/officeDocument/2006/relationships/image" Target="media/image69.png"/><Relationship Id="rId84" Type="http://schemas.openxmlformats.org/officeDocument/2006/relationships/image" Target="media/image70.jpeg"/><Relationship Id="rId85" Type="http://schemas.openxmlformats.org/officeDocument/2006/relationships/image" Target="media/image71.png"/><Relationship Id="rId86" Type="http://schemas.openxmlformats.org/officeDocument/2006/relationships/image" Target="media/image72.jpeg"/><Relationship Id="rId87" Type="http://schemas.openxmlformats.org/officeDocument/2006/relationships/image" Target="media/image73.png"/><Relationship Id="rId88" Type="http://schemas.openxmlformats.org/officeDocument/2006/relationships/image" Target="media/image74.png"/><Relationship Id="rId27" Type="http://schemas.openxmlformats.org/officeDocument/2006/relationships/hyperlink" Target="http://www.sec.gov/ix?doc=/Archives/edgar/data/0000097476/000009747622000009/txn-20211231.htm" TargetMode="External"/><Relationship Id="rId28" Type="http://schemas.openxmlformats.org/officeDocument/2006/relationships/hyperlink" Target="http://www.sec.gov/ix?doc=/Archives/edgar/data/97476/000119312522018409/d252810d8k.htm" TargetMode="External"/><Relationship Id="rId29" Type="http://schemas.openxmlformats.org/officeDocument/2006/relationships/hyperlink" Target="http://www.sec.gov/Archives/edgar/data/97476/000009747611000066/d8a12b.htm" TargetMode="External"/><Relationship Id="rId53" Type="http://schemas.openxmlformats.org/officeDocument/2006/relationships/hyperlink" Target="http://www.sec.gov/Archives/edgar/data/97476/000119312519048076/d710795dex11.htm" TargetMode="External"/><Relationship Id="rId54" Type="http://schemas.openxmlformats.org/officeDocument/2006/relationships/hyperlink" Target="http://www.sec.gov/Archives/edgar/data/97476/000009747615000003/txn-12312014xexhibit3a.htm" TargetMode="External"/><Relationship Id="rId55" Type="http://schemas.openxmlformats.org/officeDocument/2006/relationships/hyperlink" Target="http://www.sec.gov/Archives/edgar/data/97476/000156459016030135/txn-ex3_6.htm" TargetMode="External"/><Relationship Id="rId56" Type="http://schemas.openxmlformats.org/officeDocument/2006/relationships/hyperlink" Target="http://www.sec.gov/Archives/edgar/data/97476/00011931251114710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2022-02-04T12:50:28Z</dcterms:created>
  <dcterms:modified xsi:type="dcterms:W3CDTF">2022-02-04T12:50:28Z</dcterms:modified>
</cp:coreProperties>
</file>