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spacing w:after="0" w:line="28"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right="200" w:hanging="1200"/>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19, 2023, the Company’s Board of Directors appointed Haviv Ilan to the position of President and Chief Executive Officer succeeding Richard K. Templeton. The appointment and transition will be effective April 1, 2023. Mr. Templeton will remain Chairman of the Board. Mr. Ilan, 54, is currently a member of the Board and has served in various leadership positions during his tenure with the Company, including, during the past five years, Senior Vice President and his current role as Executive Vice President and Chief Operating Officer. In connection with his appointment, Mr. Ilan will receive an annual base salary of $1,150,000 beginning April 1, 2023. The remainder of Mr. Ilan’s compensation remains unchanged.</w:t>
      </w:r>
    </w:p>
    <w:p>
      <w:pPr>
        <w:sectPr>
          <w:pgSz w:w="11900" w:h="16838" w:orient="portrait"/>
          <w:cols w:equalWidth="0" w:num="1">
            <w:col w:w="10880"/>
          </w:cols>
          <w:pgMar w:left="440" w:top="297" w:right="57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20,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Cynthia Hoff Trochu</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sectPr>
      <w:pgSz w:w="11900" w:h="16838" w:orient="portrait"/>
      <w:cols w:equalWidth="0" w:num="1">
        <w:col w:w="10320"/>
      </w:cols>
      <w:pgMar w:left="440" w:top="29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2023-01-20T15:11:43Z</dcterms:created>
  <dcterms:modified xsi:type="dcterms:W3CDTF">2023-01-20T15:11:43Z</dcterms:modified>
</cp:coreProperties>
</file>