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7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33" w:lineRule="exact"/>
        <w:rPr>
          <w:sz w:val="24"/>
          <w:szCs w:val="24"/>
          <w:color w:val="auto"/>
        </w:rPr>
      </w:pPr>
    </w:p>
    <w:p>
      <w:pPr>
        <w:ind w:left="4080" w:right="2400" w:hanging="4072"/>
        <w:spacing w:after="0" w:line="426" w:lineRule="auto"/>
        <w:tabs>
          <w:tab w:leader="none" w:pos="44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2005</w:t>
      </w: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1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4" w:lineRule="exact"/>
        <w:rPr>
          <w:sz w:val="24"/>
          <w:szCs w:val="24"/>
          <w:color w:val="auto"/>
        </w:rPr>
      </w:pPr>
    </w:p>
    <w:p>
      <w:pPr>
        <w:ind w:left="3500"/>
        <w:spacing w:after="0"/>
        <w:tabs>
          <w:tab w:leader="none" w:pos="66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3552190</wp:posOffset>
            </wp:positionH>
            <wp:positionV relativeFrom="paragraph">
              <wp:posOffset>-13970</wp:posOffset>
            </wp:positionV>
            <wp:extent cx="1480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0185" cy="8890"/>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1-3761</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920" w:type="dxa"/>
        <w:tblCellMar>
          <w:top w:w="0" w:type="dxa"/>
          <w:left w:w="0" w:type="dxa"/>
          <w:bottom w:w="0" w:type="dxa"/>
          <w:right w:w="0" w:type="dxa"/>
        </w:tblCellMar>
      </w:tblPr>
      <w:tr>
        <w:trPr>
          <w:trHeight w:val="218"/>
        </w:trPr>
        <w:tc>
          <w:tcPr>
            <w:tcW w:w="5300" w:type="dxa"/>
            <w:vAlign w:val="bottom"/>
          </w:tcPr>
          <w:p>
            <w:pPr>
              <w:jc w:val="center"/>
              <w:ind w:right="1322"/>
              <w:spacing w:after="0"/>
              <w:rPr>
                <w:sz w:val="20"/>
                <w:szCs w:val="20"/>
                <w:color w:val="auto"/>
              </w:rPr>
            </w:pPr>
            <w:r>
              <w:rPr>
                <w:rFonts w:ascii="Arial" w:cs="Arial" w:eastAsia="Arial" w:hAnsi="Arial"/>
                <w:sz w:val="18"/>
                <w:szCs w:val="18"/>
                <w:b w:val="1"/>
                <w:bCs w:val="1"/>
                <w:color w:val="auto"/>
                <w:w w:val="88"/>
              </w:rPr>
              <w:t>Delaware</w:t>
            </w:r>
          </w:p>
        </w:tc>
        <w:tc>
          <w:tcPr>
            <w:tcW w:w="3500" w:type="dxa"/>
            <w:vAlign w:val="bottom"/>
          </w:tcPr>
          <w:p>
            <w:pPr>
              <w:jc w:val="center"/>
              <w:ind w:left="1342"/>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5300" w:type="dxa"/>
            <w:vAlign w:val="bottom"/>
          </w:tcPr>
          <w:p>
            <w:pPr>
              <w:jc w:val="center"/>
              <w:ind w:right="1322"/>
              <w:spacing w:after="0"/>
              <w:rPr>
                <w:sz w:val="20"/>
                <w:szCs w:val="20"/>
                <w:color w:val="auto"/>
              </w:rPr>
            </w:pPr>
            <w:r>
              <w:rPr>
                <w:rFonts w:ascii="Arial" w:cs="Arial" w:eastAsia="Arial" w:hAnsi="Arial"/>
                <w:sz w:val="14"/>
                <w:szCs w:val="14"/>
                <w:b w:val="1"/>
                <w:bCs w:val="1"/>
                <w:color w:val="auto"/>
                <w:w w:val="89"/>
              </w:rPr>
              <w:t>(State of Incorporation)</w:t>
            </w:r>
          </w:p>
        </w:tc>
        <w:tc>
          <w:tcPr>
            <w:tcW w:w="3500" w:type="dxa"/>
            <w:vAlign w:val="bottom"/>
          </w:tcPr>
          <w:p>
            <w:pPr>
              <w:jc w:val="center"/>
              <w:ind w:left="13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5300" w:type="dxa"/>
            <w:vAlign w:val="bottom"/>
          </w:tcPr>
          <w:p>
            <w:pPr>
              <w:jc w:val="center"/>
              <w:ind w:right="1342"/>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3500" w:type="dxa"/>
            <w:vAlign w:val="bottom"/>
          </w:tcPr>
          <w:p>
            <w:pPr>
              <w:jc w:val="center"/>
              <w:ind w:left="134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5300" w:type="dxa"/>
            <w:vAlign w:val="bottom"/>
          </w:tcPr>
          <w:p>
            <w:pPr>
              <w:jc w:val="center"/>
              <w:ind w:right="13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500" w:type="dxa"/>
            <w:vAlign w:val="bottom"/>
          </w:tcPr>
          <w:p>
            <w:pPr>
              <w:jc w:val="center"/>
              <w:ind w:left="1362"/>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4"/>
              </w:rPr>
              <w:t>Title of each class</w:t>
            </w:r>
          </w:p>
        </w:tc>
        <w:tc>
          <w:tcPr>
            <w:tcW w:w="3980" w:type="dxa"/>
            <w:vAlign w:val="bottom"/>
            <w:gridSpan w:val="3"/>
          </w:tcPr>
          <w:p>
            <w:pPr>
              <w:jc w:val="center"/>
              <w:ind w:left="1412"/>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95"/>
        </w:trPr>
        <w:tc>
          <w:tcPr>
            <w:tcW w:w="23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r>
      <w:tr>
        <w:trPr>
          <w:trHeight w:val="309"/>
        </w:trPr>
        <w:tc>
          <w:tcPr>
            <w:tcW w:w="59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Common Stock, par value $1.00</w:t>
            </w:r>
          </w:p>
        </w:tc>
        <w:tc>
          <w:tcPr>
            <w:tcW w:w="1740" w:type="dxa"/>
            <w:vAlign w:val="bottom"/>
          </w:tcPr>
          <w:p>
            <w:pPr>
              <w:spacing w:after="0"/>
              <w:rPr>
                <w:sz w:val="24"/>
                <w:szCs w:val="24"/>
                <w:color w:val="auto"/>
              </w:rPr>
            </w:pPr>
          </w:p>
        </w:tc>
        <w:tc>
          <w:tcPr>
            <w:tcW w:w="22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2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The Swiss Exchange</w:t>
            </w:r>
          </w:p>
        </w:tc>
      </w:tr>
      <w:tr>
        <w:trPr>
          <w:trHeight w:val="338"/>
        </w:trPr>
        <w:tc>
          <w:tcPr>
            <w:tcW w:w="5960" w:type="dxa"/>
            <w:vAlign w:val="bottom"/>
            <w:gridSpan w:val="3"/>
          </w:tcPr>
          <w:p>
            <w:pPr>
              <w:jc w:val="center"/>
              <w:ind w:right="240"/>
              <w:spacing w:after="0"/>
              <w:rPr>
                <w:sz w:val="20"/>
                <w:szCs w:val="20"/>
                <w:color w:val="auto"/>
              </w:rPr>
            </w:pPr>
            <w:r>
              <w:rPr>
                <w:rFonts w:ascii="Arial" w:cs="Arial" w:eastAsia="Arial" w:hAnsi="Arial"/>
                <w:sz w:val="18"/>
                <w:szCs w:val="18"/>
                <w:color w:val="auto"/>
                <w:w w:val="86"/>
              </w:rPr>
              <w:t>Preferred Stock Purchase Rights</w:t>
            </w:r>
          </w:p>
        </w:tc>
        <w:tc>
          <w:tcPr>
            <w:tcW w:w="1740" w:type="dxa"/>
            <w:vAlign w:val="bottom"/>
          </w:tcPr>
          <w:p>
            <w:pPr>
              <w:spacing w:after="0"/>
              <w:rPr>
                <w:sz w:val="24"/>
                <w:szCs w:val="24"/>
                <w:color w:val="auto"/>
              </w:rPr>
            </w:pPr>
          </w:p>
        </w:tc>
        <w:tc>
          <w:tcPr>
            <w:tcW w:w="22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New York Stock Exchange</w:t>
            </w:r>
          </w:p>
        </w:tc>
      </w:tr>
      <w:tr>
        <w:trPr>
          <w:trHeight w:val="365"/>
        </w:trPr>
        <w:tc>
          <w:tcPr>
            <w:tcW w:w="59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110" w:lineRule="exact"/>
        <w:rPr>
          <w:sz w:val="24"/>
          <w:szCs w:val="24"/>
          <w:color w:val="auto"/>
        </w:rPr>
      </w:pPr>
    </w:p>
    <w:p>
      <w:pPr>
        <w:ind w:right="2040"/>
        <w:spacing w:after="0" w:line="32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2"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right="12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24"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86" w:lineRule="exact"/>
        <w:rPr>
          <w:sz w:val="24"/>
          <w:szCs w:val="24"/>
          <w:color w:val="auto"/>
        </w:rPr>
      </w:pPr>
    </w:p>
    <w:p>
      <w:pPr>
        <w:spacing w:after="0" w:line="207" w:lineRule="exact"/>
        <w:tabs>
          <w:tab w:leader="none" w:pos="5120" w:val="left"/>
          <w:tab w:leader="none" w:pos="96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was approximately $45,088,206,469 as of June 30, 2005.</w:t>
      </w:r>
    </w:p>
    <w:p>
      <w:pPr>
        <w:spacing w:after="0" w:line="158"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1,600,342,965 (Number of shares of common stock outstanding as of January 31, 2006)</w:t>
      </w:r>
    </w:p>
    <w:p>
      <w:pPr>
        <w:spacing w:after="0" w:line="158"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Parts I, II and IV hereof incorporate information by reference to the Registrant’s 2005 annual report to stockholders. Part III hereof incorporates information by reference to the Registrant’s proxy statement for the 2006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Overview</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Texas Instruments Incorporated (TI) is headquartered in Dallas, Texas, and has manufacturing, design or sales operations in more than 25 countries. We had three separate business segments in 2005: 1) Semiconductor, which accounted for 87 percent of our revenue in 2005; 2) Sensors &amp; Controls, which accounted for 9 percent of our revenue and 3) Educational &amp; Productivity Solutions, which accounted for 4 percent of our revenue. Our largest geographic sources of revenue, in descending order, are: Asia (excluding Japan), Europe, the United States and Japan.</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Financial information with respect to TI’s business segments and operations outside the United States is contained in the note to the financial statements captioned “Business Segment and Geographic Area Data” on pages 35 and 36 of TI’s 2005 annual report to stockholders. It is incorporated herein by reference to such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began operations in 1930 and is incorporated in Delaware.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Segment</w:t>
      </w:r>
    </w:p>
    <w:p>
      <w:pPr>
        <w:spacing w:after="0" w:line="83"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Semiconductors are electronic components that serve as the building blocks inside of modern electronic systems and equipment. Semiconductors come in two basic forms: individual transistors and integrated circuits (generally known as “chips”) that combine different transistors on a single piece of material to form a complete electronic circuit. Our Semiconductor segment designs, manufactures and sells integrated circuits.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methods. Typically, new chips are produced in limited quantities at first and then ramp to high-volume production over time. Chip prices and manufacturing costs tend to decline over time as manufacturing methods and product life cycles mature.</w:t>
      </w:r>
    </w:p>
    <w:p>
      <w:pPr>
        <w:spacing w:after="0" w:line="1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“semiconductor cycle” is an important concept that refers to the ebb and flow of supply and demand. The semiconductor market historically has been characterized by periods of tight supply caused by strong demand and/or insufficient manufacturing capacity, followed by periods of surplus products caused by declining demand and/or excess manufacturing capacity. This cycle is affected by the significant time and money required to build and maintain semiconductor manufacturing facilities.</w:t>
      </w:r>
    </w:p>
    <w:p>
      <w:pPr>
        <w:spacing w:after="0" w:line="13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We were the world’s third largest semiconductor company in 2005 as measured by revenue, according to preliminary estimates from iSuppli Corporation, an industry analyst. Historically, our Semiconductor segment averages a significantly higher growth rate than our other two business segments.</w:t>
      </w:r>
    </w:p>
    <w:p>
      <w:pPr>
        <w:spacing w:after="0" w:line="7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majority of our Semiconductor revenue comes from our core products, which are analog semiconductors and digital signal processors, or DSPs. These products enhance, and often make possible, a variety of applications that serve the communications, computer, consumer electronics, automotive and industrial markets. We believe that virtually all of today’s digital electronic equipment requires some form of analog or digital signal processing.</w:t>
      </w:r>
    </w:p>
    <w:p>
      <w:pPr>
        <w:spacing w:after="0" w:line="91" w:lineRule="exact"/>
        <w:rPr>
          <w:sz w:val="20"/>
          <w:szCs w:val="20"/>
          <w:color w:val="auto"/>
        </w:rPr>
      </w:pPr>
    </w:p>
    <w:p>
      <w:pPr>
        <w:ind w:right="180"/>
        <w:spacing w:after="0" w:line="286" w:lineRule="auto"/>
        <w:rPr>
          <w:sz w:val="20"/>
          <w:szCs w:val="20"/>
          <w:color w:val="auto"/>
        </w:rPr>
      </w:pPr>
      <w:r>
        <w:rPr>
          <w:rFonts w:ascii="Arial" w:cs="Arial" w:eastAsia="Arial" w:hAnsi="Arial"/>
          <w:sz w:val="18"/>
          <w:szCs w:val="18"/>
          <w:color w:val="auto"/>
        </w:rPr>
        <w:t>We also design and manufacture other types of semiconductors, such as DLP</w:t>
      </w:r>
      <w:r>
        <w:rPr>
          <w:rFonts w:ascii="Arial" w:cs="Arial" w:eastAsia="Arial" w:hAnsi="Arial"/>
          <w:sz w:val="18"/>
          <w:szCs w:val="18"/>
          <w:color w:val="auto"/>
          <w:vertAlign w:val="superscript"/>
        </w:rPr>
        <w:t>®</w:t>
      </w:r>
      <w:r>
        <w:rPr>
          <w:rFonts w:ascii="Arial" w:cs="Arial" w:eastAsia="Arial" w:hAnsi="Arial"/>
          <w:sz w:val="18"/>
          <w:szCs w:val="18"/>
          <w:color w:val="auto"/>
        </w:rPr>
        <w:t xml:space="preserve"> products that enable exceptionally clear video, and microprocessors that serve as the brains of high-end computer servers.</w:t>
      </w:r>
    </w:p>
    <w:p>
      <w:pPr>
        <w:spacing w:after="0" w:line="10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Knowledge about the systems our products go into is becoming increasingly important, because it enables us to differentiate our product offerings for our customers. Where a customer may previously have required multiple chips for a system to operate, we are now integrating the functionality of those multiple chips onto a few or even a single chip because we have both the system-level knowledge and the manufacturing technology to do so. An example is our single-chip cell phone solution, which combines the functionality of many separate chips onto one. The digitization of electronics also requires more high-performance analog functionality. With expertise in both digital signal processing and analog at the system level, we believe we are one of a very few semiconductor companies capable of integrating both technologies onto a single chip.</w:t>
      </w:r>
    </w:p>
    <w:p>
      <w:pPr>
        <w:spacing w:after="0" w:line="10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addition, we enable our customers, particularly original design manufacturers (ODMs), to take advantage of our system-level knowledge and thereby speed their time to market by making available to them standard chipsets and reference designs. (An ODM designs and manufactures products for other companies; those other companies then sell the products under their own brands. A chipset is a group of integrated circuits based principally on our technology that are designed to work together for a specific application and are therefore packaged and sold as a unit. Reference designs are technical blueprints that contain all the essential elements in a system.) Customers using our reference designs, such as cell-phone ODMs, may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enhance or modify the design as required. Our ability to deliver integrated solutions and system-level knowledge allows our customers to create more advanced systems and products.</w:t>
      </w:r>
    </w:p>
    <w:p>
      <w:pPr>
        <w:spacing w:after="0" w:line="11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each of our product categories, we face significant competition. We believe that competitive performance in the semiconductor market depends upon several factors, including the breadth of a company’s product line as well as technological innovation, quality, reliability, price, customer service, technical support and scale.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Following is detailed information on each product category: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Analog</w:t>
      </w:r>
    </w:p>
    <w:p>
      <w:pPr>
        <w:spacing w:after="0" w:line="77"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w:t>
      </w:r>
    </w:p>
    <w:p>
      <w:pPr>
        <w:spacing w:after="0" w:line="4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analog semiconductor market is diverse and complex, and it is one of the largest sectors of the semiconductor industry. We are the world’s largest supplier of analog semiconductors. Analog chips generated about 40 percent of our Semiconductor revenue in 2005.</w:t>
      </w:r>
    </w:p>
    <w:p>
      <w:pPr>
        <w:spacing w:after="0" w:line="118"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Our analog product portfolio includes custom mixed-signal products that are designed to a particular customer’s or application’s specifications. These products account for about 55 percent of our analog revenue. The remainder of our analog revenue comes from standard products that are sold across a range of customers and applications. About 40 percent of our analog revenue is from high-performance standard products and about 5 percent is from commodity standard products.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Most of our custom and standard products are proprietary and difficult for competitors to imitate. Many standard analog chips tend to have long life spans.</w:t>
      </w:r>
    </w:p>
    <w:p>
      <w:pPr>
        <w:spacing w:after="0" w:line="18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Approximately 15 percent of our analog revenue comes from products sold into wireless applications. Custom analog chips sold to cell-phone original equipment manufacturers (OEMs) account for most of this revenue. (An OEM designs and sells products under its own brand that it manufactures in-house or has manufactured by others.) A smaller portion comes from analog products included in chipsets that are sold to ODMs</w:t>
      </w:r>
      <w:r>
        <w:rPr>
          <w:rFonts w:ascii="Arial" w:cs="Arial" w:eastAsia="Arial" w:hAnsi="Arial"/>
          <w:sz w:val="16"/>
          <w:szCs w:val="16"/>
          <w:b w:val="1"/>
          <w:bCs w:val="1"/>
          <w:i w:val="1"/>
          <w:iCs w:val="1"/>
          <w:color w:val="auto"/>
        </w:rPr>
        <w:t>.</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mixed-signal products combine multiple types of analog functionality or analog and digital functions on a single chip. Purchasers of our custom mixed-signal products tend to be very large companies that require high-volume designs for specific applications such as communications, displays, printers and automotive. Entry into this market requires significant up-front investment as well as expertise in both analog and digital functionality. A primary competitive factor in this market is manufacturing expertise and scale.</w:t>
      </w:r>
    </w:p>
    <w:p>
      <w:pPr>
        <w:spacing w:after="0" w:line="13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the standard analog chip sub-category known as high-performance analog, we have a portfolio of about 15,000 products, including data converters, amplifiers, power management devices and interface chips. Our high-performance analog products are used by more than 50,000 customers. These products are sold primarily through distributors. Prices in this market tend to be stable, with relatively high gross profit margins. The primary competitive factors are a diverse product portfolio to meet wide-ranging customer needs, and manufacturing process technologies that allow us to provide differentiated levels of performance. Products with higher levels of performance tend to command a premium price.</w:t>
      </w:r>
    </w:p>
    <w:p>
      <w:pPr>
        <w:spacing w:after="0" w:line="1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standard analog chips are commodity in nature. We design and manufacture thousands of low-cost, high-volume standard products that are sold primarily through distributors. End applications are very diverse and include portable electronic devices and communications. The primary competitive factors in this market are price and availability. Pricing is strongly influenced by supply and demand.</w:t>
      </w:r>
    </w:p>
    <w:p>
      <w:pPr>
        <w:spacing w:after="0" w:line="127"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Overall in the analog market, we compete globally with numerous large and small companies, both broad-based suppliers and niche suppliers. Our primary competitors include Analog Devices, Inc.; Linear Technology Corporation; Maxim Integrated Products, Inc.; National Semiconductor Corporation; and STMicroelectronics NV.</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Digital Signal Processors, or DSPs</w:t>
      </w:r>
    </w:p>
    <w:p>
      <w:pPr>
        <w:spacing w:after="0" w:line="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DSP is one of the fastest-growing sectors of the semiconductor industry. We are the world’s largest DSP supplier, and DSP represents about 40 percent of our Semiconductor revenue.</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DSPs use complex algorithms and compression techniques to alter and improve a data stream. DSPs perform these functions instantaneously and power efficiently. These products are ideal for applications that require precise, real-time processing of real-world analog signals that have been converted into digital form. Their power efficiency is important for battery-powered devices.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combination of DSP with analog functionality enables a broad range of significant applications. In a cell phone, the process works as follows: 1) the sender’s voice is picked up by an analog sensor in the cell phone’s microphone; 2) an analog-to-digital converter chip changes the analog sound waves of the sender’s voice into a digital code; 3) the DSP compresses these digital signals and removes background noise; and 4) in the listener’s cell phone, the digital code is converted back into the analog sound of the sender’s voice. All this happens in real time.</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offer programmable DSPs, which, among other benefits, enable manufacturers to differentiate their product designs via software rather than having to design new hardware.</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DSP portfolio includes custom, application-specific and standard products. Custom products are designed for specific customers with very high volumes in established markets. Application-specific products are implementations crafted for specific applications like wireless infrastructure, VoIP (Voice over Internet Protocol) gateways, digital still cameras and residential gateways, to name a few. Our standard DSP products are sold into a broad range of applications and seed the next generation of signal-processing innovation.</w:t>
      </w:r>
    </w:p>
    <w:p>
      <w:pPr>
        <w:spacing w:after="0" w:line="13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About 80 percent of our DSP revenue comes from the cell-phone market. Most of this revenue is derived from custom chips that we develop with large cell-phone manufacturer customers. These products are typically highly integrated semiconductor devices that allow our customers to differentiate their cell-phone products from their competitors’ products through performance, features or cost, and are sold only to a single, high-volume customer. Additional DSP revenue from this market comes from our sales of chipsets. Also included in our DSP-based wireless portfolio are the widely used OMAP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processors, which are high-performance processors that enable multimedia applications in cell phones and other electronic devices.</w:t>
      </w:r>
    </w:p>
    <w:p>
      <w:pPr>
        <w:spacing w:after="0" w:line="129" w:lineRule="exact"/>
        <w:rPr>
          <w:sz w:val="20"/>
          <w:szCs w:val="20"/>
          <w:color w:val="auto"/>
        </w:rPr>
      </w:pPr>
    </w:p>
    <w:p>
      <w:pPr>
        <w:jc w:val="both"/>
        <w:ind w:right="60"/>
        <w:spacing w:after="0" w:line="323" w:lineRule="auto"/>
        <w:rPr>
          <w:sz w:val="20"/>
          <w:szCs w:val="20"/>
          <w:color w:val="auto"/>
        </w:rPr>
      </w:pPr>
      <w:r>
        <w:rPr>
          <w:rFonts w:ascii="Arial" w:cs="Arial" w:eastAsia="Arial" w:hAnsi="Arial"/>
          <w:sz w:val="15"/>
          <w:szCs w:val="15"/>
          <w:color w:val="auto"/>
        </w:rPr>
        <w:t>In the DSP market, we compete globally with numerous large and small companies, both broad-based and niche suppliers of DSPs as well as suppliers of other technologies that deliver functionality that competes with DSPs. Primary competitive factors are the ability to design and cost-effectively manufacture products, system-level knowledge about targeted end markets, software expertise and applications support. Our primary competitors in the DSP market are Agere Systems, Inc.; Analog Devices, Inc.; and Freescale Semiconductor, Inc. Others who offer competing technologies include Broadcom Corp. and Qualcomm Incorporated.</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Semiconductor Products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other Semiconductor products, which combined account for about 20 percent of our Semiconductor revenue, include the following: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DLP</w:t>
      </w:r>
      <w:r>
        <w:rPr>
          <w:rFonts w:ascii="Arial" w:cs="Arial" w:eastAsia="Arial" w:hAnsi="Arial"/>
          <w:sz w:val="18"/>
          <w:szCs w:val="18"/>
          <w:i w:val="1"/>
          <w:iCs w:val="1"/>
          <w:color w:val="auto"/>
          <w:vertAlign w:val="superscript"/>
        </w:rPr>
        <w:t>®</w:t>
      </w:r>
      <w:r>
        <w:rPr>
          <w:rFonts w:ascii="Arial" w:cs="Arial" w:eastAsia="Arial" w:hAnsi="Arial"/>
          <w:sz w:val="18"/>
          <w:szCs w:val="18"/>
          <w:i w:val="1"/>
          <w:iCs w:val="1"/>
          <w:color w:val="auto"/>
        </w:rPr>
        <w:t xml:space="preserve"> Products</w:t>
      </w:r>
    </w:p>
    <w:p>
      <w:pPr>
        <w:spacing w:after="0" w:line="9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DLP technology is a digital display technology used in projectors and high-definition televisions. Projectors based on this technology are used in businesses, homes, professional venues and digital cinemas. The technology consists of micro-electromechanical devices that use optical semiconductors to digitally manipulate light. At the center of every DLP product is an array of up to 2.2 million microscopic mirrors that switch back and forth very quickly to create a high resolution, highly reliable, full color image. This technology is used by 75 of the world’s top projector and television manufacturers. Since early 1996 when DLP products were first marketed, TI has shipped almost 9 million DLP systems to customers all over the world.</w:t>
      </w:r>
    </w:p>
    <w:p>
      <w:pPr>
        <w:spacing w:after="0" w:line="100" w:lineRule="exact"/>
        <w:rPr>
          <w:sz w:val="20"/>
          <w:szCs w:val="20"/>
          <w:color w:val="auto"/>
        </w:rPr>
      </w:pPr>
    </w:p>
    <w:p>
      <w:pPr>
        <w:ind w:right="600"/>
        <w:spacing w:after="0" w:line="286" w:lineRule="auto"/>
        <w:rPr>
          <w:sz w:val="20"/>
          <w:szCs w:val="20"/>
          <w:color w:val="auto"/>
        </w:rPr>
      </w:pPr>
      <w:r>
        <w:rPr>
          <w:rFonts w:ascii="Arial" w:cs="Arial" w:eastAsia="Arial" w:hAnsi="Arial"/>
          <w:sz w:val="18"/>
          <w:szCs w:val="18"/>
          <w:color w:val="auto"/>
        </w:rPr>
        <w:t>Our DLP</w:t>
      </w:r>
      <w:r>
        <w:rPr>
          <w:rFonts w:ascii="Arial" w:cs="Arial" w:eastAsia="Arial" w:hAnsi="Arial"/>
          <w:sz w:val="18"/>
          <w:szCs w:val="18"/>
          <w:i w:val="1"/>
          <w:iCs w:val="1"/>
          <w:color w:val="auto"/>
          <w:vertAlign w:val="superscript"/>
        </w:rPr>
        <w:t>®</w:t>
      </w:r>
      <w:r>
        <w:rPr>
          <w:rFonts w:ascii="Arial" w:cs="Arial" w:eastAsia="Arial" w:hAnsi="Arial"/>
          <w:sz w:val="18"/>
          <w:szCs w:val="18"/>
          <w:color w:val="auto"/>
        </w:rPr>
        <w:t xml:space="preserve"> technology competes against other display technologies such as liquid crystal display (LCD), plasma and cathode-ray tube (CRT). The primary competitive elements in this market include picture quality, product form factors, versatility and price.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Instruction-Set Computing, or RISC, Microprocessors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microprocessor is the central processing unit of a computer system. RISC microprocessors are designed to provide very fast computing, typically for a specialized application such as servers. Our RISC operation is primarily the manufacture of 64-bit microprocessors designed by Sun Microsystems, Inc. for use in Sun servers.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Microcontrollers</w:t>
      </w:r>
    </w:p>
    <w:p>
      <w:pPr>
        <w:spacing w:after="0" w:line="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 microcontroller is a microprocessor designed to control a very specific task for electronic equipment. Key applications for our microcontrollers include automotive, industrial motors and controls, meters and consumer products. Primary competitive factors in this market include integration of control peripherals for reduced board space and number of components, an integrated development environment for fast system development and a broad range of microcontroller solutions for upgradeability and flexibility in system design.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Standard Logic</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Standard logic devices are chips generally used to manage the interchange and manipulation of signals within a system. A substantial number of our standard logic products are considered commodities, for which price and delivery are the key competitive factors. We sell thousands of standard logic products, primarily to distributors and OEMs. End applications include consumer products and communications.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An additional source of revenue for TI is royalties received for our patented technology that we license to other electronics companies.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Applications for Our Semiconductor Products</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table below lists the major end markets that use our Semiconductor products and the approximate percentage of our Semiconductor revenue that the market represents. The chart also lists the most frequent applications and our products used within these key markets.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End Market</w:t>
            </w:r>
          </w:p>
        </w:tc>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Applications</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TI Products</w:t>
            </w:r>
          </w:p>
        </w:tc>
      </w:tr>
      <w:tr>
        <w:trPr>
          <w:trHeight w:val="95"/>
        </w:trPr>
        <w:tc>
          <w:tcPr>
            <w:tcW w:w="10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9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377"/>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Communications</w:t>
            </w:r>
          </w:p>
        </w:tc>
        <w:tc>
          <w:tcPr>
            <w:tcW w:w="7080" w:type="dxa"/>
            <w:vAlign w:val="bottom"/>
            <w:gridSpan w:val="2"/>
          </w:tcPr>
          <w:p>
            <w:pPr>
              <w:spacing w:after="0"/>
              <w:rPr>
                <w:sz w:val="20"/>
                <w:szCs w:val="20"/>
                <w:color w:val="auto"/>
              </w:rPr>
            </w:pPr>
            <w:r>
              <w:rPr>
                <w:rFonts w:ascii="Arial" w:cs="Arial" w:eastAsia="Arial" w:hAnsi="Arial"/>
                <w:sz w:val="18"/>
                <w:szCs w:val="18"/>
                <w:color w:val="auto"/>
              </w:rPr>
              <w:t>Cell phones and infrastructure equipment (wireless)</w:t>
            </w:r>
          </w:p>
        </w:tc>
        <w:tc>
          <w:tcPr>
            <w:tcW w:w="1220" w:type="dxa"/>
            <w:vAlign w:val="bottom"/>
            <w:gridSpan w:val="2"/>
          </w:tcPr>
          <w:p>
            <w:pPr>
              <w:spacing w:after="0"/>
              <w:rPr>
                <w:sz w:val="20"/>
                <w:szCs w:val="20"/>
                <w:color w:val="auto"/>
              </w:rPr>
            </w:pPr>
            <w:r>
              <w:rPr>
                <w:rFonts w:ascii="Arial" w:cs="Arial" w:eastAsia="Arial" w:hAnsi="Arial"/>
                <w:sz w:val="18"/>
                <w:szCs w:val="18"/>
                <w:color w:val="auto"/>
              </w:rPr>
              <w:t>DSP, Analog,</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(50% of Semiconductor revenue)</w:t>
            </w:r>
          </w:p>
        </w:tc>
        <w:tc>
          <w:tcPr>
            <w:tcW w:w="7080" w:type="dxa"/>
            <w:vAlign w:val="bottom"/>
            <w:gridSpan w:val="2"/>
          </w:tcPr>
          <w:p>
            <w:pPr>
              <w:spacing w:after="0"/>
              <w:rPr>
                <w:sz w:val="20"/>
                <w:szCs w:val="20"/>
                <w:color w:val="auto"/>
              </w:rPr>
            </w:pPr>
            <w:r>
              <w:rPr>
                <w:rFonts w:ascii="Arial" w:cs="Arial" w:eastAsia="Arial" w:hAnsi="Arial"/>
                <w:sz w:val="18"/>
                <w:szCs w:val="18"/>
                <w:color w:val="auto"/>
                <w:w w:val="95"/>
              </w:rPr>
              <w:t>Broadband (including high-speed wireless home networking, cable modem, digital subscriber</w:t>
            </w:r>
          </w:p>
        </w:tc>
        <w:tc>
          <w:tcPr>
            <w:tcW w:w="1220" w:type="dxa"/>
            <w:vAlign w:val="bottom"/>
            <w:gridSpan w:val="2"/>
          </w:tcPr>
          <w:p>
            <w:pPr>
              <w:spacing w:after="0"/>
              <w:rPr>
                <w:sz w:val="20"/>
                <w:szCs w:val="20"/>
                <w:color w:val="auto"/>
              </w:rPr>
            </w:pPr>
            <w:r>
              <w:rPr>
                <w:rFonts w:ascii="Arial" w:cs="Arial" w:eastAsia="Arial" w:hAnsi="Arial"/>
                <w:sz w:val="18"/>
                <w:szCs w:val="18"/>
                <w:color w:val="auto"/>
              </w:rPr>
              <w:t>Logic</w:t>
            </w: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line (DSL))</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w w:val="97"/>
              </w:rPr>
              <w:t>High-frequency radio, telecom accessories (hands-free and voice-enhancement solutions),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10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navigation systems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91"/>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Computing</w:t>
            </w:r>
          </w:p>
        </w:tc>
        <w:tc>
          <w:tcPr>
            <w:tcW w:w="7080" w:type="dxa"/>
            <w:vAlign w:val="bottom"/>
            <w:gridSpan w:val="2"/>
          </w:tcPr>
          <w:p>
            <w:pPr>
              <w:spacing w:after="0"/>
              <w:rPr>
                <w:sz w:val="20"/>
                <w:szCs w:val="20"/>
                <w:color w:val="auto"/>
              </w:rPr>
            </w:pPr>
            <w:r>
              <w:rPr>
                <w:rFonts w:ascii="Arial" w:cs="Arial" w:eastAsia="Arial" w:hAnsi="Arial"/>
                <w:sz w:val="18"/>
                <w:szCs w:val="18"/>
                <w:color w:val="auto"/>
              </w:rPr>
              <w:t>Printers</w:t>
            </w:r>
          </w:p>
        </w:tc>
        <w:tc>
          <w:tcPr>
            <w:tcW w:w="1220" w:type="dxa"/>
            <w:vAlign w:val="bottom"/>
            <w:gridSpan w:val="2"/>
          </w:tcPr>
          <w:p>
            <w:pPr>
              <w:spacing w:after="0"/>
              <w:rPr>
                <w:sz w:val="20"/>
                <w:szCs w:val="20"/>
                <w:color w:val="auto"/>
              </w:rPr>
            </w:pPr>
            <w:r>
              <w:rPr>
                <w:rFonts w:ascii="Arial" w:cs="Arial" w:eastAsia="Arial" w:hAnsi="Arial"/>
                <w:sz w:val="18"/>
                <w:szCs w:val="18"/>
                <w:color w:val="auto"/>
              </w:rPr>
              <w:t>Analog, DLP</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(30% of Semiconductor revenue)</w:t>
            </w:r>
          </w:p>
        </w:tc>
        <w:tc>
          <w:tcPr>
            <w:tcW w:w="7080" w:type="dxa"/>
            <w:vAlign w:val="bottom"/>
            <w:gridSpan w:val="2"/>
          </w:tcPr>
          <w:p>
            <w:pPr>
              <w:spacing w:after="0"/>
              <w:rPr>
                <w:sz w:val="20"/>
                <w:szCs w:val="20"/>
                <w:color w:val="auto"/>
              </w:rPr>
            </w:pPr>
            <w:r>
              <w:rPr>
                <w:rFonts w:ascii="Arial" w:cs="Arial" w:eastAsia="Arial" w:hAnsi="Arial"/>
                <w:sz w:val="18"/>
                <w:szCs w:val="18"/>
                <w:color w:val="auto"/>
              </w:rPr>
              <w:t>Hard disk drives</w:t>
            </w:r>
          </w:p>
        </w:tc>
        <w:tc>
          <w:tcPr>
            <w:tcW w:w="1220" w:type="dxa"/>
            <w:vAlign w:val="bottom"/>
            <w:gridSpan w:val="2"/>
          </w:tcPr>
          <w:p>
            <w:pPr>
              <w:spacing w:after="0"/>
              <w:rPr>
                <w:sz w:val="20"/>
                <w:szCs w:val="20"/>
                <w:color w:val="auto"/>
              </w:rPr>
            </w:pPr>
            <w:r>
              <w:rPr>
                <w:rFonts w:ascii="Arial" w:cs="Arial" w:eastAsia="Arial" w:hAnsi="Arial"/>
                <w:sz w:val="18"/>
                <w:szCs w:val="18"/>
                <w:color w:val="auto"/>
              </w:rPr>
              <w:t>Products,</w:t>
            </w: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Monitors and projectors</w:t>
            </w:r>
          </w:p>
        </w:tc>
        <w:tc>
          <w:tcPr>
            <w:tcW w:w="1220" w:type="dxa"/>
            <w:vAlign w:val="bottom"/>
            <w:gridSpan w:val="2"/>
          </w:tcPr>
          <w:p>
            <w:pPr>
              <w:spacing w:after="0"/>
              <w:rPr>
                <w:sz w:val="20"/>
                <w:szCs w:val="20"/>
                <w:color w:val="auto"/>
              </w:rPr>
            </w:pPr>
            <w:r>
              <w:rPr>
                <w:rFonts w:ascii="Arial" w:cs="Arial" w:eastAsia="Arial" w:hAnsi="Arial"/>
                <w:sz w:val="18"/>
                <w:szCs w:val="18"/>
                <w:color w:val="auto"/>
                <w:w w:val="87"/>
              </w:rPr>
              <w:t>Microprocessors,</w:t>
            </w:r>
          </w:p>
        </w:tc>
      </w:tr>
      <w:tr>
        <w:trPr>
          <w:trHeight w:val="222"/>
        </w:trPr>
        <w:tc>
          <w:tcPr>
            <w:tcW w:w="10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Notebook and desktop personal computers</w:t>
            </w:r>
          </w:p>
        </w:tc>
        <w:tc>
          <w:tcPr>
            <w:tcW w:w="1220" w:type="dxa"/>
            <w:vAlign w:val="bottom"/>
            <w:gridSpan w:val="2"/>
          </w:tcPr>
          <w:p>
            <w:pPr>
              <w:spacing w:after="0"/>
              <w:rPr>
                <w:sz w:val="20"/>
                <w:szCs w:val="20"/>
                <w:color w:val="auto"/>
              </w:rPr>
            </w:pPr>
            <w:r>
              <w:rPr>
                <w:rFonts w:ascii="Arial" w:cs="Arial" w:eastAsia="Arial" w:hAnsi="Arial"/>
                <w:sz w:val="18"/>
                <w:szCs w:val="18"/>
                <w:color w:val="auto"/>
              </w:rPr>
              <w:t>Logic, DSP</w:t>
            </w:r>
          </w:p>
        </w:tc>
      </w:tr>
      <w:tr>
        <w:trPr>
          <w:trHeight w:val="291"/>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Consumer Electronics</w:t>
            </w:r>
          </w:p>
        </w:tc>
        <w:tc>
          <w:tcPr>
            <w:tcW w:w="7080" w:type="dxa"/>
            <w:vAlign w:val="bottom"/>
            <w:gridSpan w:val="2"/>
          </w:tcPr>
          <w:p>
            <w:pPr>
              <w:spacing w:after="0"/>
              <w:rPr>
                <w:sz w:val="20"/>
                <w:szCs w:val="20"/>
                <w:color w:val="auto"/>
              </w:rPr>
            </w:pPr>
            <w:r>
              <w:rPr>
                <w:rFonts w:ascii="Arial" w:cs="Arial" w:eastAsia="Arial" w:hAnsi="Arial"/>
                <w:sz w:val="18"/>
                <w:szCs w:val="18"/>
                <w:color w:val="auto"/>
              </w:rPr>
              <w:t>High-definition televisions</w:t>
            </w:r>
          </w:p>
        </w:tc>
        <w:tc>
          <w:tcPr>
            <w:tcW w:w="1220" w:type="dxa"/>
            <w:vAlign w:val="bottom"/>
            <w:gridSpan w:val="2"/>
          </w:tcPr>
          <w:p>
            <w:pPr>
              <w:spacing w:after="0"/>
              <w:rPr>
                <w:sz w:val="20"/>
                <w:szCs w:val="20"/>
                <w:color w:val="auto"/>
              </w:rPr>
            </w:pPr>
            <w:r>
              <w:rPr>
                <w:rFonts w:ascii="Arial" w:cs="Arial" w:eastAsia="Arial" w:hAnsi="Arial"/>
                <w:sz w:val="18"/>
                <w:szCs w:val="18"/>
                <w:color w:val="auto"/>
              </w:rPr>
              <w:t>DSP, Analog,</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(10% of Semiconductor revenue)</w:t>
            </w:r>
          </w:p>
        </w:tc>
        <w:tc>
          <w:tcPr>
            <w:tcW w:w="7080" w:type="dxa"/>
            <w:vAlign w:val="bottom"/>
            <w:gridSpan w:val="2"/>
          </w:tcPr>
          <w:p>
            <w:pPr>
              <w:spacing w:after="0"/>
              <w:rPr>
                <w:sz w:val="20"/>
                <w:szCs w:val="20"/>
                <w:color w:val="auto"/>
              </w:rPr>
            </w:pPr>
            <w:r>
              <w:rPr>
                <w:rFonts w:ascii="Arial" w:cs="Arial" w:eastAsia="Arial" w:hAnsi="Arial"/>
                <w:sz w:val="18"/>
                <w:szCs w:val="18"/>
                <w:color w:val="auto"/>
              </w:rPr>
              <w:t>Digital still cameras</w:t>
            </w:r>
          </w:p>
        </w:tc>
        <w:tc>
          <w:tcPr>
            <w:tcW w:w="1220" w:type="dxa"/>
            <w:vAlign w:val="bottom"/>
            <w:gridSpan w:val="2"/>
          </w:tcPr>
          <w:p>
            <w:pPr>
              <w:spacing w:after="0"/>
              <w:rPr>
                <w:sz w:val="20"/>
                <w:szCs w:val="20"/>
                <w:color w:val="auto"/>
              </w:rPr>
            </w:pPr>
            <w:r>
              <w:rPr>
                <w:rFonts w:ascii="Arial" w:cs="Arial" w:eastAsia="Arial" w:hAnsi="Arial"/>
                <w:sz w:val="18"/>
                <w:szCs w:val="18"/>
                <w:color w:val="auto"/>
              </w:rPr>
              <w:t>Logic, DLP</w:t>
            </w: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Digital audio players</w:t>
            </w:r>
          </w:p>
        </w:tc>
        <w:tc>
          <w:tcPr>
            <w:tcW w:w="1220" w:type="dxa"/>
            <w:vAlign w:val="bottom"/>
            <w:gridSpan w:val="2"/>
          </w:tcPr>
          <w:p>
            <w:pPr>
              <w:spacing w:after="0"/>
              <w:rPr>
                <w:sz w:val="20"/>
                <w:szCs w:val="20"/>
                <w:color w:val="auto"/>
              </w:rPr>
            </w:pPr>
            <w:r>
              <w:rPr>
                <w:rFonts w:ascii="Arial" w:cs="Arial" w:eastAsia="Arial" w:hAnsi="Arial"/>
                <w:sz w:val="18"/>
                <w:szCs w:val="18"/>
                <w:color w:val="auto"/>
              </w:rPr>
              <w:t>Products</w:t>
            </w: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Personal video players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Car audio (radios and CD players)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DVD players and recorders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10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Home theater systems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91"/>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Industrial</w:t>
            </w:r>
          </w:p>
        </w:tc>
        <w:tc>
          <w:tcPr>
            <w:tcW w:w="7080" w:type="dxa"/>
            <w:vAlign w:val="bottom"/>
            <w:gridSpan w:val="2"/>
          </w:tcPr>
          <w:p>
            <w:pPr>
              <w:spacing w:after="0"/>
              <w:rPr>
                <w:sz w:val="20"/>
                <w:szCs w:val="20"/>
                <w:color w:val="auto"/>
              </w:rPr>
            </w:pPr>
            <w:r>
              <w:rPr>
                <w:rFonts w:ascii="Arial" w:cs="Arial" w:eastAsia="Arial" w:hAnsi="Arial"/>
                <w:sz w:val="18"/>
                <w:szCs w:val="18"/>
                <w:color w:val="auto"/>
                <w:w w:val="96"/>
              </w:rPr>
              <w:t>Controls - digital power controls (switch mode power supplies, uninterruptible power supply),</w:t>
            </w:r>
          </w:p>
        </w:tc>
        <w:tc>
          <w:tcPr>
            <w:tcW w:w="1220" w:type="dxa"/>
            <w:vAlign w:val="bottom"/>
            <w:gridSpan w:val="2"/>
          </w:tcPr>
          <w:p>
            <w:pPr>
              <w:spacing w:after="0"/>
              <w:rPr>
                <w:sz w:val="20"/>
                <w:szCs w:val="20"/>
                <w:color w:val="auto"/>
              </w:rPr>
            </w:pPr>
            <w:r>
              <w:rPr>
                <w:rFonts w:ascii="Arial" w:cs="Arial" w:eastAsia="Arial" w:hAnsi="Arial"/>
                <w:sz w:val="18"/>
                <w:szCs w:val="18"/>
                <w:color w:val="auto"/>
              </w:rPr>
              <w:t>Analog, Logic,</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(5% of Semiconductor revenue)</w:t>
            </w:r>
          </w:p>
        </w:tc>
        <w:tc>
          <w:tcPr>
            <w:tcW w:w="7080" w:type="dxa"/>
            <w:vAlign w:val="bottom"/>
            <w:gridSpan w:val="2"/>
          </w:tcPr>
          <w:p>
            <w:pPr>
              <w:spacing w:after="0"/>
              <w:rPr>
                <w:sz w:val="20"/>
                <w:szCs w:val="20"/>
                <w:color w:val="auto"/>
              </w:rPr>
            </w:pPr>
            <w:r>
              <w:rPr>
                <w:rFonts w:ascii="Arial" w:cs="Arial" w:eastAsia="Arial" w:hAnsi="Arial"/>
                <w:sz w:val="18"/>
                <w:szCs w:val="18"/>
                <w:color w:val="auto"/>
              </w:rPr>
              <w:t>motor controls (heating/ventilation/air conditioning, industrial control motor drives, power</w:t>
            </w:r>
          </w:p>
        </w:tc>
        <w:tc>
          <w:tcPr>
            <w:tcW w:w="1220" w:type="dxa"/>
            <w:vAlign w:val="bottom"/>
            <w:gridSpan w:val="2"/>
          </w:tcPr>
          <w:p>
            <w:pPr>
              <w:spacing w:after="0"/>
              <w:rPr>
                <w:sz w:val="20"/>
                <w:szCs w:val="20"/>
                <w:color w:val="auto"/>
              </w:rPr>
            </w:pPr>
            <w:r>
              <w:rPr>
                <w:rFonts w:ascii="Arial" w:cs="Arial" w:eastAsia="Arial" w:hAnsi="Arial"/>
                <w:sz w:val="18"/>
                <w:szCs w:val="18"/>
                <w:color w:val="auto"/>
              </w:rPr>
              <w:t>DSP,</w:t>
            </w: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tools, printers/copiers)</w:t>
            </w:r>
          </w:p>
        </w:tc>
        <w:tc>
          <w:tcPr>
            <w:tcW w:w="1220" w:type="dxa"/>
            <w:vAlign w:val="bottom"/>
            <w:gridSpan w:val="2"/>
          </w:tcPr>
          <w:p>
            <w:pPr>
              <w:spacing w:after="0"/>
              <w:rPr>
                <w:sz w:val="20"/>
                <w:szCs w:val="20"/>
                <w:color w:val="auto"/>
              </w:rPr>
            </w:pPr>
            <w:r>
              <w:rPr>
                <w:rFonts w:ascii="Arial" w:cs="Arial" w:eastAsia="Arial" w:hAnsi="Arial"/>
                <w:sz w:val="18"/>
                <w:szCs w:val="18"/>
                <w:color w:val="auto"/>
                <w:w w:val="94"/>
              </w:rPr>
              <w:t>Microcontrollers</w:t>
            </w: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Medical - biophysical monitoring, digital hearing aids, medical imagery, personal medical</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devices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w w:val="96"/>
              </w:rPr>
              <w:t>Security - biometrics (fingerprint identification and authentication), intelligent sensing (smoke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10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and glass-breakage detection)</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91"/>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7080" w:type="dxa"/>
            <w:vAlign w:val="bottom"/>
            <w:gridSpan w:val="2"/>
          </w:tcPr>
          <w:p>
            <w:pPr>
              <w:spacing w:after="0"/>
              <w:rPr>
                <w:sz w:val="20"/>
                <w:szCs w:val="20"/>
                <w:color w:val="auto"/>
              </w:rPr>
            </w:pPr>
            <w:r>
              <w:rPr>
                <w:rFonts w:ascii="Arial" w:cs="Arial" w:eastAsia="Arial" w:hAnsi="Arial"/>
                <w:sz w:val="18"/>
                <w:szCs w:val="18"/>
                <w:color w:val="auto"/>
              </w:rPr>
              <w:t>Body systems</w:t>
            </w:r>
          </w:p>
        </w:tc>
        <w:tc>
          <w:tcPr>
            <w:tcW w:w="1220" w:type="dxa"/>
            <w:vAlign w:val="bottom"/>
            <w:gridSpan w:val="2"/>
          </w:tcPr>
          <w:p>
            <w:pPr>
              <w:spacing w:after="0"/>
              <w:rPr>
                <w:sz w:val="20"/>
                <w:szCs w:val="20"/>
                <w:color w:val="auto"/>
              </w:rPr>
            </w:pPr>
            <w:r>
              <w:rPr>
                <w:rFonts w:ascii="Arial" w:cs="Arial" w:eastAsia="Arial" w:hAnsi="Arial"/>
                <w:sz w:val="18"/>
                <w:szCs w:val="18"/>
                <w:color w:val="auto"/>
                <w:w w:val="90"/>
              </w:rPr>
              <w:t>Microcontrollers,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(5% of Semiconductor revenue)</w:t>
            </w:r>
          </w:p>
        </w:tc>
        <w:tc>
          <w:tcPr>
            <w:tcW w:w="7080" w:type="dxa"/>
            <w:vAlign w:val="bottom"/>
            <w:gridSpan w:val="2"/>
          </w:tcPr>
          <w:p>
            <w:pPr>
              <w:spacing w:after="0"/>
              <w:rPr>
                <w:sz w:val="20"/>
                <w:szCs w:val="20"/>
                <w:color w:val="auto"/>
              </w:rPr>
            </w:pPr>
            <w:r>
              <w:rPr>
                <w:rFonts w:ascii="Arial" w:cs="Arial" w:eastAsia="Arial" w:hAnsi="Arial"/>
                <w:sz w:val="18"/>
                <w:szCs w:val="18"/>
                <w:color w:val="auto"/>
              </w:rPr>
              <w:t>Chassis systems</w:t>
            </w:r>
          </w:p>
        </w:tc>
        <w:tc>
          <w:tcPr>
            <w:tcW w:w="1220" w:type="dxa"/>
            <w:vAlign w:val="bottom"/>
            <w:gridSpan w:val="2"/>
          </w:tcPr>
          <w:p>
            <w:pPr>
              <w:spacing w:after="0"/>
              <w:rPr>
                <w:sz w:val="20"/>
                <w:szCs w:val="20"/>
                <w:color w:val="auto"/>
              </w:rPr>
            </w:pPr>
            <w:r>
              <w:rPr>
                <w:rFonts w:ascii="Arial" w:cs="Arial" w:eastAsia="Arial" w:hAnsi="Arial"/>
                <w:sz w:val="18"/>
                <w:szCs w:val="18"/>
                <w:color w:val="auto"/>
              </w:rPr>
              <w:t>Analog, DSP,</w:t>
            </w: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Driver information/telemetrics</w:t>
            </w:r>
          </w:p>
        </w:tc>
        <w:tc>
          <w:tcPr>
            <w:tcW w:w="1220" w:type="dxa"/>
            <w:vAlign w:val="bottom"/>
            <w:gridSpan w:val="2"/>
          </w:tcPr>
          <w:p>
            <w:pPr>
              <w:spacing w:after="0"/>
              <w:rPr>
                <w:sz w:val="20"/>
                <w:szCs w:val="20"/>
                <w:color w:val="auto"/>
              </w:rPr>
            </w:pPr>
            <w:r>
              <w:rPr>
                <w:rFonts w:ascii="Arial" w:cs="Arial" w:eastAsia="Arial" w:hAnsi="Arial"/>
                <w:sz w:val="18"/>
                <w:szCs w:val="18"/>
                <w:color w:val="auto"/>
              </w:rPr>
              <w:t>Logic</w:t>
            </w: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Powertrain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Safety systems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10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Security systems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Manufacturing</w:t>
      </w:r>
    </w:p>
    <w:p>
      <w:pPr>
        <w:spacing w:after="0" w:line="7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We have semiconductor manufacturing sites in North America, Japan, Asia and Europe. These facilities include high-volume wafer fabrication plants and assembly/test sites. Our semiconductor manufacturing facilities require substantial investment to construct and are largely fixed-cost assets once they are in operation. Because we own most of our manufacturing capacity, a significant portion of our operating costs are fixed. In general, these costs do not decline when</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80" w:right="33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customer demand or our capacity utilization rates drop, and this can hurt our profit margins. Conversely, as product demand rises and factory utilization increases, the fixed costs are spread over increased output, which should benefit profit margins.</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semiconductor manufacturing process begins with a thin silicon wafer on which an array of semiconductor devices is fabricated. The wafer is then tested, cut into chips, and assembled into packages that are then individually retested.</w:t>
      </w:r>
    </w:p>
    <w:p>
      <w:pPr>
        <w:spacing w:after="0" w:line="11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advanced digital products require the most advanced and most capital-intensive manufacturing processes. DSPs and other digital products tend to move to more advanced production techniques every couple of years. Consequently, maintaining an industry leadership position requires significant capital expenditures for new manufacturing capabilities.</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manufacturing strategy for advanced digital processes is to build internal capacity to a level we believe will remain fully utilized over the equipment’s asset lifetime. We then outsource remaining capacity from outside suppliers, including semiconductor foundries and assembly/test subcontractors. We also outsource the manufacturing of some products when it would be less cost-efficient to make those products in-house, for instance, relatively low-volume products that are unlikely to keep internal equipment fully utilized. This internal/external strategy is designed to reduce the level of our required capital expenditures, and thereby reduce our subsequent levels of depreciation. The expected end result is less fluctuation in our profit margins due to changing product demand. Currently, outside foundries provide about 20 percent of our total wafers produced.</w:t>
      </w:r>
    </w:p>
    <w:p>
      <w:pPr>
        <w:spacing w:after="0" w:line="10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As we move to each succeeding generation of manufacturing process technology, we utilize less space per transistor, which enables us to either: 1) fit more transistors on an equivalent-size chip, 2) decrease the chip’s size or 3) integrate new features onto the chip. By shrinking the size of transistors, we also can provide faster chips that consume less power and cost less per unit to manufacture.</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manufacturing capabilities are on par with the best in the semiconductor industry. As of December 31, 2005, we have shipped more than 150 million chips manufactured using 90-nanometer process technology, and our 65-nanometer process is now qualified and ramping into production. Our advanced semiconductor research and development (R&amp;D) is now done side-by-side with production of 300-millimeter (mm) wafers in our Dallas DMOS 6 fabrication plant. A second 300-mm facility is under construction to help meet customer demand for advanced chips. 300-mm wafers greatly expand the number of equivalent chips we can put on a single wafer, compared with the previous 200-mm wafers.</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2005, a majority of our advanced digital products were built using 130-nanometer manufacturing process technology, while devices using 90-nanometer technology continued to increase throughout the year. We also began selling processors manufactured using 65-nanometer process technology. One nanometer is one billionth of a meter.</w:t>
      </w:r>
    </w:p>
    <w:p>
      <w:pPr>
        <w:spacing w:after="0" w:line="12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Since analog manufacturing technology evolves more slowly than digital manufacturing technology, analog products typically do not require us to build new manufacturing facilities. This tends to improve the profit margin on analog products, since the equipment on which they are manufactured are frequently fully depreciated.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Design Centers</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design centers provide design, engineering and product application support as well as after-sales customer service design. The design centers are strategically located around the world to take advantage of key technical and engineering talent and proximity to key customers.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Customers</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Semiconductor products are sold to OEMs, ODMs, contract manufacturers and distributors. Our largest single customer in 2005 was an OEM, the Nokia group of companies. Direct sales to Nokia were slightly less than 10 percent of our revenue in both 2004 and 2005, although if indirect sales such as to contract manufacturers are included, Nokia accounted for more than 10 percent of our 2004 and 2005 revenue. Overall, our sales to Nokia as a percent of revenue were slightly higher in 2005 than in 2004.</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Sales and Distribution</w:t>
      </w:r>
    </w:p>
    <w:p>
      <w:pPr>
        <w:spacing w:after="0" w:line="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market and sell our products through a direct sales force, distributors and authorized third-party sales representatives. We have sales offices in over 25 countries worldwide. Distributors, located around the world, account for about 25 percent of our Semiconductor revenue, and they sell our products directly to a wide range of customers. These distributors typically maintain an inventory of our products. They also sell products from our competitors.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Sensors &amp; Controls Segment</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Sensors &amp; Controls designs and manufactures sensors, electrical and electronic controls, and radio frequency identification (RFID) systems. We have Sensors &amp; Controls manufacturing operations in the Americas, Europe and Asia, and we also source some products from third-party manufacturers. Sensors &amp; Controls represented 9 percent of our revenue in 2005.</w:t>
      </w:r>
    </w:p>
    <w:p>
      <w:pPr>
        <w:spacing w:after="0" w:line="127" w:lineRule="exact"/>
        <w:rPr>
          <w:sz w:val="20"/>
          <w:szCs w:val="20"/>
          <w:color w:val="auto"/>
        </w:rPr>
      </w:pPr>
    </w:p>
    <w:p>
      <w:pPr>
        <w:jc w:val="both"/>
        <w:ind w:right="600"/>
        <w:spacing w:after="0" w:line="335" w:lineRule="auto"/>
        <w:rPr>
          <w:sz w:val="20"/>
          <w:szCs w:val="20"/>
          <w:color w:val="auto"/>
        </w:rPr>
      </w:pPr>
      <w:r>
        <w:rPr>
          <w:rFonts w:ascii="Arial" w:cs="Arial" w:eastAsia="Arial" w:hAnsi="Arial"/>
          <w:sz w:val="15"/>
          <w:szCs w:val="15"/>
          <w:color w:val="auto"/>
        </w:rPr>
        <w:t>Our sensors business is the market leader in pressure sensing for the heating/ventilation/air conditioning, automotive and industrial markets. Our products improve operating performance, for example, by making a car’s heating and air-conditioning systems work more efficiently. Our pressure sensors for fuel injection and vehicle stability improve safety and performance and help the environment by reducing vehicle emissions and improving gas mileage.</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controls business includes controls, motor protectors, circuit breakers, arc-fault circuit protectors and thermostats. These products help prevent damage from overheating and fires in a wide variety of applications, including aircraft, commercial heating and air-conditioning systems, refrigerators, cars, lighting and industrial applications.</w:t>
      </w:r>
    </w:p>
    <w:p>
      <w:pPr>
        <w:spacing w:after="0" w:line="12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RFID technology uses wireless radio communications to uniquely identify objects or people. It is used in a broad range of applications including access control to buildings, pay-at-the-pump gasoline sales, vehicle security, document tracking, livestock tracking and identification, product authentication, retail, sports timing, supply chain, ticketing and wireless payment. Our RFID systems consist of a transponder, receiver and other components such as antennas.</w:t>
      </w:r>
    </w:p>
    <w:p>
      <w:pPr>
        <w:spacing w:after="0" w:line="9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As discussed below (see Acquisitions, Divestitures and Investments), we have entered into an agreement to sell to an affiliate of Bain Capital, LLC, for $3 billion, substantially all of our Sensors &amp; Controls segment. The RFID operations, which are not included in the sale, will become part of our Semiconductor segment.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Competition</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Sensors &amp; Controls is typically the top supplier in its targeted product areas, although we do have strong multinational and regional competitors. The primary competitive factors in this business are product reliability, manufacturing costs and engineering expertise.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Sales and Distribution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Sensors &amp; Controls products are sold to OEMs and distributors.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&amp; Productivity Solutions (E&amp;PS) Segment</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Educational &amp; Productivity Solutions is a leading supplier of graphing handheld calculators. This business segment also provides its customers with business and scientific calculators and a wide range of advanced classroom tools and professional development resources to help students and teachers interactively explore math and science. E&amp;PS relies on third-party manufacturers to build its products. This segment contributed 4 percent of our 2005 revenue.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Competition</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principal competitors in this business are U.S.- and Japan-based companies. The principal competitive factors are an understanding of the education market, technology expertise and price.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Sales and Distribution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E&amp;PS sells its products primarily through retailers and instructional dealers.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Divestitures and Investments</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From time to time we consider acquisitions and divestitures that may strengthen our business portfolio. We also make investments directly or indirectly in private companies. Investments are focused primarily on next-generation technologies and markets strategic to us.</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the first quarter of 2005, we sold to Oki Electric Industry Co., Ltd. the assets associated with our commodity LCD driver product line. In 2004, those assets generated about $200 million in revenue.</w:t>
      </w:r>
    </w:p>
    <w:p>
      <w:pPr>
        <w:spacing w:after="0" w:line="11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2005, we announced the acquisition of Chipcon Group ASA, a leading company in the design of short-range, low-power wireless radio-frequency (RF) transceiver devices. Chipcon’s product line complements our existing high-performance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jc w:val="both"/>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analog, power management and ultra-low-power microcontroller portfolio. We agreed to pay approximately $200 million for Chipcon, and the transaction was completed in January 2006.</w:t>
      </w:r>
    </w:p>
    <w:p>
      <w:pPr>
        <w:spacing w:after="0" w:line="118"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In early 2006, we entered into an agreement to sell to an affiliate of Bain Capital, LLC, for $3 billion, substantially all of our Sensors &amp; Controls segment. We expect to complete this sale in the first half of 2006. The RFID operations, which are not included in the sale, will become part of our Semiconductor segment. The sale will allow us to intensify our focus on our high-growth core digital signal processing and analog semiconductor opportunities.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Backlog</w:t>
      </w:r>
    </w:p>
    <w:p>
      <w:pPr>
        <w:spacing w:after="0" w:line="8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backlog of orders was $2.11 billion at December 31, 2005, and $1.58 billion at December 31, 2004. A substantial number of orders are shipped during the quarter in which they are received. We define backlog as of a particular date as firm purchase orders with a customer requested delivery date within a maximum length of time. As customer requirements and industry conditions change, orders may be, under certain circumstances, subject to cancellation or modification of terms such as pricing, quantity or delivery date. Customer order placement practices continually evolve based on customers’ individual business needs and capabilities, as well as industry supply and capacity considerations. Accordingly, we believe that our backlog at any particular date may not be indicative of revenue for any future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Raw Materials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several agreements with other companies involving license rights and anticipate that other license agreements may be negotiated in the future. In general, our license agreements have multi-year terms and may be renewed after renegotiation.</w:t>
      </w:r>
    </w:p>
    <w:p>
      <w:pPr>
        <w:spacing w:after="0" w:line="130" w:lineRule="exact"/>
        <w:rPr>
          <w:sz w:val="20"/>
          <w:szCs w:val="20"/>
          <w:color w:val="auto"/>
        </w:rPr>
      </w:pPr>
    </w:p>
    <w:p>
      <w:pPr>
        <w:jc w:val="both"/>
        <w:ind w:right="320"/>
        <w:spacing w:after="0" w:line="370" w:lineRule="auto"/>
        <w:rPr>
          <w:sz w:val="20"/>
          <w:szCs w:val="20"/>
          <w:color w:val="auto"/>
        </w:rPr>
      </w:pPr>
      <w:r>
        <w:rPr>
          <w:rFonts w:ascii="Arial" w:cs="Arial" w:eastAsia="Arial" w:hAnsi="Arial"/>
          <w:sz w:val="15"/>
          <w:szCs w:val="15"/>
          <w:color w:val="auto"/>
        </w:rPr>
        <w:t>Our Semiconductor patent portfolio is an ongoing contributor to Semiconductor revenue. We do not consider our business materially dependent upon any one patent or patent license, although taken as a whole, our rights and the products made and sold under patents and patent licenses are important to our business.</w:t>
      </w:r>
    </w:p>
    <w:p>
      <w:pPr>
        <w:spacing w:after="0" w:line="4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often participate in industry initiatives to set technical standards. Our competitors may also participate in the same initiatives. Participation in these initiatives may require us to license our patents to other companies.</w:t>
      </w:r>
    </w:p>
    <w:p>
      <w:pPr>
        <w:spacing w:after="0" w:line="118" w:lineRule="exact"/>
        <w:rPr>
          <w:sz w:val="20"/>
          <w:szCs w:val="20"/>
          <w:color w:val="auto"/>
        </w:rPr>
      </w:pPr>
    </w:p>
    <w:p>
      <w:pPr>
        <w:ind w:right="140"/>
        <w:spacing w:after="0" w:line="304"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 Other valuable trademarks include DLP</w:t>
      </w:r>
      <w:r>
        <w:rPr>
          <w:rFonts w:ascii="Arial" w:cs="Arial" w:eastAsia="Arial" w:hAnsi="Arial"/>
          <w:sz w:val="18"/>
          <w:szCs w:val="18"/>
          <w:i w:val="1"/>
          <w:iCs w:val="1"/>
          <w:color w:val="auto"/>
          <w:vertAlign w:val="superscript"/>
        </w:rPr>
        <w:t>®</w:t>
      </w:r>
      <w:r>
        <w:rPr>
          <w:rFonts w:ascii="Arial" w:cs="Arial" w:eastAsia="Arial" w:hAnsi="Arial"/>
          <w:sz w:val="18"/>
          <w:szCs w:val="18"/>
          <w:color w:val="auto"/>
        </w:rPr>
        <w:t xml:space="preserve"> and OMAP</w:t>
      </w:r>
      <w:r>
        <w:rPr>
          <w:rFonts w:ascii="Arial" w:cs="Arial" w:eastAsia="Arial" w:hAnsi="Arial"/>
          <w:sz w:val="22"/>
          <w:szCs w:val="22"/>
          <w:color w:val="auto"/>
          <w:vertAlign w:val="superscript"/>
        </w:rPr>
        <w:t>TM</w:t>
      </w:r>
      <w:r>
        <w:rPr>
          <w:rFonts w:ascii="Arial" w:cs="Arial" w:eastAsia="Arial" w:hAnsi="Arial"/>
          <w:sz w:val="18"/>
          <w:szCs w:val="18"/>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(R&amp;D)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Our primary area of R&amp;D investment is semiconductor products and semiconductor manufacturing technology. We conduct most of our R&amp;D internally.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we also closely engage with a wide range of external industry consortia and universities.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we may terminate R&amp;D projects before completion or decide not to manufacture and sell a developed product. We do not expect that all of our R&amp;D projects will result in products that are ultimately released for sale or that our projects will contribute to revenue until at least a few years following completion.</w:t>
      </w:r>
    </w:p>
    <w:p>
      <w:pPr>
        <w:spacing w:after="0" w:line="12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R&amp;D expense was $2.02 billion in 2005, compared with $1.98 billion in 2004 and $1.75 billion in 2003. Included is a charge for the value of acquisition-related in-process R&amp;D of zero in 2005 and 2004 and $23 million in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revenue and operating results are subject to some seasonal variation. E&amp;PS experiences its strongest results in the second and third quarters due to the back-to-school season. The Semiconductor segment generally has a weak first quarter, particularly in product areas such as wireless and consumer electronics that have stronger sales later in the year as manufacturers prepare for the holiday selling season.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2005, we had 35,207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make available, free of charge, through our investor relations web site our reports on Forms 10-K, 10-Q and 8-K, and amendments to those reports, as soon as reasonably practicable after they are filed with the SEC. Also available through the TI investor relations web site are reports filed by our directors and executive officers on Forms 3, 4 and 5, and amendments to those reports. The URL for our investor relations web site is www.ti.com/ir.</w:t>
      </w:r>
    </w:p>
    <w:p>
      <w:pPr>
        <w:spacing w:after="0" w:line="9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Available on our web site at www.ti.com/corporategovernance are: (i) our Corporate Governance Guidelines; (ii) charters (Statements of Responsibilities) for the Audit, Compensation, and Governance and Stockholder Relations Committees of our board of directors; (iii) our Code of Business Conduct; and (iv) our Code of Ethics for TI Chief Executive Officer and Senior Financial Officers. Stockholders may request copies of these documents free of charge by writing to Texas Instruments Incorporated, P.O. Box 660199, MS 8657, Dallas, Texas, 75266-0199, Attention: Investor Relations.</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differences in our results of operations from estimates and projections generated by the investment community, and other factors beyond our control.</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semiconductor business is our largest business segment and the principal source of our revenue. The semiconductor market has historically been cyclical and subject to significant and often rapid increases and decreases in demand. These changes could adversely affect our results of operations and have an adverse effect on the market price of our securities. In particular, our strategic focus in this business is on the development and marketing of analog integrated circuits and digital signal processors. The results of our operations may be adversely affected in the future if demand for analog integrated circuits or digital signal processors decreases or if these markets or key end-equipment markets such as communications, entertainment electronics and computing grow at a significantly slower pace than management expects.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Margins May Vary over Time.</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most of our manufacturing capacity, a significant portion of our operating costs are fixed. In general, these costs do not decline with reductions in customer demand or our utilization of our manufacturing capacity, and can adversely affect profit margins as a result.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The Technology Industry Is Characterized by Rapid Technological Change That Requires Us to Develop New Technologies and Products.</w:t>
      </w:r>
    </w:p>
    <w:p>
      <w:pPr>
        <w:spacing w:after="0" w:line="10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that the products we do develop and market will be well received by customers or that we will realize a return on the capital expended to develop such products.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Face Substantial Competition That Requires Us to Respond Rapidly to Product Development and Pricing Pressures.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face intense technological and pricing competition in the markets in which we operate. We expect that the level of this competition will increase in the future from large, established semiconductor and related product companies, as well as from emerging companies serving niche markets that we also serve. Certain of our competitors possess sufficient financial, technical and management resources to develop and market products that may compete favorably against those of our products that currently offer technological and/or price advantages over competitive products. Competition results in price and product development pressures, which may result in reduced profit margins and lost business opportunities in the event that we are unable to match price declines or technological, product, applications support, software or manufacturing advances of our competitors.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Our Performance Depends in Part upon Our Ability to Enforce Our Intellectual Property Rights and to Develop and License New Intellectual Property.</w:t>
      </w:r>
    </w:p>
    <w:p>
      <w:pPr>
        <w:spacing w:after="0" w:line="10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We may have to rely increasingly on licensed technology from others. To the extent that we rely on licenses from others, there can be no assurance that we will be able to obtain all of the licenses we desire in the future on terms we consider reasonable or at all. The lack of a necessary license could expose us to claims for damages and/or injunction from third parties, as well as claims for indemnification by our customers in instances where we have contractually agreed to indemnify our customers against damages resulting from infringement claims. We actively enforce and protect our intellectual property rights, but there can be no assurance that our efforts will be adequate to prevent the misappropriation or improper use of the protected technology.</w:t>
      </w:r>
    </w:p>
    <w:p>
      <w:pPr>
        <w:spacing w:after="0" w:line="1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benefit from royalty revenue generated from various license agreements. Some agreements expired in 2005 and either have been or are currently being renegotiated. Others will come up for renegotiation in future years. Future royalty revenue depends on the strength of our portfolio and enforcement efforts, and on the sales and financial stability of our licensees. Additionally, the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 Decline in Demand in Certain End-User Markets Could Have a Material Adverse Effect on the Demand for Our Products and Results of Operations.</w:t>
      </w:r>
    </w:p>
    <w:p>
      <w:pPr>
        <w:spacing w:after="0" w:line="10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customer base includes companies in a wide range of industries, but we generate a significant amount of revenue from sales to customers in the communications and computer-related industries. Within these industries, a large portion of our revenue is generated by the sale of analog integrated circuits and digital signal processors to customers in the cell-phone, personal computer and communications infrastructure markets. Decline in one or several of these end-user markets could have a material adverse effect on the demand for our products and our results of operations and financial condition.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Global Manufacturing, Design and Sales Activities Subject Us to Risks Associated with Legal, Political, Economic or Other Changes.</w:t>
      </w:r>
    </w:p>
    <w:p>
      <w:pPr>
        <w:spacing w:after="0" w:line="77"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We have facilities in more than 25 countries worldwide, and in 2005 more than 80 percent of our revenue came from sales to locations outside the United States. Operating internationally exposes us to changes in export controls and other laws or policies, as well as the general political and economic conditions, security risks, health conditions and possible disruptions in transportation networks, of the various countries in which we operate, which could result in an adverse effect on our business operations in such countries and our results of operations. Also, as discussed in more detail on pages 59 and 60 of our 2005 annual report to stockholders, we use forward currency exchange contracts to minimize the adverse earnings impact from the effect of exchange rate fluctuations on our non-U.S. dollar net balance sheet exposures. Nevertheless,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Our Customers or Suppliers Operate.</w:t>
      </w:r>
    </w:p>
    <w:p>
      <w:pPr>
        <w:spacing w:after="0" w:line="7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have manufacturing and other operations in locations subject to natural events such as severe weather and earthquakes that could disrupt operations. In addition, our suppliers and customers also have operations in such locations. A natural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 w:name="page11"/>
    <w:bookmarkEnd w:id="10"/>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disaster that results in a prolonged disruption to our operations, or our customers’ or suppliers’, may adversely affect our results of operations and financial condition.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The Loss of or Significant Curtailment of Purchases by Any of Our Largest Customers Could Adversely Affect Our Results of Operations.</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While 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ability to match inventory and production mix with the product mix needed to fill current orders and orders to be delivered in the given quarter may affect our ability to meet that quarter’s revenue forecast. In addition, when responding to customers’ requests for shorter shipment lead times, we manufacture product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99"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and Third-Party Manufacturing Services.</w:t>
      </w:r>
    </w:p>
    <w:p>
      <w:pPr>
        <w:spacing w:after="0" w:line="3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Our manufacturing processes and critical manufacturing equipment require that certain key raw materials and utilities be available. Limited or delayed access to and high costs of these items could adversely affect our results of operations. Additionally, the inability to timely implement new manufacturing technologies or install manufacturing equipment could adversely affect our results of operations. We subcontract a portion of our wafer fabrication and assembly and testing of our integrated circuits. We depend on a limited number of third parties to perform these functions. We do not have long-term contracts with all of these third parties. Reliance on these third parties involves risks, including possible shortages of capacity in periods of high demand.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Results of Operations Could be Affected by Changes in Taxation.</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facilities in more than 25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 In addition, we are subject to laws and regulations in various locations that govern the determination of which is the appropriate jurisdiction to decide when and how much profit has been earned and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Results of Operations Could be Affected by Warranty Claims, Product Recalls or Product Liability.</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could be subject to warranty or product liability claims that could lead to significant expenses as we defend such claims or pay damage awards. In the event of a warranty claim, we may also incur costs if we decide to compensate the affected customer. We do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claims or product recalls may adversely affect our results of operations and financial condition.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Our Continued Success Depends in Part on Our Ability to Retain and Recruit a Sufficient Number of Qualified Employees in a Competitive Environment.</w:t>
      </w:r>
    </w:p>
    <w:p>
      <w:pPr>
        <w:spacing w:after="0" w:line="1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continued success depends in part on the retention and recruitment of skilled personnel, including technical, marketing, management and staff personnel. Experienced personnel in the electronics industry are in high demand and competition for their skills is intense. There can be no assurance that we will be able to successfully retain and recruit the key personnel that we require.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1B.</w:t>
      </w:r>
      <w:r>
        <w:rPr>
          <w:sz w:val="20"/>
          <w:szCs w:val="20"/>
          <w:color w:val="auto"/>
        </w:rPr>
        <w:tab/>
      </w:r>
      <w:r>
        <w:rPr>
          <w:rFonts w:ascii="Arial" w:cs="Arial" w:eastAsia="Arial" w:hAnsi="Arial"/>
          <w:sz w:val="15"/>
          <w:szCs w:val="15"/>
          <w:b w:val="1"/>
          <w:bCs w:val="1"/>
          <w:color w:val="auto"/>
        </w:rPr>
        <w:t>Unresolved Staff Comments.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color w:val="auto"/>
        </w:rPr>
        <w:t>Our principal executive offices are located at 12500 TI Boulevard, Dallas, Texas. The following table indicates the general location of our principal manufacturing and design operations and the business segments that make major use of them. Except as otherwise indicated, we own these facilities.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79"/>
              </w:rPr>
              <w:t>Sensors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49"/>
        </w:trPr>
        <w:tc>
          <w:tcPr>
            <w:tcW w:w="4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rPr>
              <w:t>&amp;</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74"/>
        </w:trPr>
        <w:tc>
          <w:tcPr>
            <w:tcW w:w="4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Controls</w:t>
            </w:r>
          </w:p>
        </w:tc>
        <w:tc>
          <w:tcPr>
            <w:tcW w:w="12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E&amp;PS</w:t>
            </w:r>
          </w:p>
        </w:tc>
      </w:tr>
      <w:tr>
        <w:trPr>
          <w:trHeight w:val="95"/>
        </w:trPr>
        <w:tc>
          <w:tcPr>
            <w:tcW w:w="41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377"/>
        </w:trPr>
        <w:tc>
          <w:tcPr>
            <w:tcW w:w="4120" w:type="dxa"/>
            <w:vAlign w:val="bottom"/>
          </w:tcPr>
          <w:p>
            <w:pPr>
              <w:spacing w:after="0"/>
              <w:rPr>
                <w:sz w:val="20"/>
                <w:szCs w:val="20"/>
                <w:color w:val="auto"/>
              </w:rPr>
            </w:pPr>
            <w:r>
              <w:rPr>
                <w:rFonts w:ascii="Arial" w:cs="Arial" w:eastAsia="Arial" w:hAnsi="Arial"/>
                <w:sz w:val="18"/>
                <w:szCs w:val="18"/>
                <w:color w:val="auto"/>
              </w:rPr>
              <w:t>Dallas, Texas</w:t>
            </w:r>
            <w:r>
              <w:rPr>
                <w:rFonts w:ascii="Arial" w:cs="Arial" w:eastAsia="Arial" w:hAnsi="Arial"/>
                <w:sz w:val="22"/>
                <w:szCs w:val="22"/>
                <w:color w:val="auto"/>
                <w:vertAlign w:val="superscript"/>
              </w:rPr>
              <w:t>(1)</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20" w:type="dxa"/>
            <w:vAlign w:val="bottom"/>
          </w:tcPr>
          <w:p>
            <w:pPr>
              <w:spacing w:after="0" w:line="217" w:lineRule="exact"/>
              <w:rPr>
                <w:sz w:val="20"/>
                <w:szCs w:val="20"/>
                <w:color w:val="auto"/>
              </w:rPr>
            </w:pPr>
            <w:r>
              <w:rPr>
                <w:rFonts w:ascii="Arial" w:cs="Arial" w:eastAsia="Arial" w:hAnsi="Arial"/>
                <w:sz w:val="18"/>
                <w:szCs w:val="18"/>
                <w:color w:val="auto"/>
              </w:rPr>
              <w:t>Sherman, Texas</w:t>
            </w:r>
            <w:r>
              <w:rPr>
                <w:rFonts w:ascii="Arial" w:cs="Arial" w:eastAsia="Arial" w:hAnsi="Arial"/>
                <w:sz w:val="22"/>
                <w:szCs w:val="22"/>
                <w:color w:val="auto"/>
                <w:vertAlign w:val="superscript"/>
              </w:rPr>
              <w:t>(1)(2)</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Houston, Texas</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Miho, Japan</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line="217" w:lineRule="exact"/>
              <w:rPr>
                <w:sz w:val="20"/>
                <w:szCs w:val="20"/>
                <w:color w:val="auto"/>
              </w:rPr>
            </w:pPr>
            <w:r>
              <w:rPr>
                <w:rFonts w:ascii="Arial" w:cs="Arial" w:eastAsia="Arial" w:hAnsi="Arial"/>
                <w:sz w:val="18"/>
                <w:szCs w:val="18"/>
                <w:color w:val="auto"/>
              </w:rPr>
              <w:t>Kuala Lumpur, Malaysia</w:t>
            </w:r>
            <w:r>
              <w:rPr>
                <w:rFonts w:ascii="Arial" w:cs="Arial" w:eastAsia="Arial" w:hAnsi="Arial"/>
                <w:sz w:val="22"/>
                <w:szCs w:val="22"/>
                <w:color w:val="auto"/>
                <w:vertAlign w:val="superscript"/>
              </w:rPr>
              <w:t>(3)</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Freising, Germany</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120" w:type="dxa"/>
            <w:vAlign w:val="bottom"/>
          </w:tcPr>
          <w:p>
            <w:pPr>
              <w:spacing w:after="0" w:line="217" w:lineRule="exact"/>
              <w:rPr>
                <w:sz w:val="20"/>
                <w:szCs w:val="20"/>
                <w:color w:val="auto"/>
              </w:rPr>
            </w:pPr>
            <w:r>
              <w:rPr>
                <w:rFonts w:ascii="Arial" w:cs="Arial" w:eastAsia="Arial" w:hAnsi="Arial"/>
                <w:sz w:val="18"/>
                <w:szCs w:val="18"/>
                <w:color w:val="auto"/>
              </w:rPr>
              <w:t>Baguio, Philippines</w:t>
            </w:r>
            <w:r>
              <w:rPr>
                <w:rFonts w:ascii="Arial" w:cs="Arial" w:eastAsia="Arial" w:hAnsi="Arial"/>
                <w:sz w:val="22"/>
                <w:szCs w:val="22"/>
                <w:color w:val="auto"/>
                <w:vertAlign w:val="superscript"/>
              </w:rPr>
              <w:t>(4)</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Taipei, Taiwan</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line="217" w:lineRule="exact"/>
              <w:rPr>
                <w:sz w:val="20"/>
                <w:szCs w:val="20"/>
                <w:color w:val="auto"/>
              </w:rPr>
            </w:pPr>
            <w:r>
              <w:rPr>
                <w:rFonts w:ascii="Arial" w:cs="Arial" w:eastAsia="Arial" w:hAnsi="Arial"/>
                <w:sz w:val="18"/>
                <w:szCs w:val="18"/>
                <w:color w:val="auto"/>
              </w:rPr>
              <w:t>Aguascalientes, Mexico</w:t>
            </w:r>
            <w:r>
              <w:rPr>
                <w:rFonts w:ascii="Arial" w:cs="Arial" w:eastAsia="Arial" w:hAnsi="Arial"/>
                <w:sz w:val="22"/>
                <w:szCs w:val="22"/>
                <w:color w:val="auto"/>
                <w:vertAlign w:val="superscript"/>
              </w:rPr>
              <w:t>(5)</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line="217" w:lineRule="exact"/>
              <w:rPr>
                <w:sz w:val="20"/>
                <w:szCs w:val="20"/>
                <w:color w:val="auto"/>
              </w:rPr>
            </w:pPr>
            <w:r>
              <w:rPr>
                <w:rFonts w:ascii="Arial" w:cs="Arial" w:eastAsia="Arial" w:hAnsi="Arial"/>
                <w:sz w:val="18"/>
                <w:szCs w:val="18"/>
                <w:color w:val="auto"/>
              </w:rPr>
              <w:t>Attleboro, Massachusetts</w:t>
            </w:r>
            <w:r>
              <w:rPr>
                <w:rFonts w:ascii="Arial" w:cs="Arial" w:eastAsia="Arial" w:hAnsi="Arial"/>
                <w:sz w:val="22"/>
                <w:szCs w:val="22"/>
                <w:color w:val="auto"/>
                <w:vertAlign w:val="superscript"/>
              </w:rPr>
              <w:t>(2)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Hiji, Japan</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line="217" w:lineRule="exact"/>
              <w:rPr>
                <w:sz w:val="20"/>
                <w:szCs w:val="20"/>
                <w:color w:val="auto"/>
              </w:rPr>
            </w:pPr>
            <w:r>
              <w:rPr>
                <w:rFonts w:ascii="Arial" w:cs="Arial" w:eastAsia="Arial" w:hAnsi="Arial"/>
                <w:sz w:val="18"/>
                <w:szCs w:val="18"/>
                <w:color w:val="auto"/>
              </w:rPr>
              <w:t>Changzhou, China</w:t>
            </w:r>
            <w:r>
              <w:rPr>
                <w:rFonts w:ascii="Arial" w:cs="Arial" w:eastAsia="Arial" w:hAnsi="Arial"/>
                <w:sz w:val="22"/>
                <w:szCs w:val="22"/>
                <w:color w:val="auto"/>
                <w:vertAlign w:val="superscript"/>
              </w:rPr>
              <w:t>(2)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Nice, France</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Tucson, Arizona</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Bangalore, India</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line="217" w:lineRule="exact"/>
              <w:rPr>
                <w:sz w:val="20"/>
                <w:szCs w:val="20"/>
                <w:color w:val="auto"/>
              </w:rPr>
            </w:pPr>
            <w:r>
              <w:rPr>
                <w:rFonts w:ascii="Arial" w:cs="Arial" w:eastAsia="Arial" w:hAnsi="Arial"/>
                <w:sz w:val="18"/>
                <w:szCs w:val="18"/>
                <w:color w:val="auto"/>
              </w:rPr>
              <w:t>Baoying, China</w:t>
            </w:r>
            <w:r>
              <w:rPr>
                <w:rFonts w:ascii="Arial" w:cs="Arial" w:eastAsia="Arial" w:hAnsi="Arial"/>
                <w:sz w:val="22"/>
                <w:szCs w:val="22"/>
                <w:color w:val="auto"/>
                <w:vertAlign w:val="superscript"/>
              </w:rPr>
              <w:t>(4)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line="217" w:lineRule="exact"/>
              <w:rPr>
                <w:sz w:val="20"/>
                <w:szCs w:val="20"/>
                <w:color w:val="auto"/>
              </w:rPr>
            </w:pPr>
            <w:r>
              <w:rPr>
                <w:rFonts w:ascii="Arial" w:cs="Arial" w:eastAsia="Arial" w:hAnsi="Arial"/>
                <w:sz w:val="18"/>
                <w:szCs w:val="18"/>
                <w:color w:val="auto"/>
              </w:rPr>
              <w:t>Tokyo, Japan</w:t>
            </w:r>
            <w:r>
              <w:rPr>
                <w:rFonts w:ascii="Arial" w:cs="Arial" w:eastAsia="Arial" w:hAnsi="Arial"/>
                <w:sz w:val="22"/>
                <w:szCs w:val="22"/>
                <w:color w:val="auto"/>
                <w:vertAlign w:val="superscript"/>
              </w:rPr>
              <w:t>(2)</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Jincheon, South Korea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99"/>
        </w:trPr>
        <w:tc>
          <w:tcPr>
            <w:tcW w:w="4120" w:type="dxa"/>
            <w:vAlign w:val="bottom"/>
          </w:tcPr>
          <w:p>
            <w:pPr>
              <w:spacing w:after="0"/>
              <w:rPr>
                <w:sz w:val="20"/>
                <w:szCs w:val="20"/>
                <w:color w:val="auto"/>
              </w:rPr>
            </w:pPr>
            <w:r>
              <w:rPr>
                <w:rFonts w:ascii="Arial" w:cs="Arial" w:eastAsia="Arial" w:hAnsi="Arial"/>
                <w:sz w:val="18"/>
                <w:szCs w:val="18"/>
                <w:color w:val="auto"/>
              </w:rPr>
              <w:t>San Diego, California</w:t>
            </w:r>
            <w:r>
              <w:rPr>
                <w:rFonts w:ascii="Arial" w:cs="Arial" w:eastAsia="Arial" w:hAnsi="Arial"/>
                <w:sz w:val="22"/>
                <w:szCs w:val="22"/>
                <w:color w:val="auto"/>
                <w:vertAlign w:val="superscript"/>
              </w:rPr>
              <w:t>(2)</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00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7" w:lineRule="exact"/>
        <w:rPr>
          <w:sz w:val="20"/>
          <w:szCs w:val="20"/>
          <w:color w:val="auto"/>
        </w:rPr>
      </w:pPr>
    </w:p>
    <w:p>
      <w:pPr>
        <w:ind w:left="460" w:right="12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Certain facilities or portions thereof in Dallas and Sherman are leased to Raytheon Company or Raytheon-related entities in connection with the sale in 1997 of our defense systems and electronics business.</w:t>
      </w:r>
    </w:p>
    <w:p>
      <w:pPr>
        <w:sectPr>
          <w:pgSz w:w="11900" w:h="16838" w:orient="portrait"/>
          <w:cols w:equalWidth="0" w:num="1">
            <w:col w:w="11200"/>
          </w:cols>
          <w:pgMar w:left="240" w:top="274" w:right="45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Leased.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All of the land and a portion of the facilities are leased; a portion of the facilities is owned.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Owned facilities located on leased land.</w:t>
      </w:r>
    </w:p>
    <w:p>
      <w:pPr>
        <w:spacing w:after="0" w:line="46" w:lineRule="exact"/>
        <w:rPr>
          <w:sz w:val="20"/>
          <w:szCs w:val="20"/>
          <w:color w:val="auto"/>
        </w:rPr>
      </w:pPr>
    </w:p>
    <w:p>
      <w:pPr>
        <w:sectPr>
          <w:pgSz w:w="11900" w:h="16838" w:orient="portrait"/>
          <w:cols w:equalWidth="0" w:num="2">
            <w:col w:w="140" w:space="320"/>
            <w:col w:w="10740"/>
          </w:cols>
          <w:pgMar w:left="240" w:top="274" w:right="459" w:bottom="1440" w:gutter="0" w:footer="0" w:header="0"/>
          <w:type w:val="continuous"/>
        </w:sectPr>
      </w:pPr>
    </w:p>
    <w:p>
      <w:pPr>
        <w:ind w:left="460" w:hanging="452"/>
        <w:spacing w:after="0"/>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Portions of both the land and facilities are leased and owned.</w:t>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facilities in the United States contained approximately 13,600,000 square feet at December 31, 2005, of which approximately 2,300,000 square feet were leased. Our facilities outside the United States contained approximately 7,100,000 square feet at December 31, 2005, of which approximately 1,900,000 square feet were leased.</w:t>
      </w:r>
    </w:p>
    <w:p>
      <w:pPr>
        <w:spacing w:after="0" w:line="12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believe that our existing properties are in good condition and suitable for their intended purpose. As discussed in Item 1, we outsource a portion of our product manufacturing. At the end of 2005, we occupied substantially all of the space in our facilities.</w:t>
      </w:r>
    </w:p>
    <w:p>
      <w:pPr>
        <w:spacing w:after="0" w:line="118"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color w:val="auto"/>
        </w:rPr>
        <w:t>Leases covering our currently occupied leased facilities expire at varying dates generally within the next 10 years. We anticipate no difficulty in retaining occupancy through lease renewals, month-to-month occupancy or purchases of leased facilities, or replacing the leased facilities with equivalent facilities.</w:t>
      </w:r>
    </w:p>
    <w:p>
      <w:pPr>
        <w:spacing w:after="0" w:line="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274" w:right="459" w:bottom="1440" w:gutter="0" w:footer="0" w:header="0"/>
          <w:type w:val="continuous"/>
        </w:sectPr>
      </w:pPr>
    </w:p>
    <w:bookmarkStart w:id="12" w:name="page13"/>
    <w:bookmarkEnd w:id="1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Italian government auditors have substantially completed a review, conducted in the ordinary course, of approximately $250 million of grants from the Italian government to TI’s former memory operations in Italy. The auditors have raised a number of issues relating to compliance with grant requirements and the eligibility of specific expenses for the grants. As of December 31, 2005, the auditors have issued audit reports on 12 of 13 projects. The Ministry of Industry is responsible for reviewing the auditors’ findings. Depending on the Ministry’s decision, the review may result in a demand from the Italian government that we repay a portion of the grants. We believe that the grants were obtained and used in compliance with applicable law and contractual obligations. As of December 31, 2005, the Ministry has published final decrees on 12 of the projects representing approximately $175 million of the grants. We do not expect the outcome to have a material adverse impact on our financial condition, results of operations or liquidity.</w:t>
      </w:r>
    </w:p>
    <w:p>
      <w:pPr>
        <w:spacing w:after="0" w:line="1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involved in various proceedings conducted by the federal Environmental Protection Agency and certain other governmental environmental agencies regarding clean-up of contaminated sites. These proceedings are being coordinated with the agencies and, in certain cases, with other potentially responsible parties. Although the factual situations and the progress of each of these matters differ, we believe that the amount of our liability will not have a material adverse effect upon our financial condition, results of operations or liquidity.</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Internal Revenue Code was recently amended to require that companies disclose in their Form 10-K whether they have been required to pay penalties to the Internal Revenue Service for certain transactions that have been identified by the IRS as abusive or that have a significant tax avoidance purpose. We have not been required to pay any such penalties.</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contained under the caption “Common Stock Prices and Dividends” on page 62 of TI’s 2005 annual report to stockholders, and the information concerning the number of stockholders of record at December 31, 2005, on page 44 of such annual report are incorporated herein by reference to such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repurchases of our common stock in the fourth quarter of 2005: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Total Number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Part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9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Average</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Announced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Plans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Plans or</w:t>
            </w:r>
          </w:p>
        </w:tc>
        <w:tc>
          <w:tcPr>
            <w:tcW w:w="0" w:type="dxa"/>
            <w:vAlign w:val="bottom"/>
          </w:tcPr>
          <w:p>
            <w:pPr>
              <w:spacing w:after="0"/>
              <w:rPr>
                <w:sz w:val="1"/>
                <w:szCs w:val="1"/>
                <w:color w:val="auto"/>
              </w:rPr>
            </w:pPr>
          </w:p>
        </w:tc>
      </w:tr>
      <w:tr>
        <w:trPr>
          <w:trHeight w:val="284"/>
        </w:trPr>
        <w:tc>
          <w:tcPr>
            <w:tcW w:w="67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32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Programs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 xml:space="preserve">Programs </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through October 31,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10,970,400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30.35</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10,970,400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1,368,273,957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November 1 through November 30, 2005</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11,315,493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30.29</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11,315,493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1,025,543,090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through December 31,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6,099,000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32.93</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6,099,000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824,710,663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28,384,893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30.88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28,384,893</w:t>
            </w:r>
            <w:r>
              <w:rPr>
                <w:rFonts w:ascii="Arial" w:cs="Arial" w:eastAsia="Arial" w:hAnsi="Arial"/>
                <w:sz w:val="11"/>
                <w:szCs w:val="11"/>
                <w:color w:val="auto"/>
                <w:w w:val="90"/>
              </w:rPr>
              <w:t>(2)(3)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8"/>
              </w:rPr>
              <w:t>824,710,663</w:t>
            </w:r>
            <w:r>
              <w:rPr>
                <w:rFonts w:ascii="Arial" w:cs="Arial" w:eastAsia="Arial" w:hAnsi="Arial"/>
                <w:sz w:val="11"/>
                <w:szCs w:val="11"/>
                <w:color w:val="auto"/>
                <w:w w:val="98"/>
              </w:rPr>
              <w:t>(3)</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460" w:right="4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purchases during the quarter were made under the authorization from our board of directors to purchase up to $2 billion of additional shares of TI common stock (announced on July 21, 2005). No expiration date has been specified for this authorization.</w:t>
      </w:r>
    </w:p>
    <w:p>
      <w:pPr>
        <w:spacing w:after="0" w:line="37"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purchases were made through open-market purchases except for 1,080,000 shares that were acquired in November through a privately negotiated forward purchase contract with a non-affiliated financial institution. The forward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ind w:left="46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contract was designed to minimize the adverse impact on our earnings from the effect of stock market value fluctuations on the portion of our deferred compensation obligations denominated in TI stock.</w:t>
      </w:r>
    </w:p>
    <w:p>
      <w:pPr>
        <w:spacing w:after="0" w:line="37" w:lineRule="exact"/>
        <w:rPr>
          <w:sz w:val="20"/>
          <w:szCs w:val="20"/>
          <w:color w:val="auto"/>
        </w:rPr>
      </w:pPr>
    </w:p>
    <w:p>
      <w:pPr>
        <w:ind w:left="460" w:right="12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purchase of 1,140,000 shares for which trades were settled in the first three business days of January 2006 for $37 million. The table does not include the purchase of 918,000 shares pursuant to orders placed in the third quarter, for which trades were settled in the first three business days of the fourth quarter for $31 million. The purchase of these shares was reflected in this item in the company’s report on Form 10-Q for the quarter ended September 30, 2005.</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“Summary of Selected Financial Data” for the years 2001 through 2005, which appears on page 44 of TI’s 2005 annual report to stockholders, is incorporated herein by reference to such annual report.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information contained under the caption “Management’s Discussion and Analysis of Financial Condition and Results of Operations” on pages 45 through 58 of TI’s 2005 annual report to stockholders is incorporated herein by reference to such annual report.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information concerning market risk is contained on pages 59 and 60 of TI’s 2005 annual report to stockholders and is incorporated herein by reference to such annual report.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8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consolidated financial statements of the company at December 31, 2005 and 2004, and for each of the three years in the period ended December 31, 2005, and the report thereon of the independent registered public accounting firm, on pages 6 through 41 of TI’s 2005 annual report to stockholders, are incorporated herein by reference to such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“Quarterly Financial Data” on page 61 of TI’s 2005 annual report to stockholders is also incorporated herein by reference to such annual report.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by TI in the reports that we file or submit under the Exchange Act is recorded, processed, summarized and reported, within the time periods specified in the Commission’s rules and forms.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Management’s assessment on our internal control over financial reporting is contained in the Report by Management on Internal Control over Financial Reporting on page 42 of our 2005 annual report to stockholders and is incorporated herein by reference to such annual report.</w:t>
      </w:r>
    </w:p>
    <w:p>
      <w:pPr>
        <w:spacing w:after="0" w:line="11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Report of Independent Registered Public Accounting Firm on Internal Control over Financial Reporting opining on management’s assessment, included in the Report by Management on Internal Control over Financial Reporting, and opining on the effectiveness of TI’s internal control over financial reporting is contained on page 43 of our 2005 annual report to stockholders and is incorporated herein by reference to such annual report.</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83"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2006 annual meeting of stockholders, is incorporated herein by reference to such proxy statement.</w:t>
      </w:r>
    </w:p>
    <w:p>
      <w:pPr>
        <w:spacing w:after="0" w:line="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information with respect to the company’s audit committee financial expert contained under the caption “Board Organization” in our proxy statement for the 2006 annual meeting of stockholders is incorporated herein by reference to such proxy statement.</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2006 annual meeting of stockholders is incorporated herein by reference to such proxy statement.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presently held by each person named: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Age</w:t>
            </w:r>
          </w:p>
        </w:tc>
        <w:tc>
          <w:tcPr>
            <w:tcW w:w="5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8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r>
      <w:tr>
        <w:trPr>
          <w:trHeight w:val="309"/>
        </w:trPr>
        <w:tc>
          <w:tcPr>
            <w:tcW w:w="2920" w:type="dxa"/>
            <w:vAlign w:val="bottom"/>
            <w:gridSpan w:val="2"/>
          </w:tcPr>
          <w:p>
            <w:pPr>
              <w:spacing w:after="0"/>
              <w:rPr>
                <w:sz w:val="20"/>
                <w:szCs w:val="20"/>
                <w:color w:val="auto"/>
              </w:rPr>
            </w:pPr>
            <w:r>
              <w:rPr>
                <w:rFonts w:ascii="Arial" w:cs="Arial" w:eastAsia="Arial" w:hAnsi="Arial"/>
                <w:sz w:val="18"/>
                <w:szCs w:val="18"/>
                <w:color w:val="auto"/>
              </w:rPr>
              <w:t>Gilles Delfassy</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Senior Vice President</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Thomas J. Engibous</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Director; Chairman of the Board</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Michael J. Hames</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Senior Vice President</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Joseph F. Hubach</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Senior Vice President, Secretary and General Counsel</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Chung-Shing (C.S.) Lee</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Senior Vice President</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Stephen H. Leven</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Senior Vice President</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Melendy E. Lovett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w w:val="89"/>
              </w:rPr>
              <w:t>Senior Vice President (President, Educational &amp; Productivity Solutions)</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Gregg A. Lowe</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Senior Vice President</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Kevin P. March</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Kevin J. Ritchie</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Senior Vice President</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Richard K. Templeton</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John C. Van Scoter</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Senior Vice President</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Teresa L. West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Senior Vice President</w:t>
            </w: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Thomas Wroe, Jr.</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Senior Vice President (President, Sensors &amp; Controls)</w:t>
            </w:r>
          </w:p>
        </w:tc>
      </w:tr>
    </w:tbl>
    <w:p>
      <w:pPr>
        <w:spacing w:after="0" w:line="14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term of office of the above-listed officers is from the date of their election until their successor shall have been elected and qualified. Ms. West and Messrs. Delfassy, Engibous, Hames, Hubach, Leven, Templeton and Wroe have served as executive officers of the company for more than five years. Messrs. Lee and Lowe have served as executive officers of the company since 2001 and have been employees of the company for more than five years. Mr. March became an executive officer of the company in 2003 and has been an employee of the company for more than five years. Ms. Lovett and Mr. Ritchie became executive officers of the company in 2004 and have been employees of the company for more than five years. Mr. Van Scoter became an executive officer of the company in 2005 and has been an employee of the company for more than five years.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Code of Ethics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adopted the Code of Ethics for TI Chief Executive Officer and Senior Financial Officers. A copy of the Code can be found on our web site at www.ti.com/ir. We intend to satisfy the disclosure requirements of the Securities and Exchange Commission regarding amendments to, or waivers from, the Code by posting such information on the same web site.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15" w:name="page16"/>
    <w:bookmarkEnd w:id="15"/>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w:t>
      </w:r>
    </w:p>
    <w:p>
      <w:pPr>
        <w:spacing w:after="0" w:line="7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have a separately designated standing audit committee established in accordance with Section 3(a)5(58)(A) of the Securities and Exchange Act of 1934. The following directors are members of TI’s Audit Committee: James R. Adams (Chair), Carrie S. Cox, Gerald W. Fronterhouse and Pamela H. Patsley.</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2006 annual meeting of stockholders is incorporated herein by reference to such proxy statement.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Number of Securities to</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2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4"/>
              </w:rPr>
              <w:t>be Issued Upon</w:t>
            </w:r>
          </w:p>
        </w:tc>
        <w:tc>
          <w:tcPr>
            <w:tcW w:w="100" w:type="dxa"/>
            <w:vAlign w:val="bottom"/>
          </w:tcPr>
          <w:p>
            <w:pPr>
              <w:spacing w:after="0"/>
              <w:rPr>
                <w:sz w:val="12"/>
                <w:szCs w:val="12"/>
                <w:color w:val="auto"/>
              </w:rPr>
            </w:pPr>
          </w:p>
        </w:tc>
        <w:tc>
          <w:tcPr>
            <w:tcW w:w="20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2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0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2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Outstanding Options,</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74"/>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Warrants and Rights</w:t>
            </w:r>
          </w:p>
        </w:tc>
        <w:tc>
          <w:tcPr>
            <w:tcW w:w="214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172,275,030</w:t>
            </w:r>
            <w:r>
              <w:rPr>
                <w:rFonts w:ascii="Arial" w:cs="Arial" w:eastAsia="Arial" w:hAnsi="Arial"/>
                <w:sz w:val="11"/>
                <w:szCs w:val="11"/>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28.34</w:t>
            </w:r>
            <w:r>
              <w:rPr>
                <w:rFonts w:ascii="Arial" w:cs="Arial" w:eastAsia="Arial" w:hAnsi="Arial"/>
                <w:sz w:val="11"/>
                <w:szCs w:val="11"/>
                <w:color w:val="auto"/>
              </w:rPr>
              <w:t>(2)</w:t>
            </w:r>
          </w:p>
        </w:tc>
        <w:tc>
          <w:tcPr>
            <w:tcW w:w="15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8"/>
              </w:rPr>
              <w:t>102,132,609</w:t>
            </w:r>
            <w:r>
              <w:rPr>
                <w:rFonts w:ascii="Arial" w:cs="Arial" w:eastAsia="Arial" w:hAnsi="Arial"/>
                <w:sz w:val="11"/>
                <w:szCs w:val="11"/>
                <w:color w:val="auto"/>
                <w:w w:val="88"/>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240" w:type="dxa"/>
            <w:vAlign w:val="bottom"/>
            <w:gridSpan w:val="2"/>
          </w:tcPr>
          <w:p>
            <w:pPr>
              <w:jc w:val="right"/>
              <w:ind w:right="740"/>
              <w:spacing w:after="0"/>
              <w:rPr>
                <w:sz w:val="20"/>
                <w:szCs w:val="20"/>
                <w:color w:val="auto"/>
              </w:rPr>
            </w:pPr>
            <w:r>
              <w:rPr>
                <w:rFonts w:ascii="Arial" w:cs="Arial" w:eastAsia="Arial" w:hAnsi="Arial"/>
                <w:sz w:val="18"/>
                <w:szCs w:val="18"/>
                <w:color w:val="auto"/>
              </w:rPr>
              <w:t>56,684,185</w:t>
            </w:r>
            <w:r>
              <w:rPr>
                <w:rFonts w:ascii="Arial" w:cs="Arial" w:eastAsia="Arial" w:hAnsi="Arial"/>
                <w:sz w:val="11"/>
                <w:szCs w:val="11"/>
                <w:color w:val="auto"/>
              </w:rPr>
              <w:t>(4)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ind w:left="760"/>
              <w:spacing w:after="0"/>
              <w:rPr>
                <w:sz w:val="20"/>
                <w:szCs w:val="20"/>
                <w:color w:val="auto"/>
              </w:rPr>
            </w:pPr>
            <w:r>
              <w:rPr>
                <w:rFonts w:ascii="Arial" w:cs="Arial" w:eastAsia="Arial" w:hAnsi="Arial"/>
                <w:sz w:val="18"/>
                <w:szCs w:val="18"/>
                <w:color w:val="auto"/>
              </w:rPr>
              <w:t>24.05</w:t>
            </w:r>
            <w:r>
              <w:rPr>
                <w:rFonts w:ascii="Arial" w:cs="Arial" w:eastAsia="Arial" w:hAnsi="Arial"/>
                <w:sz w:val="11"/>
                <w:szCs w:val="11"/>
                <w:color w:val="auto"/>
              </w:rPr>
              <w:t>(2)</w:t>
            </w:r>
          </w:p>
        </w:tc>
        <w:tc>
          <w:tcPr>
            <w:tcW w:w="1540" w:type="dxa"/>
            <w:vAlign w:val="bottom"/>
            <w:gridSpan w:val="2"/>
          </w:tcPr>
          <w:p>
            <w:pPr>
              <w:ind w:left="520"/>
              <w:spacing w:after="0"/>
              <w:rPr>
                <w:sz w:val="20"/>
                <w:szCs w:val="20"/>
                <w:color w:val="auto"/>
              </w:rPr>
            </w:pPr>
            <w:r>
              <w:rPr>
                <w:rFonts w:ascii="Arial" w:cs="Arial" w:eastAsia="Arial" w:hAnsi="Arial"/>
                <w:sz w:val="18"/>
                <w:szCs w:val="18"/>
                <w:color w:val="auto"/>
                <w:w w:val="88"/>
              </w:rPr>
              <w:t>181,353,070</w:t>
            </w: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228,959,215</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27.27</w:t>
            </w:r>
          </w:p>
        </w:tc>
        <w:tc>
          <w:tcPr>
            <w:tcW w:w="15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283,485,679</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60" w:right="20" w:hanging="452"/>
        <w:spacing w:after="0" w:line="228"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Includes shares of TI common stock to be issued under the Texas Instruments 2000 Long-Term Incentive Plan and predecessor plans, the Texas Instruments 2003 Director Compensation Plan and the TI Employees 2005 Stock Purchase Plan.</w:t>
      </w:r>
    </w:p>
    <w:p>
      <w:pPr>
        <w:spacing w:after="0" w:line="143"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Excludes the following:</w:t>
      </w:r>
    </w:p>
    <w:p>
      <w:pPr>
        <w:spacing w:after="0" w:line="76" w:lineRule="exact"/>
        <w:rPr>
          <w:rFonts w:ascii="Arial" w:cs="Arial" w:eastAsia="Arial" w:hAnsi="Arial"/>
          <w:sz w:val="22"/>
          <w:szCs w:val="22"/>
          <w:color w:val="auto"/>
          <w:vertAlign w:val="superscript"/>
        </w:rPr>
      </w:pPr>
    </w:p>
    <w:p>
      <w:pPr>
        <w:ind w:left="780" w:right="120" w:hanging="326"/>
        <w:spacing w:after="0" w:line="259" w:lineRule="auto"/>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3,193,663 shares of TI common stock to be issued upon exercise of outstanding options originally granted under the Burr-Brown Corporation 1993 Stock Incentive Plan, a plan approved by the stockholders of Burr-Brown Corporation. The options were assumed by the company in connection with the acquisition of Burr-Brown Corporation; and</w:t>
      </w:r>
    </w:p>
    <w:p>
      <w:pPr>
        <w:spacing w:after="0" w:line="45" w:lineRule="exact"/>
        <w:rPr>
          <w:rFonts w:ascii="Arial" w:cs="Arial" w:eastAsia="Arial" w:hAnsi="Arial"/>
          <w:sz w:val="18"/>
          <w:szCs w:val="18"/>
          <w:color w:val="auto"/>
        </w:rPr>
      </w:pPr>
    </w:p>
    <w:p>
      <w:pPr>
        <w:jc w:val="both"/>
        <w:ind w:left="780" w:right="140" w:hanging="326"/>
        <w:spacing w:after="0" w:line="259" w:lineRule="auto"/>
        <w:tabs>
          <w:tab w:leader="none" w:pos="780" w:val="left"/>
        </w:tabs>
        <w:numPr>
          <w:ilvl w:val="1"/>
          <w:numId w:val="7"/>
        </w:numPr>
        <w:rPr>
          <w:rFonts w:ascii="Arial" w:cs="Arial" w:eastAsia="Arial" w:hAnsi="Arial"/>
          <w:sz w:val="18"/>
          <w:szCs w:val="18"/>
          <w:color w:val="auto"/>
        </w:rPr>
      </w:pPr>
      <w:r>
        <w:rPr>
          <w:rFonts w:ascii="Arial" w:cs="Arial" w:eastAsia="Arial" w:hAnsi="Arial"/>
          <w:sz w:val="18"/>
          <w:szCs w:val="18"/>
          <w:color w:val="auto"/>
        </w:rPr>
        <w:t>256,918 shares of TI common stock to be issued upon exercise of outstanding options originally granted under the Radia Communications, Inc. 2000 Stock Option/Stock Issuance Plan, a plan approved by the stockholders of Radia Communications, Inc. The options were assumed by the company in connection with the acquisition of Radia.</w:t>
      </w:r>
    </w:p>
    <w:p>
      <w:pPr>
        <w:sectPr>
          <w:pgSz w:w="11900" w:h="16838" w:orient="portrait"/>
          <w:cols w:equalWidth="0" w:num="1">
            <w:col w:w="11420"/>
          </w:cols>
          <w:pgMar w:left="240" w:top="280" w:right="2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280"/>
        <w:spacing w:after="0" w:line="325" w:lineRule="auto"/>
        <w:rPr>
          <w:sz w:val="20"/>
          <w:szCs w:val="20"/>
          <w:color w:val="auto"/>
        </w:rPr>
      </w:pPr>
      <w:r>
        <w:rPr>
          <w:rFonts w:ascii="Arial" w:cs="Arial" w:eastAsia="Arial" w:hAnsi="Arial"/>
          <w:sz w:val="16"/>
          <w:szCs w:val="16"/>
          <w:color w:val="auto"/>
        </w:rPr>
        <w:t>Restricted stock units, and stock units credited to directors’ deferred compensation accounts, are settled for shares of TI common stock on a one-for-one basis. Accordingly, such units have been excluded for purposes of computing the weighted-average exercise price.</w:t>
      </w:r>
    </w:p>
    <w:p>
      <w:pPr>
        <w:spacing w:after="0" w:line="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Shares of TI common stock available for issuance under the Texas Instruments 2000 Long-Term Incentive Plan, the Texas Instruments 2003 Director Compensation Plan and the TI Employees 2005 Stock Purchase Plan.</w:t>
      </w:r>
    </w:p>
    <w:p>
      <w:pPr>
        <w:spacing w:after="0" w:line="37" w:lineRule="exact"/>
        <w:rPr>
          <w:sz w:val="20"/>
          <w:szCs w:val="20"/>
          <w:color w:val="auto"/>
        </w:rPr>
      </w:pPr>
    </w:p>
    <w:p>
      <w:pPr>
        <w:sectPr>
          <w:pgSz w:w="11900" w:h="16838" w:orient="portrait"/>
          <w:cols w:equalWidth="0" w:num="2">
            <w:col w:w="140" w:space="320"/>
            <w:col w:w="10960"/>
          </w:cols>
          <w:pgMar w:left="240" w:top="280" w:right="239" w:bottom="1440" w:gutter="0" w:footer="0" w:header="0"/>
          <w:type w:val="continuous"/>
        </w:sectPr>
      </w:pPr>
    </w:p>
    <w:p>
      <w:pPr>
        <w:ind w:left="460" w:right="240" w:hanging="452"/>
        <w:spacing w:after="0" w:line="254" w:lineRule="auto"/>
        <w:tabs>
          <w:tab w:leader="none" w:pos="46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Includes shares to be issued under the Texas Instruments 2003 Long-Term Incentive Plan, a plan for non-management employees; executive officers and approximately 250 managers of the company are ineligible to receive awards under the plan. The plan authorizes the grant of: (1) stock options,</w:t>
      </w:r>
    </w:p>
    <w:p>
      <w:pPr>
        <w:ind w:left="460" w:right="80"/>
        <w:spacing w:after="0" w:line="254" w:lineRule="auto"/>
        <w:rPr>
          <w:rFonts w:ascii="Arial" w:cs="Arial" w:eastAsia="Arial" w:hAnsi="Arial"/>
          <w:sz w:val="20"/>
          <w:szCs w:val="20"/>
          <w:color w:val="auto"/>
          <w:vertAlign w:val="superscript"/>
        </w:rPr>
      </w:pPr>
      <w:r>
        <w:rPr>
          <w:rFonts w:ascii="Arial" w:cs="Arial" w:eastAsia="Arial" w:hAnsi="Arial"/>
          <w:sz w:val="18"/>
          <w:szCs w:val="18"/>
          <w:color w:val="auto"/>
        </w:rPr>
        <w:t>(2) restricted stock and restricted stock units, (3) performance units and (4) other awards (including stock appreciation rights) valued in whole or in part by reference to or otherwise based on common stock of the company. The plan is administered by a board committee appointed by the board of directors consisting entirely of independent directors (the Committee). The Committee has the sole discretion to grant to eligible participants one or more equity awards and to determine the number or amount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type w:val="continuous"/>
        </w:sectPr>
      </w:pPr>
    </w:p>
    <w:bookmarkStart w:id="16" w:name="page17"/>
    <w:bookmarkEnd w:id="16"/>
    <w:p>
      <w:pPr>
        <w:ind w:left="460" w:right="3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award. Except in the case of awards made through assumption of, or in substitution for, outstanding awards previously granted by an acquired company, and except as a result of an adjustment event such as a stock split, the exercise price under any stock option, the grant price of any stock appreciation right, and the purchase price of any security that may be purchased under any other stock-based award under the plan will not be less than 100% of the fair market value of the stock or other security on the date of the grant of the option, right or award.</w:t>
      </w:r>
    </w:p>
    <w:p>
      <w:pPr>
        <w:spacing w:after="0" w:line="18"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Also includes shares to be issued under the Texas Instruments Directors Deferred Compensation Plan, the Texas Instruments Restricted Stock Unit Plan for Directors and the Texas Instruments Stock Option Plan for Non-Employee Directors. These plans were replaced by the Texas Instruments 2003 Director Compensation Plan, and no further grants will be made under them.</w:t>
      </w:r>
    </w:p>
    <w:p>
      <w:pPr>
        <w:spacing w:after="0" w:line="46" w:lineRule="exact"/>
        <w:rPr>
          <w:sz w:val="20"/>
          <w:szCs w:val="20"/>
          <w:color w:val="auto"/>
        </w:rPr>
      </w:pPr>
    </w:p>
    <w:p>
      <w:pPr>
        <w:ind w:left="460" w:right="420" w:hanging="452"/>
        <w:spacing w:after="0" w:line="228"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Shares of TI common stock available for issuance under the Texas Instruments 2003 Long-Term Incentive Plan. Stockholders have approved all other equity compensation plans of the company.</w:t>
      </w:r>
    </w:p>
    <w:p>
      <w:pPr>
        <w:spacing w:after="0" w:line="143"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u w:val="single" w:color="auto"/>
          <w:color w:val="auto"/>
        </w:rPr>
        <w:t>Security Ownership of Certain Beneficial Owners and Management</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concerning (a) the only persons that have reported beneficial ownership of more than 5 percent of the common stock of TI, and (b) the ownership of TI’s common stock by the chief executive officer during 2005 and the four other most highly compensated executive officers, and all executive officers and directors as a group, that is contained under the caption “Share Ownership of Certain Persons” in our proxy statement for the 2006 annual meeting of stockholders, is incorporated herein by reference to such proxy statement. The information concerning ownership of TI’s common stock by each of the directors, which is contained under the caption “Directors’ Ages, Service and Stock Ownership” in such proxy statement, is also incorporated herein by reference to such proxy statement.</w:t>
      </w:r>
    </w:p>
    <w:p>
      <w:pPr>
        <w:spacing w:after="0" w:line="1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information contained under the caption “Certain Business Relationships” in the company’s proxy statement for the 2006 annual meeting of stockholders is incorporated herein by reference to such proxy statement.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of our proxy statement for the 2006 annual meeting of stockholders is incorporated herein by reference to such proxy statement.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1 and 2. Financial Statements and Financial Statement Schedules: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financial statement schedule are listed in the index on page 24 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Designation of</w:t>
            </w:r>
          </w:p>
        </w:tc>
        <w:tc>
          <w:tcPr>
            <w:tcW w:w="1020" w:type="dxa"/>
            <w:vAlign w:val="bottom"/>
          </w:tcPr>
          <w:p>
            <w:pPr>
              <w:spacing w:after="0"/>
              <w:rPr>
                <w:sz w:val="14"/>
                <w:szCs w:val="14"/>
                <w:color w:val="auto"/>
              </w:rPr>
            </w:pPr>
          </w:p>
        </w:tc>
        <w:tc>
          <w:tcPr>
            <w:tcW w:w="9060" w:type="dxa"/>
            <w:vAlign w:val="bottom"/>
          </w:tcPr>
          <w:p>
            <w:pPr>
              <w:spacing w:after="0"/>
              <w:rPr>
                <w:sz w:val="14"/>
                <w:szCs w:val="14"/>
                <w:color w:val="auto"/>
              </w:rPr>
            </w:pPr>
          </w:p>
        </w:tc>
      </w:tr>
      <w:tr>
        <w:trPr>
          <w:trHeight w:val="149"/>
        </w:trPr>
        <w:tc>
          <w:tcPr>
            <w:tcW w:w="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Exhibit in</w:t>
            </w:r>
          </w:p>
        </w:tc>
        <w:tc>
          <w:tcPr>
            <w:tcW w:w="1020" w:type="dxa"/>
            <w:vAlign w:val="bottom"/>
          </w:tcPr>
          <w:p>
            <w:pPr>
              <w:spacing w:after="0"/>
              <w:rPr>
                <w:sz w:val="12"/>
                <w:szCs w:val="12"/>
                <w:color w:val="auto"/>
              </w:rPr>
            </w:pPr>
          </w:p>
        </w:tc>
        <w:tc>
          <w:tcPr>
            <w:tcW w:w="9060" w:type="dxa"/>
            <w:vAlign w:val="bottom"/>
          </w:tcPr>
          <w:p>
            <w:pPr>
              <w:spacing w:after="0"/>
              <w:rPr>
                <w:sz w:val="12"/>
                <w:szCs w:val="12"/>
                <w:color w:val="auto"/>
              </w:rPr>
            </w:pPr>
          </w:p>
        </w:tc>
      </w:tr>
      <w:tr>
        <w:trPr>
          <w:trHeight w:val="174"/>
        </w:trPr>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this Report</w:t>
            </w:r>
          </w:p>
        </w:tc>
        <w:tc>
          <w:tcPr>
            <w:tcW w:w="1008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060" w:type="dxa"/>
            <w:vAlign w:val="bottom"/>
          </w:tcPr>
          <w:p>
            <w:pPr>
              <w:spacing w:after="0"/>
              <w:rPr>
                <w:sz w:val="8"/>
                <w:szCs w:val="8"/>
                <w:color w:val="auto"/>
              </w:rPr>
            </w:pPr>
          </w:p>
        </w:tc>
      </w:tr>
      <w:tr>
        <w:trPr>
          <w:trHeight w:val="417"/>
        </w:trPr>
        <w:tc>
          <w:tcPr>
            <w:tcW w:w="80" w:type="dxa"/>
            <w:vAlign w:val="bottom"/>
          </w:tcPr>
          <w:p>
            <w:pPr>
              <w:spacing w:after="0"/>
              <w:rPr>
                <w:sz w:val="24"/>
                <w:szCs w:val="2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3(a)</w:t>
            </w:r>
          </w:p>
        </w:tc>
        <w:tc>
          <w:tcPr>
            <w:tcW w:w="10080" w:type="dxa"/>
            <w:vAlign w:val="bottom"/>
            <w:gridSpan w:val="2"/>
          </w:tcPr>
          <w:p>
            <w:pPr>
              <w:spacing w:after="0"/>
              <w:rPr>
                <w:sz w:val="20"/>
                <w:szCs w:val="20"/>
                <w:color w:val="auto"/>
              </w:rPr>
            </w:pPr>
            <w:r>
              <w:rPr>
                <w:rFonts w:ascii="Arial" w:cs="Arial" w:eastAsia="Arial" w:hAnsi="Arial"/>
                <w:sz w:val="18"/>
                <w:szCs w:val="18"/>
                <w:color w:val="auto"/>
                <w:w w:val="88"/>
              </w:rPr>
              <w:t>Restated Certificate of Incorporation of the Registrant (incorporated by reference to Exhibit 3(a) to the Registrant’s Annual Report on Form 10-</w:t>
            </w:r>
          </w:p>
        </w:tc>
      </w:tr>
      <w:tr>
        <w:trPr>
          <w:trHeight w:val="222"/>
        </w:trPr>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K for the year 1993).</w:t>
            </w:r>
          </w:p>
        </w:tc>
      </w:tr>
      <w:tr>
        <w:trPr>
          <w:trHeight w:val="318"/>
        </w:trPr>
        <w:tc>
          <w:tcPr>
            <w:tcW w:w="80" w:type="dxa"/>
            <w:vAlign w:val="bottom"/>
          </w:tcPr>
          <w:p>
            <w:pPr>
              <w:spacing w:after="0"/>
              <w:rPr>
                <w:sz w:val="24"/>
                <w:szCs w:val="2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3(b)</w:t>
            </w:r>
          </w:p>
        </w:tc>
        <w:tc>
          <w:tcPr>
            <w:tcW w:w="10080" w:type="dxa"/>
            <w:vAlign w:val="bottom"/>
            <w:gridSpan w:val="2"/>
          </w:tcPr>
          <w:p>
            <w:pPr>
              <w:spacing w:after="0"/>
              <w:rPr>
                <w:sz w:val="20"/>
                <w:szCs w:val="20"/>
                <w:color w:val="auto"/>
              </w:rPr>
            </w:pPr>
            <w:r>
              <w:rPr>
                <w:rFonts w:ascii="Arial" w:cs="Arial" w:eastAsia="Arial" w:hAnsi="Arial"/>
                <w:sz w:val="18"/>
                <w:szCs w:val="18"/>
                <w:color w:val="auto"/>
                <w:w w:val="97"/>
              </w:rPr>
              <w:t>Certificate of Amendment to Restated Certificate of Incorporation of the Registrant (incorporated by reference to Exhibit 3(b) to the</w:t>
            </w:r>
          </w:p>
        </w:tc>
      </w:tr>
      <w:tr>
        <w:trPr>
          <w:trHeight w:val="222"/>
        </w:trPr>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318"/>
        </w:trPr>
        <w:tc>
          <w:tcPr>
            <w:tcW w:w="80" w:type="dxa"/>
            <w:vAlign w:val="bottom"/>
          </w:tcPr>
          <w:p>
            <w:pPr>
              <w:spacing w:after="0"/>
              <w:rPr>
                <w:sz w:val="24"/>
                <w:szCs w:val="2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3(c)</w:t>
            </w:r>
          </w:p>
        </w:tc>
        <w:tc>
          <w:tcPr>
            <w:tcW w:w="10080" w:type="dxa"/>
            <w:vAlign w:val="bottom"/>
            <w:gridSpan w:val="2"/>
          </w:tcPr>
          <w:p>
            <w:pPr>
              <w:spacing w:after="0"/>
              <w:rPr>
                <w:sz w:val="20"/>
                <w:szCs w:val="20"/>
                <w:color w:val="auto"/>
              </w:rPr>
            </w:pPr>
            <w:r>
              <w:rPr>
                <w:rFonts w:ascii="Arial" w:cs="Arial" w:eastAsia="Arial" w:hAnsi="Arial"/>
                <w:sz w:val="18"/>
                <w:szCs w:val="18"/>
                <w:color w:val="auto"/>
                <w:w w:val="97"/>
              </w:rPr>
              <w:t>Certificate of Amendment to Restated Certificate of Incorporation of the Registrant (incorporated by reference to Exhibit 3(c) to the</w:t>
            </w:r>
          </w:p>
        </w:tc>
      </w:tr>
      <w:tr>
        <w:trPr>
          <w:trHeight w:val="222"/>
        </w:trPr>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318"/>
        </w:trPr>
        <w:tc>
          <w:tcPr>
            <w:tcW w:w="80" w:type="dxa"/>
            <w:vAlign w:val="bottom"/>
          </w:tcPr>
          <w:p>
            <w:pPr>
              <w:spacing w:after="0"/>
              <w:rPr>
                <w:sz w:val="24"/>
                <w:szCs w:val="2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3(d)</w:t>
            </w:r>
          </w:p>
        </w:tc>
        <w:tc>
          <w:tcPr>
            <w:tcW w:w="10080" w:type="dxa"/>
            <w:vAlign w:val="bottom"/>
            <w:gridSpan w:val="2"/>
          </w:tcPr>
          <w:p>
            <w:pPr>
              <w:spacing w:after="0"/>
              <w:rPr>
                <w:sz w:val="20"/>
                <w:szCs w:val="20"/>
                <w:color w:val="auto"/>
              </w:rPr>
            </w:pPr>
            <w:r>
              <w:rPr>
                <w:rFonts w:ascii="Arial" w:cs="Arial" w:eastAsia="Arial" w:hAnsi="Arial"/>
                <w:sz w:val="18"/>
                <w:szCs w:val="18"/>
                <w:color w:val="auto"/>
                <w:w w:val="90"/>
              </w:rPr>
              <w:t>Certificate of Amendment to Restated Certificate of Incorporation of the Registrant (incorporated by reference to Exhibit 3 to the Registrant’s</w:t>
            </w:r>
          </w:p>
        </w:tc>
      </w:tr>
      <w:tr>
        <w:trPr>
          <w:trHeight w:val="222"/>
        </w:trPr>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1996).</w:t>
            </w:r>
          </w:p>
        </w:tc>
      </w:tr>
      <w:tr>
        <w:trPr>
          <w:trHeight w:val="365"/>
        </w:trPr>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80" w:type="dxa"/>
            <w:vAlign w:val="bottom"/>
            <w:gridSpan w:val="2"/>
          </w:tcPr>
          <w:p>
            <w:pPr>
              <w:ind w:left="434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00"/>
          </w:cols>
          <w:pgMar w:left="240" w:top="280" w:right="25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87"/>
              </w:rPr>
              <w:t>3(e)</w:t>
            </w:r>
          </w:p>
        </w:tc>
        <w:tc>
          <w:tcPr>
            <w:tcW w:w="10620" w:type="dxa"/>
            <w:vAlign w:val="bottom"/>
          </w:tcPr>
          <w:p>
            <w:pPr>
              <w:ind w:left="240"/>
              <w:spacing w:after="0"/>
              <w:rPr>
                <w:sz w:val="20"/>
                <w:szCs w:val="20"/>
                <w:color w:val="auto"/>
              </w:rPr>
            </w:pPr>
            <w:r>
              <w:rPr>
                <w:rFonts w:ascii="Arial" w:cs="Arial" w:eastAsia="Arial" w:hAnsi="Arial"/>
                <w:sz w:val="18"/>
                <w:szCs w:val="18"/>
                <w:color w:val="auto"/>
                <w:w w:val="89"/>
              </w:rPr>
              <w:t>Certificate of Ownership merging Texas Instruments Automation Controls, Inc. into the Registrant (incorporated by reference to Exhibit 3(e) to the</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rPr>
              <w:t>3(f)</w:t>
            </w:r>
          </w:p>
        </w:tc>
        <w:tc>
          <w:tcPr>
            <w:tcW w:w="10620" w:type="dxa"/>
            <w:vAlign w:val="bottom"/>
          </w:tcPr>
          <w:p>
            <w:pPr>
              <w:ind w:left="240"/>
              <w:spacing w:after="0"/>
              <w:rPr>
                <w:sz w:val="20"/>
                <w:szCs w:val="20"/>
                <w:color w:val="auto"/>
              </w:rPr>
            </w:pPr>
            <w:r>
              <w:rPr>
                <w:rFonts w:ascii="Arial" w:cs="Arial" w:eastAsia="Arial" w:hAnsi="Arial"/>
                <w:sz w:val="18"/>
                <w:szCs w:val="18"/>
                <w:color w:val="auto"/>
                <w:w w:val="90"/>
              </w:rPr>
              <w:t>Certificate of Elimination of Designations of Preferred Stock of the Registrant (incorporated by reference to Exhibit 3(f) to the Registrant’s Annual</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Report on Form 10-K for the year 1993).</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87"/>
              </w:rPr>
              <w:t>3(g)</w:t>
            </w:r>
          </w:p>
        </w:tc>
        <w:tc>
          <w:tcPr>
            <w:tcW w:w="10620" w:type="dxa"/>
            <w:vAlign w:val="bottom"/>
          </w:tcPr>
          <w:p>
            <w:pPr>
              <w:ind w:left="240"/>
              <w:spacing w:after="0"/>
              <w:rPr>
                <w:sz w:val="20"/>
                <w:szCs w:val="20"/>
                <w:color w:val="auto"/>
              </w:rPr>
            </w:pPr>
            <w:r>
              <w:rPr>
                <w:rFonts w:ascii="Arial" w:cs="Arial" w:eastAsia="Arial" w:hAnsi="Arial"/>
                <w:sz w:val="18"/>
                <w:szCs w:val="18"/>
                <w:color w:val="auto"/>
                <w:w w:val="96"/>
              </w:rPr>
              <w:t>Certificate of Ownership and Merger merging Tiburon Systems, Inc. into the Registrant (incorporated by reference to Exhibit 4(g) to the</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Registrant’s Registration Statement No. 333-41919 on Form S-8).</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87"/>
              </w:rPr>
              <w:t>3(h)</w:t>
            </w:r>
          </w:p>
        </w:tc>
        <w:tc>
          <w:tcPr>
            <w:tcW w:w="10620" w:type="dxa"/>
            <w:vAlign w:val="bottom"/>
          </w:tcPr>
          <w:p>
            <w:pPr>
              <w:ind w:left="240"/>
              <w:spacing w:after="0"/>
              <w:rPr>
                <w:sz w:val="20"/>
                <w:szCs w:val="20"/>
                <w:color w:val="auto"/>
              </w:rPr>
            </w:pPr>
            <w:r>
              <w:rPr>
                <w:rFonts w:ascii="Arial" w:cs="Arial" w:eastAsia="Arial" w:hAnsi="Arial"/>
                <w:sz w:val="18"/>
                <w:szCs w:val="18"/>
                <w:color w:val="auto"/>
                <w:w w:val="95"/>
              </w:rPr>
              <w:t>Certificate of Ownership and Merger merging Tartan, Inc. into the Registrant (incorporated by reference to Exhibit 4(h) to the Registrant’s</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Registration Statement No. 333-41919 on Form S-8).</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92"/>
              </w:rPr>
              <w:t>3(i)</w:t>
            </w:r>
          </w:p>
        </w:tc>
        <w:tc>
          <w:tcPr>
            <w:tcW w:w="10620" w:type="dxa"/>
            <w:vAlign w:val="bottom"/>
          </w:tcPr>
          <w:p>
            <w:pPr>
              <w:ind w:left="240"/>
              <w:spacing w:after="0"/>
              <w:rPr>
                <w:sz w:val="20"/>
                <w:szCs w:val="20"/>
                <w:color w:val="auto"/>
              </w:rPr>
            </w:pPr>
            <w:r>
              <w:rPr>
                <w:rFonts w:ascii="Arial" w:cs="Arial" w:eastAsia="Arial" w:hAnsi="Arial"/>
                <w:sz w:val="18"/>
                <w:szCs w:val="18"/>
                <w:color w:val="auto"/>
                <w:w w:val="91"/>
              </w:rPr>
              <w:t>Certificate of Designation relating to the Registrant’s Participating Cumulative Preferred Stock (incorporated by reference to Exhibit 4(a) to the</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Registrant’s Quarterly Report on Form 10-Q for the quarter ended September 30, 1998).</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92"/>
              </w:rPr>
              <w:t>3(j)</w:t>
            </w:r>
          </w:p>
        </w:tc>
        <w:tc>
          <w:tcPr>
            <w:tcW w:w="10620" w:type="dxa"/>
            <w:vAlign w:val="bottom"/>
          </w:tcPr>
          <w:p>
            <w:pPr>
              <w:ind w:left="240"/>
              <w:spacing w:after="0"/>
              <w:rPr>
                <w:sz w:val="20"/>
                <w:szCs w:val="20"/>
                <w:color w:val="auto"/>
              </w:rPr>
            </w:pPr>
            <w:r>
              <w:rPr>
                <w:rFonts w:ascii="Arial" w:cs="Arial" w:eastAsia="Arial" w:hAnsi="Arial"/>
                <w:sz w:val="18"/>
                <w:szCs w:val="18"/>
                <w:color w:val="auto"/>
                <w:w w:val="90"/>
              </w:rPr>
              <w:t>Certificate of Elimination of Designation of Preferred Stock of the Registrant (incorporated by reference to Exhibit 3(j) to the Registrant’s Annual</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Report on Form 10-K for the year 1998).</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90"/>
              </w:rPr>
              <w:t>3(k)</w:t>
            </w:r>
          </w:p>
        </w:tc>
        <w:tc>
          <w:tcPr>
            <w:tcW w:w="10620" w:type="dxa"/>
            <w:vAlign w:val="bottom"/>
          </w:tcPr>
          <w:p>
            <w:pPr>
              <w:ind w:left="240"/>
              <w:spacing w:after="0"/>
              <w:rPr>
                <w:sz w:val="20"/>
                <w:szCs w:val="20"/>
                <w:color w:val="auto"/>
              </w:rPr>
            </w:pPr>
            <w:r>
              <w:rPr>
                <w:rFonts w:ascii="Arial" w:cs="Arial" w:eastAsia="Arial" w:hAnsi="Arial"/>
                <w:sz w:val="18"/>
                <w:szCs w:val="18"/>
                <w:color w:val="auto"/>
                <w:w w:val="89"/>
              </w:rPr>
              <w:t>Certificate of Ownership and Merger merging Intersect Technologies, Inc. with and into the Registrant (incorporated by reference to Exhibit 3(k) to</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the Registrant’s Annual Report on Form 10-K for the year 1999).</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92"/>
              </w:rPr>
              <w:t>3(l)</w:t>
            </w:r>
          </w:p>
        </w:tc>
        <w:tc>
          <w:tcPr>
            <w:tcW w:w="10620" w:type="dxa"/>
            <w:vAlign w:val="bottom"/>
          </w:tcPr>
          <w:p>
            <w:pPr>
              <w:ind w:left="240"/>
              <w:spacing w:after="0"/>
              <w:rPr>
                <w:sz w:val="20"/>
                <w:szCs w:val="20"/>
                <w:color w:val="auto"/>
              </w:rPr>
            </w:pPr>
            <w:r>
              <w:rPr>
                <w:rFonts w:ascii="Arial" w:cs="Arial" w:eastAsia="Arial" w:hAnsi="Arial"/>
                <w:sz w:val="18"/>
                <w:szCs w:val="18"/>
                <w:color w:val="auto"/>
                <w:w w:val="91"/>
              </w:rPr>
              <w:t>Certificate of Ownership and Merger merging Soft Warehouse, Inc. with and into the Registrant (incorporated by reference to Exhibit 3(l) to the</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Registrant’s Annual Report on Form 10-K for the year 1999).</w:t>
            </w:r>
          </w:p>
        </w:tc>
      </w:tr>
      <w:tr>
        <w:trPr>
          <w:trHeight w:val="318"/>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1"/>
              </w:rPr>
              <w:t>3(m)</w:t>
            </w:r>
          </w:p>
        </w:tc>
        <w:tc>
          <w:tcPr>
            <w:tcW w:w="10620" w:type="dxa"/>
            <w:vAlign w:val="bottom"/>
          </w:tcPr>
          <w:p>
            <w:pPr>
              <w:ind w:left="240"/>
              <w:spacing w:after="0"/>
              <w:rPr>
                <w:sz w:val="20"/>
                <w:szCs w:val="20"/>
                <w:color w:val="auto"/>
              </w:rPr>
            </w:pPr>
            <w:r>
              <w:rPr>
                <w:rFonts w:ascii="Arial" w:cs="Arial" w:eastAsia="Arial" w:hAnsi="Arial"/>
                <w:sz w:val="18"/>
                <w:szCs w:val="18"/>
                <w:color w:val="auto"/>
                <w:w w:val="90"/>
              </w:rPr>
              <w:t>Certificate of Ownership and Merger merging Silicon Systems, Inc. with and into the Registrant (incorporated by reference to Exhibit 3(m) to the</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Registrant’s Annual Report on Form 10-K for the year 1999).</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87"/>
              </w:rPr>
              <w:t>3(n)</w:t>
            </w:r>
          </w:p>
        </w:tc>
        <w:tc>
          <w:tcPr>
            <w:tcW w:w="10620" w:type="dxa"/>
            <w:vAlign w:val="bottom"/>
          </w:tcPr>
          <w:p>
            <w:pPr>
              <w:ind w:left="240"/>
              <w:spacing w:after="0"/>
              <w:rPr>
                <w:sz w:val="20"/>
                <w:szCs w:val="20"/>
                <w:color w:val="auto"/>
              </w:rPr>
            </w:pPr>
            <w:r>
              <w:rPr>
                <w:rFonts w:ascii="Arial" w:cs="Arial" w:eastAsia="Arial" w:hAnsi="Arial"/>
                <w:sz w:val="18"/>
                <w:szCs w:val="18"/>
                <w:color w:val="auto"/>
                <w:w w:val="94"/>
              </w:rPr>
              <w:t>Certificate of Amendment to Restated Certificate of Incorporation (incorporated by reference to Exhibit 3(n) to the Registrant’s Registration</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Statement on Form S-4 No. 333-41030 filed on July 7, 2000).</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87"/>
              </w:rPr>
              <w:t>3(o)</w:t>
            </w:r>
          </w:p>
        </w:tc>
        <w:tc>
          <w:tcPr>
            <w:tcW w:w="10620" w:type="dxa"/>
            <w:vAlign w:val="bottom"/>
          </w:tcPr>
          <w:p>
            <w:pPr>
              <w:ind w:left="240"/>
              <w:spacing w:after="0"/>
              <w:rPr>
                <w:sz w:val="20"/>
                <w:szCs w:val="20"/>
                <w:color w:val="auto"/>
              </w:rPr>
            </w:pPr>
            <w:r>
              <w:rPr>
                <w:rFonts w:ascii="Arial" w:cs="Arial" w:eastAsia="Arial" w:hAnsi="Arial"/>
                <w:sz w:val="18"/>
                <w:szCs w:val="18"/>
                <w:color w:val="auto"/>
                <w:w w:val="92"/>
              </w:rPr>
              <w:t>Certificate of Ownership and Merger merging Power Trends, Inc. with and into the Registrant (incorporated by reference to Exhibit 3(o) to the</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Registrant’s Annual Report on Form 10-K for the year 2001).</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87"/>
              </w:rPr>
              <w:t>3(p)</w:t>
            </w:r>
          </w:p>
        </w:tc>
        <w:tc>
          <w:tcPr>
            <w:tcW w:w="10620" w:type="dxa"/>
            <w:vAlign w:val="bottom"/>
          </w:tcPr>
          <w:p>
            <w:pPr>
              <w:ind w:left="240"/>
              <w:spacing w:after="0"/>
              <w:rPr>
                <w:sz w:val="20"/>
                <w:szCs w:val="20"/>
                <w:color w:val="auto"/>
              </w:rPr>
            </w:pPr>
            <w:r>
              <w:rPr>
                <w:rFonts w:ascii="Arial" w:cs="Arial" w:eastAsia="Arial" w:hAnsi="Arial"/>
                <w:sz w:val="18"/>
                <w:szCs w:val="18"/>
                <w:color w:val="auto"/>
                <w:w w:val="93"/>
              </w:rPr>
              <w:t>Certificate of Ownership and Merger merging Amati Communications Corporation with and into the Registrant (incorporated by reference to</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Exhibit 3(p) to the Registrant’s Annual Report on Form 10-K for the year 2001).</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87"/>
              </w:rPr>
              <w:t>3(q)</w:t>
            </w:r>
          </w:p>
        </w:tc>
        <w:tc>
          <w:tcPr>
            <w:tcW w:w="10620" w:type="dxa"/>
            <w:vAlign w:val="bottom"/>
          </w:tcPr>
          <w:p>
            <w:pPr>
              <w:ind w:left="240"/>
              <w:spacing w:after="0"/>
              <w:rPr>
                <w:sz w:val="20"/>
                <w:szCs w:val="20"/>
                <w:color w:val="auto"/>
              </w:rPr>
            </w:pPr>
            <w:r>
              <w:rPr>
                <w:rFonts w:ascii="Arial" w:cs="Arial" w:eastAsia="Arial" w:hAnsi="Arial"/>
                <w:sz w:val="18"/>
                <w:szCs w:val="18"/>
                <w:color w:val="auto"/>
                <w:w w:val="88"/>
              </w:rPr>
              <w:t>Certificate of Ownership and Merger merging Texas Instruments San Diego Incorporated with and into the Registrant (incorporated by reference to</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Exhibit 3(q) to the Registrant’s Annual Report on Form 10-K for the year 2002).</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99"/>
              </w:rPr>
              <w:t>3(r)</w:t>
            </w:r>
          </w:p>
        </w:tc>
        <w:tc>
          <w:tcPr>
            <w:tcW w:w="10620" w:type="dxa"/>
            <w:vAlign w:val="bottom"/>
          </w:tcPr>
          <w:p>
            <w:pPr>
              <w:ind w:left="240"/>
              <w:spacing w:after="0"/>
              <w:rPr>
                <w:sz w:val="20"/>
                <w:szCs w:val="20"/>
                <w:color w:val="auto"/>
              </w:rPr>
            </w:pPr>
            <w:r>
              <w:rPr>
                <w:rFonts w:ascii="Arial" w:cs="Arial" w:eastAsia="Arial" w:hAnsi="Arial"/>
                <w:sz w:val="18"/>
                <w:szCs w:val="18"/>
                <w:color w:val="auto"/>
                <w:w w:val="90"/>
              </w:rPr>
              <w:t>Certificate of Ownership and Merger merging Texas Instruments Burlington Incorporated with and into the Registrant (incorporated by reference</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to Exhibit 3(r) to the Registrant’s Annual Report on Form 10-K for the year 2003).</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90"/>
              </w:rPr>
              <w:t>3(s)</w:t>
            </w:r>
          </w:p>
        </w:tc>
        <w:tc>
          <w:tcPr>
            <w:tcW w:w="10620" w:type="dxa"/>
            <w:vAlign w:val="bottom"/>
          </w:tcPr>
          <w:p>
            <w:pPr>
              <w:ind w:left="240"/>
              <w:spacing w:after="0"/>
              <w:rPr>
                <w:sz w:val="20"/>
                <w:szCs w:val="20"/>
                <w:color w:val="auto"/>
              </w:rPr>
            </w:pPr>
            <w:r>
              <w:rPr>
                <w:rFonts w:ascii="Arial" w:cs="Arial" w:eastAsia="Arial" w:hAnsi="Arial"/>
                <w:sz w:val="18"/>
                <w:szCs w:val="18"/>
                <w:color w:val="auto"/>
                <w:w w:val="92"/>
              </w:rPr>
              <w:t>Certificate of Ownership and Merger merging Texas Instruments Automotive Sensors and Controls San Jose Inc. with and into the Registrant</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(incorporated by reference to Exhibit 3(i) to the Registrant’s Current Report on Form 8-K dated October 31, 2004).</w:t>
            </w:r>
          </w:p>
        </w:tc>
      </w:tr>
      <w:tr>
        <w:trPr>
          <w:trHeight w:val="324"/>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88"/>
              </w:rPr>
              <w:t>3(t)</w:t>
            </w:r>
          </w:p>
        </w:tc>
        <w:tc>
          <w:tcPr>
            <w:tcW w:w="10620" w:type="dxa"/>
            <w:vAlign w:val="bottom"/>
          </w:tcPr>
          <w:p>
            <w:pPr>
              <w:ind w:left="240"/>
              <w:spacing w:after="0"/>
              <w:rPr>
                <w:sz w:val="20"/>
                <w:szCs w:val="20"/>
                <w:color w:val="auto"/>
              </w:rPr>
            </w:pPr>
            <w:r>
              <w:rPr>
                <w:rFonts w:ascii="Arial" w:cs="Arial" w:eastAsia="Arial" w:hAnsi="Arial"/>
                <w:sz w:val="18"/>
                <w:szCs w:val="18"/>
                <w:color w:val="auto"/>
                <w:w w:val="93"/>
              </w:rPr>
              <w:t>By-Laws of the Registrant (incorporated by reference to Exhibit 3 to the Registrant’s Current Report on Form 8-K dated February 16, 2006).</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91"/>
              </w:rPr>
              <w:t>4(a)(i)</w:t>
            </w:r>
          </w:p>
        </w:tc>
        <w:tc>
          <w:tcPr>
            <w:tcW w:w="10620" w:type="dxa"/>
            <w:vAlign w:val="bottom"/>
          </w:tcPr>
          <w:p>
            <w:pPr>
              <w:ind w:left="240"/>
              <w:spacing w:after="0"/>
              <w:rPr>
                <w:sz w:val="20"/>
                <w:szCs w:val="20"/>
                <w:color w:val="auto"/>
              </w:rPr>
            </w:pPr>
            <w:r>
              <w:rPr>
                <w:rFonts w:ascii="Arial" w:cs="Arial" w:eastAsia="Arial" w:hAnsi="Arial"/>
                <w:sz w:val="18"/>
                <w:szCs w:val="18"/>
                <w:color w:val="auto"/>
                <w:w w:val="87"/>
              </w:rPr>
              <w:t>Rights Agreement dated as of June 18, 1998, between the Registrant and Harris Trust and Savings Bank as Rights Agent, which includes as Exhibit</w:t>
            </w:r>
          </w:p>
        </w:tc>
      </w:tr>
      <w:tr>
        <w:trPr>
          <w:trHeight w:val="216"/>
        </w:trPr>
        <w:tc>
          <w:tcPr>
            <w:tcW w:w="760" w:type="dxa"/>
            <w:vAlign w:val="bottom"/>
          </w:tcPr>
          <w:p>
            <w:pPr>
              <w:spacing w:after="0"/>
              <w:rPr>
                <w:sz w:val="18"/>
                <w:szCs w:val="18"/>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w w:val="92"/>
              </w:rPr>
              <w:t>B the form of Rights Certificate (incorporated by reference to Exhibit 1 to the Registrant’s Registration Statement on Form 8-A dated June 23,</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1998).</w:t>
            </w:r>
          </w:p>
        </w:tc>
      </w:tr>
      <w:tr>
        <w:trPr>
          <w:trHeight w:val="318"/>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6"/>
              </w:rPr>
              <w:t>4(a)(ii)</w:t>
            </w:r>
          </w:p>
        </w:tc>
        <w:tc>
          <w:tcPr>
            <w:tcW w:w="10620" w:type="dxa"/>
            <w:vAlign w:val="bottom"/>
          </w:tcPr>
          <w:p>
            <w:pPr>
              <w:ind w:left="240"/>
              <w:spacing w:after="0"/>
              <w:rPr>
                <w:sz w:val="20"/>
                <w:szCs w:val="20"/>
                <w:color w:val="auto"/>
              </w:rPr>
            </w:pPr>
            <w:r>
              <w:rPr>
                <w:rFonts w:ascii="Arial" w:cs="Arial" w:eastAsia="Arial" w:hAnsi="Arial"/>
                <w:sz w:val="18"/>
                <w:szCs w:val="18"/>
                <w:color w:val="auto"/>
                <w:w w:val="89"/>
              </w:rPr>
              <w:t>Amendment dated as of September 18, 1998, to the Rights Agreement (incorporated by reference to Exhibit 2 to the Registrant’s Amendment No.</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1 to Registration Statement on Form 8-A dated September 23, 1998).</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87"/>
              </w:rPr>
              <w:t>4(b)</w:t>
            </w:r>
          </w:p>
        </w:tc>
        <w:tc>
          <w:tcPr>
            <w:tcW w:w="10620" w:type="dxa"/>
            <w:vAlign w:val="bottom"/>
          </w:tcPr>
          <w:p>
            <w:pPr>
              <w:ind w:left="240"/>
              <w:spacing w:after="0"/>
              <w:rPr>
                <w:sz w:val="20"/>
                <w:szCs w:val="20"/>
                <w:color w:val="auto"/>
              </w:rPr>
            </w:pPr>
            <w:r>
              <w:rPr>
                <w:rFonts w:ascii="Arial" w:cs="Arial" w:eastAsia="Arial" w:hAnsi="Arial"/>
                <w:sz w:val="18"/>
                <w:szCs w:val="18"/>
                <w:color w:val="auto"/>
                <w:w w:val="93"/>
              </w:rPr>
              <w:t>The Registrant agrees to provide the Commission, upon request, copies of instruments defining the rights of holders of long-term debt of the</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Registrant and its subsidiaries.</w:t>
            </w:r>
          </w:p>
        </w:tc>
      </w:tr>
      <w:tr>
        <w:trPr>
          <w:trHeight w:val="318"/>
        </w:trPr>
        <w:tc>
          <w:tcPr>
            <w:tcW w:w="760" w:type="dxa"/>
            <w:vAlign w:val="bottom"/>
          </w:tcPr>
          <w:p>
            <w:pPr>
              <w:jc w:val="center"/>
              <w:ind w:right="152"/>
              <w:spacing w:after="0"/>
              <w:rPr>
                <w:sz w:val="20"/>
                <w:szCs w:val="20"/>
                <w:color w:val="auto"/>
              </w:rPr>
            </w:pPr>
            <w:r>
              <w:rPr>
                <w:rFonts w:ascii="Arial" w:cs="Arial" w:eastAsia="Arial" w:hAnsi="Arial"/>
                <w:sz w:val="18"/>
                <w:szCs w:val="18"/>
                <w:color w:val="auto"/>
                <w:w w:val="89"/>
              </w:rPr>
              <w:t>10(a)(i)</w:t>
            </w:r>
          </w:p>
        </w:tc>
        <w:tc>
          <w:tcPr>
            <w:tcW w:w="10620" w:type="dxa"/>
            <w:vAlign w:val="bottom"/>
          </w:tcPr>
          <w:p>
            <w:pPr>
              <w:ind w:left="240"/>
              <w:spacing w:after="0"/>
              <w:rPr>
                <w:sz w:val="20"/>
                <w:szCs w:val="20"/>
                <w:color w:val="auto"/>
              </w:rPr>
            </w:pPr>
            <w:r>
              <w:rPr>
                <w:rFonts w:ascii="Arial" w:cs="Arial" w:eastAsia="Arial" w:hAnsi="Arial"/>
                <w:sz w:val="18"/>
                <w:szCs w:val="18"/>
                <w:color w:val="auto"/>
                <w:w w:val="90"/>
              </w:rPr>
              <w:t>Amended and Restated TI Deferred Compensation Plan (incorporated by reference to Exhibit 10(a)(i) to the Registrant’s Annual Report on Form</w:t>
            </w:r>
          </w:p>
        </w:tc>
      </w:tr>
      <w:tr>
        <w:trPr>
          <w:trHeight w:val="222"/>
        </w:trPr>
        <w:tc>
          <w:tcPr>
            <w:tcW w:w="760" w:type="dxa"/>
            <w:vAlign w:val="bottom"/>
          </w:tcPr>
          <w:p>
            <w:pPr>
              <w:spacing w:after="0"/>
              <w:rPr>
                <w:sz w:val="19"/>
                <w:szCs w:val="19"/>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10-K for the year 1999).*</w:t>
            </w:r>
          </w:p>
        </w:tc>
      </w:tr>
      <w:tr>
        <w:trPr>
          <w:trHeight w:val="365"/>
        </w:trPr>
        <w:tc>
          <w:tcPr>
            <w:tcW w:w="760" w:type="dxa"/>
            <w:vAlign w:val="bottom"/>
          </w:tcPr>
          <w:p>
            <w:pPr>
              <w:spacing w:after="0"/>
              <w:rPr>
                <w:sz w:val="24"/>
                <w:szCs w:val="24"/>
                <w:color w:val="auto"/>
              </w:rPr>
            </w:pPr>
          </w:p>
        </w:tc>
        <w:tc>
          <w:tcPr>
            <w:tcW w:w="10620" w:type="dxa"/>
            <w:vAlign w:val="bottom"/>
          </w:tcPr>
          <w:p>
            <w:pPr>
              <w:ind w:left="482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380"/>
          </w:cols>
          <w:pgMar w:left="280" w:top="388" w:right="2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3"/>
              </w:rPr>
              <w:t>10(a)(ii)</w:t>
            </w:r>
          </w:p>
        </w:tc>
        <w:tc>
          <w:tcPr>
            <w:tcW w:w="10600" w:type="dxa"/>
            <w:vAlign w:val="bottom"/>
          </w:tcPr>
          <w:p>
            <w:pPr>
              <w:ind w:left="160"/>
              <w:spacing w:after="0"/>
              <w:rPr>
                <w:sz w:val="20"/>
                <w:szCs w:val="20"/>
                <w:color w:val="auto"/>
              </w:rPr>
            </w:pPr>
            <w:r>
              <w:rPr>
                <w:rFonts w:ascii="Arial" w:cs="Arial" w:eastAsia="Arial" w:hAnsi="Arial"/>
                <w:sz w:val="18"/>
                <w:szCs w:val="18"/>
                <w:color w:val="auto"/>
                <w:w w:val="90"/>
              </w:rPr>
              <w:t>First Amendment to Restated TI Deferred Compensation Plan (incorporated by reference to Exhibit 10(a)(ii) to the Registrant’s Annual Report on</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Form 10-K for the year 1999).*</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3"/>
              </w:rPr>
              <w:t>10(a)(iii)</w:t>
            </w:r>
          </w:p>
        </w:tc>
        <w:tc>
          <w:tcPr>
            <w:tcW w:w="10600" w:type="dxa"/>
            <w:vAlign w:val="bottom"/>
          </w:tcPr>
          <w:p>
            <w:pPr>
              <w:ind w:left="160"/>
              <w:spacing w:after="0"/>
              <w:rPr>
                <w:sz w:val="20"/>
                <w:szCs w:val="20"/>
                <w:color w:val="auto"/>
              </w:rPr>
            </w:pPr>
            <w:r>
              <w:rPr>
                <w:rFonts w:ascii="Arial" w:cs="Arial" w:eastAsia="Arial" w:hAnsi="Arial"/>
                <w:sz w:val="18"/>
                <w:szCs w:val="18"/>
                <w:color w:val="auto"/>
                <w:w w:val="90"/>
              </w:rPr>
              <w:t>Second Amendment to Restated TI Deferred Compensation Plan (incorporated by reference to Exhibit 10(a)(iii) to the Registrant’s Annual Report</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on Form 10-K for the year 1999).*</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2"/>
              </w:rPr>
              <w:t>10(a)(iv)</w:t>
            </w:r>
          </w:p>
        </w:tc>
        <w:tc>
          <w:tcPr>
            <w:tcW w:w="10600" w:type="dxa"/>
            <w:vAlign w:val="bottom"/>
          </w:tcPr>
          <w:p>
            <w:pPr>
              <w:ind w:left="160"/>
              <w:spacing w:after="0"/>
              <w:rPr>
                <w:sz w:val="20"/>
                <w:szCs w:val="20"/>
                <w:color w:val="auto"/>
              </w:rPr>
            </w:pPr>
            <w:r>
              <w:rPr>
                <w:rFonts w:ascii="Arial" w:cs="Arial" w:eastAsia="Arial" w:hAnsi="Arial"/>
                <w:sz w:val="18"/>
                <w:szCs w:val="18"/>
                <w:color w:val="auto"/>
                <w:w w:val="89"/>
              </w:rPr>
              <w:t>Third Amendment to Restated TI Deferred Compensation Plan (incorporated by reference to Exhibit 10(a)(iv) to the Registrant’s Annual Report on</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Form 10-K for the year 2000).*</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1"/>
              </w:rPr>
              <w:t>10(a)(v)</w:t>
            </w:r>
          </w:p>
        </w:tc>
        <w:tc>
          <w:tcPr>
            <w:tcW w:w="10600" w:type="dxa"/>
            <w:vAlign w:val="bottom"/>
          </w:tcPr>
          <w:p>
            <w:pPr>
              <w:ind w:left="160"/>
              <w:spacing w:after="0"/>
              <w:rPr>
                <w:sz w:val="20"/>
                <w:szCs w:val="20"/>
                <w:color w:val="auto"/>
              </w:rPr>
            </w:pPr>
            <w:r>
              <w:rPr>
                <w:rFonts w:ascii="Arial" w:cs="Arial" w:eastAsia="Arial" w:hAnsi="Arial"/>
                <w:sz w:val="18"/>
                <w:szCs w:val="18"/>
                <w:color w:val="auto"/>
                <w:w w:val="89"/>
              </w:rPr>
              <w:t>Fourth Amendment to Restated TI Deferred Compensation Plan (incorporated by reference to Exhibit 10(a)(v) to the Registrant’s Annual Report on</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Form 10-K for the year 2001).*</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2"/>
              </w:rPr>
              <w:t>10(a)(vi)</w:t>
            </w:r>
          </w:p>
        </w:tc>
        <w:tc>
          <w:tcPr>
            <w:tcW w:w="10600" w:type="dxa"/>
            <w:vAlign w:val="bottom"/>
          </w:tcPr>
          <w:p>
            <w:pPr>
              <w:ind w:left="160"/>
              <w:spacing w:after="0"/>
              <w:rPr>
                <w:sz w:val="20"/>
                <w:szCs w:val="20"/>
                <w:color w:val="auto"/>
              </w:rPr>
            </w:pPr>
            <w:r>
              <w:rPr>
                <w:rFonts w:ascii="Arial" w:cs="Arial" w:eastAsia="Arial" w:hAnsi="Arial"/>
                <w:sz w:val="18"/>
                <w:szCs w:val="18"/>
                <w:color w:val="auto"/>
                <w:w w:val="90"/>
              </w:rPr>
              <w:t>Fifth Amendment to Restated TI Deferred Compensation Plan (incorporated by reference to Exhibit 10(a)(vi) to the Registrant’s Annual Report on</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Form 10-K for the year 2002).*</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3"/>
              </w:rPr>
              <w:t>10(b)(i)</w:t>
            </w:r>
          </w:p>
        </w:tc>
        <w:tc>
          <w:tcPr>
            <w:tcW w:w="10600" w:type="dxa"/>
            <w:vAlign w:val="bottom"/>
          </w:tcPr>
          <w:p>
            <w:pPr>
              <w:ind w:left="160"/>
              <w:spacing w:after="0"/>
              <w:rPr>
                <w:sz w:val="20"/>
                <w:szCs w:val="20"/>
                <w:color w:val="auto"/>
              </w:rPr>
            </w:pPr>
            <w:r>
              <w:rPr>
                <w:rFonts w:ascii="Arial" w:cs="Arial" w:eastAsia="Arial" w:hAnsi="Arial"/>
                <w:sz w:val="18"/>
                <w:szCs w:val="18"/>
                <w:color w:val="auto"/>
                <w:w w:val="91"/>
              </w:rPr>
              <w:t>TI Employees Supplemental Pension Plan (incorporated by reference to Exhibit 10(b)(i) to the Registrant’s Annual Report on Form 10-K for the</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year 1999).*</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3"/>
              </w:rPr>
              <w:t>10(b)(ii)</w:t>
            </w:r>
          </w:p>
        </w:tc>
        <w:tc>
          <w:tcPr>
            <w:tcW w:w="10600" w:type="dxa"/>
            <w:vAlign w:val="bottom"/>
          </w:tcPr>
          <w:p>
            <w:pPr>
              <w:ind w:left="160"/>
              <w:spacing w:after="0"/>
              <w:rPr>
                <w:sz w:val="20"/>
                <w:szCs w:val="20"/>
                <w:color w:val="auto"/>
              </w:rPr>
            </w:pPr>
            <w:r>
              <w:rPr>
                <w:rFonts w:ascii="Arial" w:cs="Arial" w:eastAsia="Arial" w:hAnsi="Arial"/>
                <w:sz w:val="18"/>
                <w:szCs w:val="18"/>
                <w:color w:val="auto"/>
                <w:w w:val="90"/>
              </w:rPr>
              <w:t>First Amendment to TI Supplemental Pension Plan (incorporated by reference to Exhibit 10(b)(ii) to the Registrant’s Annual Report on Form 10-K</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for the year 1999).*</w:t>
            </w:r>
          </w:p>
        </w:tc>
      </w:tr>
      <w:tr>
        <w:trPr>
          <w:trHeight w:val="318"/>
        </w:trPr>
        <w:tc>
          <w:tcPr>
            <w:tcW w:w="800" w:type="dxa"/>
            <w:vAlign w:val="bottom"/>
          </w:tcPr>
          <w:p>
            <w:pPr>
              <w:jc w:val="center"/>
              <w:ind w:right="72"/>
              <w:spacing w:after="0"/>
              <w:rPr>
                <w:sz w:val="20"/>
                <w:szCs w:val="20"/>
                <w:color w:val="auto"/>
              </w:rPr>
            </w:pPr>
            <w:r>
              <w:rPr>
                <w:rFonts w:ascii="Arial" w:cs="Arial" w:eastAsia="Arial" w:hAnsi="Arial"/>
                <w:sz w:val="18"/>
                <w:szCs w:val="18"/>
                <w:color w:val="auto"/>
                <w:w w:val="96"/>
              </w:rPr>
              <w:t>10(b)(iii)</w:t>
            </w:r>
          </w:p>
        </w:tc>
        <w:tc>
          <w:tcPr>
            <w:tcW w:w="10600" w:type="dxa"/>
            <w:vAlign w:val="bottom"/>
          </w:tcPr>
          <w:p>
            <w:pPr>
              <w:ind w:left="160"/>
              <w:spacing w:after="0"/>
              <w:rPr>
                <w:sz w:val="20"/>
                <w:szCs w:val="20"/>
                <w:color w:val="auto"/>
              </w:rPr>
            </w:pPr>
            <w:r>
              <w:rPr>
                <w:rFonts w:ascii="Arial" w:cs="Arial" w:eastAsia="Arial" w:hAnsi="Arial"/>
                <w:sz w:val="18"/>
                <w:szCs w:val="18"/>
                <w:color w:val="auto"/>
                <w:w w:val="91"/>
              </w:rPr>
              <w:t>Second Amendment to TI Supplemental Pension Plan (incorporated by reference to Exhibit 10(b)(iii) to the Registrant’s Annual Report on Form</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10-K for the year 2002).*</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2"/>
              </w:rPr>
              <w:t>10(b)(iv)</w:t>
            </w:r>
          </w:p>
        </w:tc>
        <w:tc>
          <w:tcPr>
            <w:tcW w:w="10600" w:type="dxa"/>
            <w:vAlign w:val="bottom"/>
          </w:tcPr>
          <w:p>
            <w:pPr>
              <w:ind w:left="160"/>
              <w:spacing w:after="0"/>
              <w:rPr>
                <w:sz w:val="20"/>
                <w:szCs w:val="20"/>
                <w:color w:val="auto"/>
              </w:rPr>
            </w:pPr>
            <w:r>
              <w:rPr>
                <w:rFonts w:ascii="Arial" w:cs="Arial" w:eastAsia="Arial" w:hAnsi="Arial"/>
                <w:sz w:val="18"/>
                <w:szCs w:val="18"/>
                <w:color w:val="auto"/>
                <w:w w:val="89"/>
              </w:rPr>
              <w:t>Third Amendment to TI Supplemental Pension Plan (incorporated by reference to Exhibit 10(b)(iv) to the Registrant’s Annual Report on Form 10-K</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for the year 2002).*</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1"/>
              </w:rPr>
              <w:t>10(b)(v)</w:t>
            </w:r>
          </w:p>
        </w:tc>
        <w:tc>
          <w:tcPr>
            <w:tcW w:w="10600" w:type="dxa"/>
            <w:vAlign w:val="bottom"/>
          </w:tcPr>
          <w:p>
            <w:pPr>
              <w:ind w:left="160"/>
              <w:spacing w:after="0"/>
              <w:rPr>
                <w:sz w:val="20"/>
                <w:szCs w:val="20"/>
                <w:color w:val="auto"/>
              </w:rPr>
            </w:pPr>
            <w:r>
              <w:rPr>
                <w:rFonts w:ascii="Arial" w:cs="Arial" w:eastAsia="Arial" w:hAnsi="Arial"/>
                <w:sz w:val="18"/>
                <w:szCs w:val="18"/>
                <w:color w:val="auto"/>
                <w:w w:val="91"/>
              </w:rPr>
              <w:t>Fourth Amendment to TI’s Supplemental Pension Plan (incorporated by reference to Exhibit 10(b)(v) to the Registrant’s Annual Report on Form</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10-K for the year 2003).*</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2"/>
              </w:rPr>
              <w:t>10(c)</w:t>
            </w:r>
          </w:p>
        </w:tc>
        <w:tc>
          <w:tcPr>
            <w:tcW w:w="10600" w:type="dxa"/>
            <w:vAlign w:val="bottom"/>
          </w:tcPr>
          <w:p>
            <w:pPr>
              <w:ind w:left="160"/>
              <w:spacing w:after="0"/>
              <w:rPr>
                <w:sz w:val="20"/>
                <w:szCs w:val="20"/>
                <w:color w:val="auto"/>
              </w:rPr>
            </w:pPr>
            <w:r>
              <w:rPr>
                <w:rFonts w:ascii="Arial" w:cs="Arial" w:eastAsia="Arial" w:hAnsi="Arial"/>
                <w:sz w:val="18"/>
                <w:szCs w:val="18"/>
                <w:color w:val="auto"/>
                <w:w w:val="89"/>
              </w:rPr>
              <w:t>Texas Instruments Long-Term Incentive Plan (incorporated by reference to Exhibit 10(a)(ii) to the Registrant’s Annual Report on Form 10-K for the</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year 1993).*</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0"/>
              </w:rPr>
              <w:t>10(d)</w:t>
            </w:r>
          </w:p>
        </w:tc>
        <w:tc>
          <w:tcPr>
            <w:tcW w:w="10600" w:type="dxa"/>
            <w:vAlign w:val="bottom"/>
          </w:tcPr>
          <w:p>
            <w:pPr>
              <w:ind w:left="160"/>
              <w:spacing w:after="0"/>
              <w:rPr>
                <w:sz w:val="20"/>
                <w:szCs w:val="20"/>
                <w:color w:val="auto"/>
              </w:rPr>
            </w:pPr>
            <w:r>
              <w:rPr>
                <w:rFonts w:ascii="Arial" w:cs="Arial" w:eastAsia="Arial" w:hAnsi="Arial"/>
                <w:sz w:val="18"/>
                <w:szCs w:val="18"/>
                <w:color w:val="auto"/>
                <w:w w:val="90"/>
              </w:rPr>
              <w:t>Texas Instruments 1996 Long-Term Incentive Plan (incorporated by reference to Exhibit 10 to the Registrant’s Quarterly Report on Form 10-Q for</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the quarter ended June 30, 1996).*</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0"/>
              </w:rPr>
              <w:t>10(e)</w:t>
            </w:r>
          </w:p>
        </w:tc>
        <w:tc>
          <w:tcPr>
            <w:tcW w:w="10600" w:type="dxa"/>
            <w:vAlign w:val="bottom"/>
          </w:tcPr>
          <w:p>
            <w:pPr>
              <w:ind w:left="160"/>
              <w:spacing w:after="0"/>
              <w:rPr>
                <w:sz w:val="20"/>
                <w:szCs w:val="20"/>
                <w:color w:val="auto"/>
              </w:rPr>
            </w:pPr>
            <w:r>
              <w:rPr>
                <w:rFonts w:ascii="Arial" w:cs="Arial" w:eastAsia="Arial" w:hAnsi="Arial"/>
                <w:sz w:val="18"/>
                <w:szCs w:val="18"/>
                <w:color w:val="auto"/>
                <w:w w:val="90"/>
              </w:rPr>
              <w:t>Texas Instruments 2000 Long-Term Incentive Plan (incorporated by reference to Exhibit 10(e) to the Registrant’s Registration Statement on Form</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S-4 No. 333-41030 filed on July 7, 2000).*</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1"/>
              </w:rPr>
              <w:t>10(f)</w:t>
            </w:r>
          </w:p>
        </w:tc>
        <w:tc>
          <w:tcPr>
            <w:tcW w:w="10600" w:type="dxa"/>
            <w:vAlign w:val="bottom"/>
          </w:tcPr>
          <w:p>
            <w:pPr>
              <w:ind w:left="160"/>
              <w:spacing w:after="0"/>
              <w:rPr>
                <w:sz w:val="20"/>
                <w:szCs w:val="20"/>
                <w:color w:val="auto"/>
              </w:rPr>
            </w:pPr>
            <w:r>
              <w:rPr>
                <w:rFonts w:ascii="Arial" w:cs="Arial" w:eastAsia="Arial" w:hAnsi="Arial"/>
                <w:sz w:val="18"/>
                <w:szCs w:val="18"/>
                <w:color w:val="auto"/>
                <w:w w:val="90"/>
              </w:rPr>
              <w:t>Texas Instruments 2003 Long-Term Incentive Plan (incorporated by reference to Exhibit 10(f) to the Registrant’s Annual Report on Form 10-K for</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the year 2002).</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0"/>
              </w:rPr>
              <w:t>10(g)</w:t>
            </w:r>
          </w:p>
        </w:tc>
        <w:tc>
          <w:tcPr>
            <w:tcW w:w="10600" w:type="dxa"/>
            <w:vAlign w:val="bottom"/>
          </w:tcPr>
          <w:p>
            <w:pPr>
              <w:ind w:left="160"/>
              <w:spacing w:after="0"/>
              <w:rPr>
                <w:sz w:val="20"/>
                <w:szCs w:val="20"/>
                <w:color w:val="auto"/>
              </w:rPr>
            </w:pPr>
            <w:r>
              <w:rPr>
                <w:rFonts w:ascii="Arial" w:cs="Arial" w:eastAsia="Arial" w:hAnsi="Arial"/>
                <w:sz w:val="18"/>
                <w:szCs w:val="18"/>
                <w:color w:val="auto"/>
                <w:w w:val="88"/>
              </w:rPr>
              <w:t>Texas Instruments Executive Officer Performance Plan (incorporated by reference to Exhibit 10(a) to the Registrant’s Quarterly Report on Form 10-</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Q for the quarter ended March 31, 2002).*</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0"/>
              </w:rPr>
              <w:t>10(h)</w:t>
            </w:r>
          </w:p>
        </w:tc>
        <w:tc>
          <w:tcPr>
            <w:tcW w:w="10600" w:type="dxa"/>
            <w:vAlign w:val="bottom"/>
          </w:tcPr>
          <w:p>
            <w:pPr>
              <w:ind w:left="160"/>
              <w:spacing w:after="0"/>
              <w:rPr>
                <w:sz w:val="20"/>
                <w:szCs w:val="20"/>
                <w:color w:val="auto"/>
              </w:rPr>
            </w:pPr>
            <w:r>
              <w:rPr>
                <w:rFonts w:ascii="Arial" w:cs="Arial" w:eastAsia="Arial" w:hAnsi="Arial"/>
                <w:sz w:val="18"/>
                <w:szCs w:val="18"/>
                <w:color w:val="auto"/>
                <w:w w:val="89"/>
              </w:rPr>
              <w:t>Texas Instruments Restricted Stock Unit Plan for Directors (incorporated by reference to Exhibit 10(e) to the Registrant’s Quarterly Report on Form</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10-Q for the quarter ended March 31, 1998).</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4"/>
              </w:rPr>
              <w:t>10(i)</w:t>
            </w:r>
          </w:p>
        </w:tc>
        <w:tc>
          <w:tcPr>
            <w:tcW w:w="10600" w:type="dxa"/>
            <w:vAlign w:val="bottom"/>
          </w:tcPr>
          <w:p>
            <w:pPr>
              <w:ind w:left="160"/>
              <w:spacing w:after="0"/>
              <w:rPr>
                <w:sz w:val="20"/>
                <w:szCs w:val="20"/>
                <w:color w:val="auto"/>
              </w:rPr>
            </w:pPr>
            <w:r>
              <w:rPr>
                <w:rFonts w:ascii="Arial" w:cs="Arial" w:eastAsia="Arial" w:hAnsi="Arial"/>
                <w:sz w:val="18"/>
                <w:szCs w:val="18"/>
                <w:color w:val="auto"/>
                <w:w w:val="89"/>
              </w:rPr>
              <w:t>Texas Instruments Directors Deferred Compensation Plan (incorporated by reference to Exhibit 10(f) to the Registrant’s Quarterly Report on Form</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10-Q for the quarter ended March 31, 1998).</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4"/>
              </w:rPr>
              <w:t>10(j)</w:t>
            </w:r>
          </w:p>
        </w:tc>
        <w:tc>
          <w:tcPr>
            <w:tcW w:w="10600" w:type="dxa"/>
            <w:vAlign w:val="bottom"/>
          </w:tcPr>
          <w:p>
            <w:pPr>
              <w:ind w:left="160"/>
              <w:spacing w:after="0"/>
              <w:rPr>
                <w:sz w:val="20"/>
                <w:szCs w:val="20"/>
                <w:color w:val="auto"/>
              </w:rPr>
            </w:pPr>
            <w:r>
              <w:rPr>
                <w:rFonts w:ascii="Arial" w:cs="Arial" w:eastAsia="Arial" w:hAnsi="Arial"/>
                <w:sz w:val="18"/>
                <w:szCs w:val="18"/>
                <w:color w:val="auto"/>
                <w:w w:val="90"/>
              </w:rPr>
              <w:t>Texas Instruments Stock Option Plan for Non-Employee Directors (incorporated by reference to Exhibit 10(i) to the Registrant’s Annual Report on</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Form 10-K for the year 2000).</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2"/>
              </w:rPr>
              <w:t>10(k)</w:t>
            </w:r>
          </w:p>
        </w:tc>
        <w:tc>
          <w:tcPr>
            <w:tcW w:w="10600" w:type="dxa"/>
            <w:vAlign w:val="bottom"/>
          </w:tcPr>
          <w:p>
            <w:pPr>
              <w:ind w:left="160"/>
              <w:spacing w:after="0"/>
              <w:rPr>
                <w:sz w:val="20"/>
                <w:szCs w:val="20"/>
                <w:color w:val="auto"/>
              </w:rPr>
            </w:pPr>
            <w:r>
              <w:rPr>
                <w:rFonts w:ascii="Arial" w:cs="Arial" w:eastAsia="Arial" w:hAnsi="Arial"/>
                <w:sz w:val="18"/>
                <w:szCs w:val="18"/>
                <w:color w:val="auto"/>
                <w:w w:val="89"/>
              </w:rPr>
              <w:t>Texas Instruments 2003 Director Compensation Plan (incorporated by reference to Exhibit 10(i) to the Registrant’s Quarterly Report on Form 10-Q</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for the quarter ended March 31, 2004).</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4"/>
              </w:rPr>
              <w:t>10(l)</w:t>
            </w:r>
          </w:p>
        </w:tc>
        <w:tc>
          <w:tcPr>
            <w:tcW w:w="10600" w:type="dxa"/>
            <w:vAlign w:val="bottom"/>
          </w:tcPr>
          <w:p>
            <w:pPr>
              <w:ind w:left="160"/>
              <w:spacing w:after="0"/>
              <w:rPr>
                <w:sz w:val="20"/>
                <w:szCs w:val="20"/>
                <w:color w:val="auto"/>
              </w:rPr>
            </w:pPr>
            <w:r>
              <w:rPr>
                <w:rFonts w:ascii="Arial" w:cs="Arial" w:eastAsia="Arial" w:hAnsi="Arial"/>
                <w:sz w:val="18"/>
                <w:szCs w:val="18"/>
                <w:color w:val="auto"/>
                <w:w w:val="89"/>
              </w:rPr>
              <w:t>Form of Stock Option Agreement for Executive Officers under the Texas Instruments 2000 Long-Term Incentive Plan (incorporated by reference to</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Exhibit 10(a)(i) to the Registrant’s Quarterly Report on Form 10-Q for the quarter ended September 30, 2004).*</w:t>
            </w: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89"/>
              </w:rPr>
              <w:t>10(m)</w:t>
            </w:r>
          </w:p>
        </w:tc>
        <w:tc>
          <w:tcPr>
            <w:tcW w:w="10600" w:type="dxa"/>
            <w:vAlign w:val="bottom"/>
          </w:tcPr>
          <w:p>
            <w:pPr>
              <w:ind w:left="160"/>
              <w:spacing w:after="0"/>
              <w:rPr>
                <w:sz w:val="20"/>
                <w:szCs w:val="20"/>
                <w:color w:val="auto"/>
              </w:rPr>
            </w:pPr>
            <w:r>
              <w:rPr>
                <w:rFonts w:ascii="Arial" w:cs="Arial" w:eastAsia="Arial" w:hAnsi="Arial"/>
                <w:sz w:val="18"/>
                <w:szCs w:val="18"/>
                <w:color w:val="auto"/>
                <w:w w:val="89"/>
              </w:rPr>
              <w:t>Form of Restricted Stock Unit Agreement under the Texas Instruments 2000 Long-Term Incentive Plan (incorporated by reference to Exhibit 10 to</w:t>
            </w:r>
          </w:p>
        </w:tc>
      </w:tr>
      <w:tr>
        <w:trPr>
          <w:trHeight w:val="222"/>
        </w:trPr>
        <w:tc>
          <w:tcPr>
            <w:tcW w:w="800" w:type="dxa"/>
            <w:vAlign w:val="bottom"/>
          </w:tcPr>
          <w:p>
            <w:pPr>
              <w:spacing w:after="0"/>
              <w:rPr>
                <w:sz w:val="19"/>
                <w:szCs w:val="19"/>
                <w:color w:val="auto"/>
              </w:rPr>
            </w:pPr>
          </w:p>
        </w:tc>
        <w:tc>
          <w:tcPr>
            <w:tcW w:w="10600" w:type="dxa"/>
            <w:vAlign w:val="bottom"/>
          </w:tcPr>
          <w:p>
            <w:pPr>
              <w:ind w:left="160"/>
              <w:spacing w:after="0"/>
              <w:rPr>
                <w:sz w:val="20"/>
                <w:szCs w:val="20"/>
                <w:color w:val="auto"/>
              </w:rPr>
            </w:pPr>
            <w:r>
              <w:rPr>
                <w:rFonts w:ascii="Arial" w:cs="Arial" w:eastAsia="Arial" w:hAnsi="Arial"/>
                <w:sz w:val="18"/>
                <w:szCs w:val="18"/>
                <w:color w:val="auto"/>
              </w:rPr>
              <w:t>the Registrant’s Current Report on Form 8-K dated January 19, 2006).*</w:t>
            </w:r>
          </w:p>
        </w:tc>
      </w:tr>
      <w:tr>
        <w:trPr>
          <w:trHeight w:val="365"/>
        </w:trPr>
        <w:tc>
          <w:tcPr>
            <w:tcW w:w="80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00"/>
          </w:cols>
          <w:pgMar w:left="260" w:top="388" w:right="239" w:bottom="1440" w:gutter="0" w:footer="0" w:header="0"/>
        </w:sectPr>
      </w:pPr>
    </w:p>
    <w:bookmarkStart w:id="19" w:name="page20"/>
    <w:bookmarkEnd w:id="19"/>
    <w:p>
      <w:pPr>
        <w:ind w:left="940" w:right="540" w:hanging="839"/>
        <w:spacing w:after="0" w:line="332" w:lineRule="auto"/>
        <w:tabs>
          <w:tab w:leader="none" w:pos="9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10(n)</w:t>
      </w:r>
      <w:r>
        <w:rPr>
          <w:sz w:val="20"/>
          <w:szCs w:val="20"/>
          <w:color w:val="auto"/>
        </w:rPr>
        <w:tab/>
      </w:r>
      <w:r>
        <w:rPr>
          <w:rFonts w:ascii="Arial" w:cs="Arial" w:eastAsia="Arial" w:hAnsi="Arial"/>
          <w:sz w:val="16"/>
          <w:szCs w:val="16"/>
          <w:color w:val="auto"/>
        </w:rPr>
        <w:t>Acquisition Agreement dated as of June 18, 1998, between Texas Instruments Incorporated and Micron Technology, Inc. (Exhibit C omitted) (incorporated by reference to Exhibit 2.1 to the Registrant’s Current Report on Form 8-K dated June 18, 1998).</w:t>
      </w:r>
    </w:p>
    <w:p>
      <w:pPr>
        <w:spacing w:after="0" w:line="31" w:lineRule="exact"/>
        <w:rPr>
          <w:sz w:val="20"/>
          <w:szCs w:val="20"/>
          <w:color w:val="auto"/>
        </w:rPr>
      </w:pPr>
    </w:p>
    <w:p>
      <w:pPr>
        <w:ind w:left="940" w:right="180" w:hanging="839"/>
        <w:spacing w:after="0" w:line="332" w:lineRule="auto"/>
        <w:tabs>
          <w:tab w:leader="none" w:pos="920" w:val="left"/>
        </w:tabs>
        <w:rPr>
          <w:sz w:val="20"/>
          <w:szCs w:val="20"/>
          <w:color w:val="auto"/>
        </w:rPr>
      </w:pPr>
      <w:r>
        <w:rPr>
          <w:rFonts w:ascii="Arial" w:cs="Arial" w:eastAsia="Arial" w:hAnsi="Arial"/>
          <w:sz w:val="16"/>
          <w:szCs w:val="16"/>
          <w:color w:val="auto"/>
        </w:rPr>
        <w:t>10(o)</w:t>
      </w:r>
      <w:r>
        <w:rPr>
          <w:sz w:val="20"/>
          <w:szCs w:val="20"/>
          <w:color w:val="auto"/>
        </w:rPr>
        <w:tab/>
      </w:r>
      <w:r>
        <w:rPr>
          <w:rFonts w:ascii="Arial" w:cs="Arial" w:eastAsia="Arial" w:hAnsi="Arial"/>
          <w:sz w:val="16"/>
          <w:szCs w:val="16"/>
          <w:color w:val="auto"/>
        </w:rPr>
        <w:t>Second Amendment to Acquisition Agreement dated as of September 30, 1998, between Texas Instruments Incorporated and Micron Technology, Inc. (incorporated by reference to Exhibit 2.2 to the Registrant’s Current Report on Form 8-K dated October 15, 1998).</w:t>
      </w:r>
    </w:p>
    <w:p>
      <w:pPr>
        <w:spacing w:after="0" w:line="31" w:lineRule="exact"/>
        <w:rPr>
          <w:sz w:val="20"/>
          <w:szCs w:val="20"/>
          <w:color w:val="auto"/>
        </w:rPr>
      </w:pPr>
    </w:p>
    <w:p>
      <w:pPr>
        <w:ind w:left="940" w:right="100" w:hanging="839"/>
        <w:spacing w:after="0" w:line="268" w:lineRule="auto"/>
        <w:tabs>
          <w:tab w:leader="none" w:pos="920" w:val="left"/>
        </w:tabs>
        <w:rPr>
          <w:sz w:val="20"/>
          <w:szCs w:val="20"/>
          <w:color w:val="auto"/>
        </w:rPr>
      </w:pPr>
      <w:r>
        <w:rPr>
          <w:rFonts w:ascii="Arial" w:cs="Arial" w:eastAsia="Arial" w:hAnsi="Arial"/>
          <w:sz w:val="18"/>
          <w:szCs w:val="18"/>
          <w:color w:val="auto"/>
        </w:rPr>
        <w:t>10(p)</w:t>
      </w:r>
      <w:r>
        <w:rPr>
          <w:sz w:val="20"/>
          <w:szCs w:val="20"/>
          <w:color w:val="auto"/>
        </w:rPr>
        <w:tab/>
      </w:r>
      <w:r>
        <w:rPr>
          <w:rFonts w:ascii="Arial" w:cs="Arial" w:eastAsia="Arial" w:hAnsi="Arial"/>
          <w:sz w:val="18"/>
          <w:szCs w:val="18"/>
          <w:color w:val="auto"/>
        </w:rPr>
        <w:t>Asset and Stock Purchase Agreement dated as of January 8, 2006, between Texas Instruments Incorporated and S&amp;C Purchase Corp. (incorporated by reference to Exhibit 2.1 to the Registrant’s Current Report on Form 8-K dated January 8, 2006).</w:t>
      </w:r>
    </w:p>
    <w:p>
      <w:pPr>
        <w:spacing w:after="0" w:line="78" w:lineRule="exact"/>
        <w:rPr>
          <w:sz w:val="20"/>
          <w:szCs w:val="20"/>
          <w:color w:val="auto"/>
        </w:rPr>
      </w:pPr>
    </w:p>
    <w:p>
      <w:pPr>
        <w:ind w:left="940" w:hanging="729"/>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Computation of Ratio of Earnings to Fixed Charges.</w:t>
      </w:r>
    </w:p>
    <w:p>
      <w:pPr>
        <w:spacing w:after="0" w:line="117" w:lineRule="exact"/>
        <w:rPr>
          <w:rFonts w:ascii="Arial" w:cs="Arial" w:eastAsia="Arial" w:hAnsi="Arial"/>
          <w:sz w:val="18"/>
          <w:szCs w:val="18"/>
          <w:color w:val="auto"/>
        </w:rPr>
      </w:pPr>
    </w:p>
    <w:p>
      <w:pPr>
        <w:ind w:left="940" w:hanging="729"/>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Portions of Registrant’s 2005 Annual Report to Stockholders incorporated by reference herein.</w:t>
      </w:r>
    </w:p>
    <w:p>
      <w:pPr>
        <w:spacing w:after="0" w:line="117" w:lineRule="exact"/>
        <w:rPr>
          <w:rFonts w:ascii="Arial" w:cs="Arial" w:eastAsia="Arial" w:hAnsi="Arial"/>
          <w:sz w:val="18"/>
          <w:szCs w:val="18"/>
          <w:color w:val="auto"/>
        </w:rPr>
      </w:pPr>
    </w:p>
    <w:p>
      <w:pPr>
        <w:ind w:left="940" w:hanging="729"/>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List of Subsidiaries of the Registrant.</w:t>
      </w:r>
    </w:p>
    <w:p>
      <w:pPr>
        <w:spacing w:after="0" w:line="117" w:lineRule="exact"/>
        <w:rPr>
          <w:rFonts w:ascii="Arial" w:cs="Arial" w:eastAsia="Arial" w:hAnsi="Arial"/>
          <w:sz w:val="18"/>
          <w:szCs w:val="18"/>
          <w:color w:val="auto"/>
        </w:rPr>
      </w:pPr>
    </w:p>
    <w:p>
      <w:pPr>
        <w:ind w:left="940" w:hanging="729"/>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color w:val="auto"/>
        </w:rPr>
        <w:t>31(a)</w:t>
      </w:r>
      <w:r>
        <w:rPr>
          <w:sz w:val="20"/>
          <w:szCs w:val="20"/>
          <w:color w:val="auto"/>
        </w:rPr>
        <w:tab/>
      </w:r>
      <w:r>
        <w:rPr>
          <w:rFonts w:ascii="Arial" w:cs="Arial" w:eastAsia="Arial" w:hAnsi="Arial"/>
          <w:sz w:val="18"/>
          <w:szCs w:val="18"/>
          <w:color w:val="auto"/>
        </w:rPr>
        <w:t>Rule 13a-14(a)/15(d)-14(a) Certification of Chief Executive Officer.</w:t>
      </w:r>
    </w:p>
    <w:p>
      <w:pPr>
        <w:spacing w:after="0" w:line="117"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31(b)</w:t>
      </w:r>
      <w:r>
        <w:rPr>
          <w:sz w:val="20"/>
          <w:szCs w:val="20"/>
          <w:color w:val="auto"/>
        </w:rPr>
        <w:tab/>
      </w:r>
      <w:r>
        <w:rPr>
          <w:rFonts w:ascii="Arial" w:cs="Arial" w:eastAsia="Arial" w:hAnsi="Arial"/>
          <w:sz w:val="18"/>
          <w:szCs w:val="18"/>
          <w:color w:val="auto"/>
        </w:rPr>
        <w:t>Rule 13a-14(a)/15(d)-14(a) Certification of Chief Financial Officer.</w:t>
      </w:r>
    </w:p>
    <w:p>
      <w:pPr>
        <w:spacing w:after="0" w:line="117"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color w:val="auto"/>
        </w:rPr>
        <w:t>32(a)</w:t>
      </w:r>
      <w:r>
        <w:rPr>
          <w:sz w:val="20"/>
          <w:szCs w:val="20"/>
          <w:color w:val="auto"/>
        </w:rPr>
        <w:tab/>
      </w:r>
      <w:r>
        <w:rPr>
          <w:rFonts w:ascii="Arial" w:cs="Arial" w:eastAsia="Arial" w:hAnsi="Arial"/>
          <w:sz w:val="18"/>
          <w:szCs w:val="18"/>
          <w:color w:val="auto"/>
        </w:rPr>
        <w:t>Section 1350 Certification of Chief Executive Officer.</w:t>
      </w:r>
    </w:p>
    <w:p>
      <w:pPr>
        <w:spacing w:after="0" w:line="117"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32(b)</w:t>
      </w:r>
      <w:r>
        <w:rPr>
          <w:sz w:val="20"/>
          <w:szCs w:val="20"/>
          <w:color w:val="auto"/>
        </w:rPr>
        <w:tab/>
      </w:r>
      <w:r>
        <w:rPr>
          <w:rFonts w:ascii="Arial" w:cs="Arial" w:eastAsia="Arial" w:hAnsi="Arial"/>
          <w:sz w:val="18"/>
          <w:szCs w:val="18"/>
          <w:color w:val="auto"/>
        </w:rPr>
        <w:t>Section 1350 Certification of Chief Financial Officer.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Executive Compensation Plans and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58"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2"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37" w:lineRule="exact"/>
        <w:rPr>
          <w:sz w:val="20"/>
          <w:szCs w:val="20"/>
          <w:color w:val="auto"/>
        </w:rPr>
      </w:pPr>
    </w:p>
    <w:p>
      <w:pPr>
        <w:ind w:left="780" w:right="10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37"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388" w:right="279" w:bottom="1440" w:gutter="0" w:footer="0" w:header="0"/>
        </w:sectPr>
      </w:pPr>
    </w:p>
    <w:bookmarkStart w:id="20" w:name="page21"/>
    <w:bookmarkEnd w:id="20"/>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suppliers operate;</w:t>
      </w:r>
    </w:p>
    <w:p>
      <w:pPr>
        <w:spacing w:after="0" w:line="90"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103"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For a more detailed discussion of these factors see the Risk Factors discussion in Item 1A of this report. The forward-looking statements included in this report are made only as of the date of this report and TI undertakes no obligation to update the forward-looking statements to reflect subsequent events or circumstances.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tabs>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Kevin P. March</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left="7240"/>
        <w:spacing w:after="0" w:line="222"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and Chief Accounting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2006</w:t>
      </w:r>
    </w:p>
    <w:p>
      <w:pPr>
        <w:spacing w:after="0" w:line="15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Each person whose signature appears below constitutes and appoints each of Richard K. Templeton, Kevin P. March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2005,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9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28th day of February 2006.</w:t>
      </w:r>
    </w:p>
    <w:p>
      <w:pPr>
        <w:spacing w:after="0" w:line="114" w:lineRule="exact"/>
        <w:rPr>
          <w:sz w:val="20"/>
          <w:szCs w:val="20"/>
          <w:color w:val="auto"/>
        </w:rPr>
      </w:pPr>
    </w:p>
    <w:p>
      <w:pPr>
        <w:ind w:left="2640"/>
        <w:spacing w:after="0"/>
        <w:tabs>
          <w:tab w:leader="none" w:pos="8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5314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68580</wp:posOffset>
            </wp:positionV>
            <wp:extent cx="2489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jc w:val="center"/>
              <w:spacing w:after="0"/>
              <w:rPr>
                <w:sz w:val="20"/>
                <w:szCs w:val="20"/>
                <w:color w:val="auto"/>
              </w:rPr>
            </w:pPr>
            <w:r>
              <w:rPr>
                <w:rFonts w:ascii="Arial" w:cs="Arial" w:eastAsia="Arial" w:hAnsi="Arial"/>
                <w:sz w:val="18"/>
                <w:szCs w:val="18"/>
                <w:color w:val="auto"/>
                <w:w w:val="86"/>
              </w:rPr>
              <w:t>/s/ James R. Adams</w:t>
            </w: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10"/>
        </w:trPr>
        <w:tc>
          <w:tcPr>
            <w:tcW w:w="582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r>
      <w:tr>
        <w:trPr>
          <w:trHeight w:val="263"/>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85"/>
              </w:rPr>
              <w:t>James R. Adams</w:t>
            </w:r>
          </w:p>
        </w:tc>
        <w:tc>
          <w:tcPr>
            <w:tcW w:w="4180" w:type="dxa"/>
            <w:vAlign w:val="bottom"/>
          </w:tcPr>
          <w:p>
            <w:pPr>
              <w:spacing w:after="0"/>
              <w:rPr>
                <w:sz w:val="22"/>
                <w:szCs w:val="22"/>
                <w:color w:val="auto"/>
              </w:rPr>
            </w:pPr>
          </w:p>
        </w:tc>
      </w:tr>
      <w:tr>
        <w:trPr>
          <w:trHeight w:val="431"/>
        </w:trPr>
        <w:tc>
          <w:tcPr>
            <w:tcW w:w="5820" w:type="dxa"/>
            <w:vAlign w:val="bottom"/>
          </w:tcPr>
          <w:p>
            <w:pPr>
              <w:jc w:val="center"/>
              <w:spacing w:after="0"/>
              <w:rPr>
                <w:sz w:val="20"/>
                <w:szCs w:val="20"/>
                <w:color w:val="auto"/>
              </w:rPr>
            </w:pPr>
            <w:r>
              <w:rPr>
                <w:rFonts w:ascii="Arial" w:cs="Arial" w:eastAsia="Arial" w:hAnsi="Arial"/>
                <w:sz w:val="18"/>
                <w:szCs w:val="18"/>
                <w:color w:val="auto"/>
                <w:w w:val="92"/>
              </w:rPr>
              <w:t>/s/ David L. Boren</w:t>
            </w: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10"/>
        </w:trPr>
        <w:tc>
          <w:tcPr>
            <w:tcW w:w="582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r>
      <w:tr>
        <w:trPr>
          <w:trHeight w:val="263"/>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89"/>
              </w:rPr>
              <w:t>David L. Boren</w:t>
            </w:r>
          </w:p>
        </w:tc>
        <w:tc>
          <w:tcPr>
            <w:tcW w:w="4180" w:type="dxa"/>
            <w:vAlign w:val="bottom"/>
          </w:tcPr>
          <w:p>
            <w:pPr>
              <w:spacing w:after="0"/>
              <w:rPr>
                <w:sz w:val="22"/>
                <w:szCs w:val="22"/>
                <w:color w:val="auto"/>
              </w:rPr>
            </w:pPr>
          </w:p>
        </w:tc>
      </w:tr>
      <w:tr>
        <w:trPr>
          <w:trHeight w:val="431"/>
        </w:trPr>
        <w:tc>
          <w:tcPr>
            <w:tcW w:w="5820" w:type="dxa"/>
            <w:vAlign w:val="bottom"/>
          </w:tcPr>
          <w:p>
            <w:pPr>
              <w:jc w:val="center"/>
              <w:spacing w:after="0"/>
              <w:rPr>
                <w:sz w:val="20"/>
                <w:szCs w:val="20"/>
                <w:color w:val="auto"/>
              </w:rPr>
            </w:pPr>
            <w:r>
              <w:rPr>
                <w:rFonts w:ascii="Arial" w:cs="Arial" w:eastAsia="Arial" w:hAnsi="Arial"/>
                <w:sz w:val="18"/>
                <w:szCs w:val="18"/>
                <w:color w:val="auto"/>
                <w:w w:val="90"/>
              </w:rPr>
              <w:t>/s/ Daniel A. Carp</w:t>
            </w: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10"/>
        </w:trPr>
        <w:tc>
          <w:tcPr>
            <w:tcW w:w="582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r>
      <w:tr>
        <w:trPr>
          <w:trHeight w:val="263"/>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91"/>
              </w:rPr>
              <w:t>Daniel A. Carp</w:t>
            </w:r>
          </w:p>
        </w:tc>
        <w:tc>
          <w:tcPr>
            <w:tcW w:w="4180" w:type="dxa"/>
            <w:vAlign w:val="bottom"/>
          </w:tcPr>
          <w:p>
            <w:pPr>
              <w:spacing w:after="0"/>
              <w:rPr>
                <w:sz w:val="22"/>
                <w:szCs w:val="22"/>
                <w:color w:val="auto"/>
              </w:rPr>
            </w:pPr>
          </w:p>
        </w:tc>
      </w:tr>
      <w:tr>
        <w:trPr>
          <w:trHeight w:val="431"/>
        </w:trPr>
        <w:tc>
          <w:tcPr>
            <w:tcW w:w="5820" w:type="dxa"/>
            <w:vAlign w:val="bottom"/>
          </w:tcPr>
          <w:p>
            <w:pPr>
              <w:jc w:val="center"/>
              <w:spacing w:after="0"/>
              <w:rPr>
                <w:sz w:val="20"/>
                <w:szCs w:val="20"/>
                <w:color w:val="auto"/>
              </w:rPr>
            </w:pPr>
            <w:r>
              <w:rPr>
                <w:rFonts w:ascii="Arial" w:cs="Arial" w:eastAsia="Arial" w:hAnsi="Arial"/>
                <w:sz w:val="18"/>
                <w:szCs w:val="18"/>
                <w:color w:val="auto"/>
                <w:w w:val="87"/>
              </w:rPr>
              <w:t>/s/ Carries S. Cox</w:t>
            </w: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10"/>
        </w:trPr>
        <w:tc>
          <w:tcPr>
            <w:tcW w:w="582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r>
      <w:tr>
        <w:trPr>
          <w:trHeight w:val="263"/>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90"/>
              </w:rPr>
              <w:t>Carrie S. Cox</w:t>
            </w:r>
          </w:p>
        </w:tc>
        <w:tc>
          <w:tcPr>
            <w:tcW w:w="4180" w:type="dxa"/>
            <w:vAlign w:val="bottom"/>
          </w:tcPr>
          <w:p>
            <w:pPr>
              <w:spacing w:after="0"/>
              <w:rPr>
                <w:sz w:val="22"/>
                <w:szCs w:val="22"/>
                <w:color w:val="auto"/>
              </w:rPr>
            </w:pPr>
          </w:p>
        </w:tc>
      </w:tr>
      <w:tr>
        <w:trPr>
          <w:trHeight w:val="431"/>
        </w:trPr>
        <w:tc>
          <w:tcPr>
            <w:tcW w:w="5820" w:type="dxa"/>
            <w:vAlign w:val="bottom"/>
          </w:tcPr>
          <w:p>
            <w:pPr>
              <w:jc w:val="center"/>
              <w:spacing w:after="0"/>
              <w:rPr>
                <w:sz w:val="20"/>
                <w:szCs w:val="20"/>
                <w:color w:val="auto"/>
              </w:rPr>
            </w:pPr>
            <w:r>
              <w:rPr>
                <w:rFonts w:ascii="Arial" w:cs="Arial" w:eastAsia="Arial" w:hAnsi="Arial"/>
                <w:sz w:val="18"/>
                <w:szCs w:val="18"/>
                <w:color w:val="auto"/>
                <w:w w:val="87"/>
              </w:rPr>
              <w:t>/s/ Thomas J. Engibous</w:t>
            </w: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0"/>
              </w:rPr>
              <w:t>Chairman of the Board; Director</w:t>
            </w:r>
          </w:p>
        </w:tc>
      </w:tr>
      <w:tr>
        <w:trPr>
          <w:trHeight w:val="110"/>
        </w:trPr>
        <w:tc>
          <w:tcPr>
            <w:tcW w:w="582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r>
      <w:tr>
        <w:trPr>
          <w:trHeight w:val="263"/>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84"/>
              </w:rPr>
              <w:t>Thomas J. Engibous</w:t>
            </w:r>
          </w:p>
        </w:tc>
        <w:tc>
          <w:tcPr>
            <w:tcW w:w="4180" w:type="dxa"/>
            <w:vAlign w:val="bottom"/>
          </w:tcPr>
          <w:p>
            <w:pPr>
              <w:spacing w:after="0"/>
              <w:rPr>
                <w:sz w:val="22"/>
                <w:szCs w:val="22"/>
                <w:color w:val="auto"/>
              </w:rPr>
            </w:pPr>
          </w:p>
        </w:tc>
      </w:tr>
      <w:tr>
        <w:trPr>
          <w:trHeight w:val="431"/>
        </w:trPr>
        <w:tc>
          <w:tcPr>
            <w:tcW w:w="5820" w:type="dxa"/>
            <w:vAlign w:val="bottom"/>
          </w:tcPr>
          <w:p>
            <w:pPr>
              <w:jc w:val="center"/>
              <w:spacing w:after="0"/>
              <w:rPr>
                <w:sz w:val="20"/>
                <w:szCs w:val="20"/>
                <w:color w:val="auto"/>
              </w:rPr>
            </w:pPr>
            <w:r>
              <w:rPr>
                <w:rFonts w:ascii="Arial" w:cs="Arial" w:eastAsia="Arial" w:hAnsi="Arial"/>
                <w:sz w:val="18"/>
                <w:szCs w:val="18"/>
                <w:color w:val="auto"/>
                <w:w w:val="86"/>
              </w:rPr>
              <w:t>/s/ Gerald W. Fronterhouse</w:t>
            </w: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10"/>
        </w:trPr>
        <w:tc>
          <w:tcPr>
            <w:tcW w:w="582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r>
      <w:tr>
        <w:trPr>
          <w:trHeight w:val="263"/>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87"/>
              </w:rPr>
              <w:t>Gerald W. Fronterhouse</w:t>
            </w:r>
          </w:p>
        </w:tc>
        <w:tc>
          <w:tcPr>
            <w:tcW w:w="4180" w:type="dxa"/>
            <w:vAlign w:val="bottom"/>
          </w:tcPr>
          <w:p>
            <w:pPr>
              <w:spacing w:after="0"/>
              <w:rPr>
                <w:sz w:val="22"/>
                <w:szCs w:val="22"/>
                <w:color w:val="auto"/>
              </w:rPr>
            </w:pPr>
          </w:p>
        </w:tc>
      </w:tr>
      <w:tr>
        <w:trPr>
          <w:trHeight w:val="431"/>
        </w:trPr>
        <w:tc>
          <w:tcPr>
            <w:tcW w:w="5820" w:type="dxa"/>
            <w:vAlign w:val="bottom"/>
          </w:tcPr>
          <w:p>
            <w:pPr>
              <w:jc w:val="center"/>
              <w:spacing w:after="0"/>
              <w:rPr>
                <w:sz w:val="20"/>
                <w:szCs w:val="20"/>
                <w:color w:val="auto"/>
              </w:rPr>
            </w:pPr>
            <w:r>
              <w:rPr>
                <w:rFonts w:ascii="Arial" w:cs="Arial" w:eastAsia="Arial" w:hAnsi="Arial"/>
                <w:sz w:val="18"/>
                <w:szCs w:val="18"/>
                <w:color w:val="auto"/>
                <w:w w:val="89"/>
              </w:rPr>
              <w:t>/s/ David R. Goode</w:t>
            </w: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10"/>
        </w:trPr>
        <w:tc>
          <w:tcPr>
            <w:tcW w:w="582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r>
      <w:tr>
        <w:trPr>
          <w:trHeight w:val="263"/>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88"/>
              </w:rPr>
              <w:t>David R. Goode</w:t>
            </w:r>
          </w:p>
        </w:tc>
        <w:tc>
          <w:tcPr>
            <w:tcW w:w="4180" w:type="dxa"/>
            <w:vAlign w:val="bottom"/>
          </w:tcPr>
          <w:p>
            <w:pPr>
              <w:spacing w:after="0"/>
              <w:rPr>
                <w:sz w:val="22"/>
                <w:szCs w:val="22"/>
                <w:color w:val="auto"/>
              </w:rPr>
            </w:pPr>
          </w:p>
        </w:tc>
      </w:tr>
      <w:tr>
        <w:trPr>
          <w:trHeight w:val="431"/>
        </w:trPr>
        <w:tc>
          <w:tcPr>
            <w:tcW w:w="5820" w:type="dxa"/>
            <w:vAlign w:val="bottom"/>
          </w:tcPr>
          <w:p>
            <w:pPr>
              <w:jc w:val="center"/>
              <w:spacing w:after="0"/>
              <w:rPr>
                <w:sz w:val="20"/>
                <w:szCs w:val="20"/>
                <w:color w:val="auto"/>
              </w:rPr>
            </w:pPr>
            <w:r>
              <w:rPr>
                <w:rFonts w:ascii="Arial" w:cs="Arial" w:eastAsia="Arial" w:hAnsi="Arial"/>
                <w:sz w:val="18"/>
                <w:szCs w:val="18"/>
                <w:color w:val="auto"/>
                <w:w w:val="86"/>
              </w:rPr>
              <w:t>/s Pamela H. Patsley</w:t>
            </w: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10"/>
        </w:trPr>
        <w:tc>
          <w:tcPr>
            <w:tcW w:w="582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r>
      <w:tr>
        <w:trPr>
          <w:trHeight w:val="263"/>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86"/>
              </w:rPr>
              <w:t>Pamela H. Patsley</w:t>
            </w:r>
          </w:p>
        </w:tc>
        <w:tc>
          <w:tcPr>
            <w:tcW w:w="4180" w:type="dxa"/>
            <w:vAlign w:val="bottom"/>
          </w:tcPr>
          <w:p>
            <w:pPr>
              <w:spacing w:after="0"/>
              <w:rPr>
                <w:sz w:val="22"/>
                <w:szCs w:val="22"/>
                <w:color w:val="auto"/>
              </w:rPr>
            </w:pPr>
          </w:p>
        </w:tc>
      </w:tr>
      <w:tr>
        <w:trPr>
          <w:trHeight w:val="431"/>
        </w:trPr>
        <w:tc>
          <w:tcPr>
            <w:tcW w:w="5820" w:type="dxa"/>
            <w:vAlign w:val="bottom"/>
          </w:tcPr>
          <w:p>
            <w:pPr>
              <w:jc w:val="center"/>
              <w:spacing w:after="0"/>
              <w:rPr>
                <w:sz w:val="20"/>
                <w:szCs w:val="20"/>
                <w:color w:val="auto"/>
              </w:rPr>
            </w:pPr>
            <w:r>
              <w:rPr>
                <w:rFonts w:ascii="Arial" w:cs="Arial" w:eastAsia="Arial" w:hAnsi="Arial"/>
                <w:sz w:val="18"/>
                <w:szCs w:val="18"/>
                <w:color w:val="auto"/>
                <w:w w:val="84"/>
              </w:rPr>
              <w:t>/s Wayne R. Sanders</w:t>
            </w: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10"/>
        </w:trPr>
        <w:tc>
          <w:tcPr>
            <w:tcW w:w="582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r>
      <w:tr>
        <w:trPr>
          <w:trHeight w:val="263"/>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86"/>
              </w:rPr>
              <w:t>Wayne R. Sanders</w:t>
            </w:r>
          </w:p>
        </w:tc>
        <w:tc>
          <w:tcPr>
            <w:tcW w:w="4180" w:type="dxa"/>
            <w:vAlign w:val="bottom"/>
          </w:tcPr>
          <w:p>
            <w:pPr>
              <w:spacing w:after="0"/>
              <w:rPr>
                <w:sz w:val="22"/>
                <w:szCs w:val="22"/>
                <w:color w:val="auto"/>
              </w:rPr>
            </w:pPr>
          </w:p>
        </w:tc>
      </w:tr>
      <w:tr>
        <w:trPr>
          <w:trHeight w:val="431"/>
        </w:trPr>
        <w:tc>
          <w:tcPr>
            <w:tcW w:w="5820" w:type="dxa"/>
            <w:vAlign w:val="bottom"/>
          </w:tcPr>
          <w:p>
            <w:pPr>
              <w:jc w:val="center"/>
              <w:spacing w:after="0"/>
              <w:rPr>
                <w:sz w:val="20"/>
                <w:szCs w:val="20"/>
                <w:color w:val="auto"/>
              </w:rPr>
            </w:pPr>
            <w:r>
              <w:rPr>
                <w:rFonts w:ascii="Arial" w:cs="Arial" w:eastAsia="Arial" w:hAnsi="Arial"/>
                <w:sz w:val="18"/>
                <w:szCs w:val="18"/>
                <w:color w:val="auto"/>
                <w:w w:val="86"/>
              </w:rPr>
              <w:t>/s/ Ruth J. Simmons</w:t>
            </w:r>
          </w:p>
        </w:tc>
        <w:tc>
          <w:tcPr>
            <w:tcW w:w="4180" w:type="dxa"/>
            <w:vAlign w:val="bottom"/>
          </w:tcPr>
          <w:p>
            <w:pPr>
              <w:jc w:val="center"/>
              <w:ind w:left="1792"/>
              <w:spacing w:after="0"/>
              <w:rPr>
                <w:sz w:val="20"/>
                <w:szCs w:val="20"/>
                <w:color w:val="auto"/>
              </w:rPr>
            </w:pPr>
            <w:r>
              <w:rPr>
                <w:rFonts w:ascii="Arial" w:cs="Arial" w:eastAsia="Arial" w:hAnsi="Arial"/>
                <w:sz w:val="18"/>
                <w:szCs w:val="18"/>
                <w:color w:val="auto"/>
                <w:w w:val="91"/>
              </w:rPr>
              <w:t>Director</w:t>
            </w:r>
          </w:p>
        </w:tc>
      </w:tr>
      <w:tr>
        <w:trPr>
          <w:trHeight w:val="110"/>
        </w:trPr>
        <w:tc>
          <w:tcPr>
            <w:tcW w:w="582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r>
      <w:tr>
        <w:trPr>
          <w:trHeight w:val="263"/>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87"/>
              </w:rPr>
              <w:t>Ruth J. Simmons</w:t>
            </w:r>
          </w:p>
        </w:tc>
        <w:tc>
          <w:tcPr>
            <w:tcW w:w="4180" w:type="dxa"/>
            <w:vAlign w:val="bottom"/>
          </w:tcPr>
          <w:p>
            <w:pPr>
              <w:spacing w:after="0"/>
              <w:rPr>
                <w:sz w:val="22"/>
                <w:szCs w:val="22"/>
                <w:color w:val="auto"/>
              </w:rPr>
            </w:pPr>
          </w:p>
        </w:tc>
      </w:tr>
    </w:tbl>
    <w:p>
      <w:pPr>
        <w:spacing w:after="0" w:line="141" w:lineRule="exact"/>
        <w:rPr>
          <w:sz w:val="20"/>
          <w:szCs w:val="20"/>
          <w:color w:val="auto"/>
        </w:rPr>
      </w:pPr>
    </w:p>
    <w:p>
      <w:pPr>
        <w:sectPr>
          <w:pgSz w:w="11900" w:h="16838" w:orient="portrait"/>
          <w:cols w:equalWidth="0" w:num="1">
            <w:col w:w="11320"/>
          </w:cols>
          <w:pgMar w:left="240" w:top="280" w:right="339" w:bottom="1440" w:gutter="0" w:footer="0" w:header="0"/>
        </w:sectPr>
      </w:pPr>
    </w:p>
    <w:p>
      <w:pPr>
        <w:jc w:val="center"/>
        <w:ind w:right="-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20"/>
          </w:cols>
          <w:pgMar w:left="240" w:top="280"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4760" w:type="dxa"/>
            <w:vAlign w:val="bottom"/>
          </w:tcPr>
          <w:p>
            <w:pPr>
              <w:jc w:val="center"/>
              <w:ind w:left="1002"/>
              <w:spacing w:after="0"/>
              <w:rPr>
                <w:sz w:val="20"/>
                <w:szCs w:val="20"/>
                <w:color w:val="auto"/>
              </w:rPr>
            </w:pPr>
            <w:r>
              <w:rPr>
                <w:rFonts w:ascii="Arial" w:cs="Arial" w:eastAsia="Arial" w:hAnsi="Arial"/>
                <w:sz w:val="18"/>
                <w:szCs w:val="18"/>
                <w:color w:val="auto"/>
                <w:w w:val="88"/>
              </w:rPr>
              <w:t>/s/ Richard K. Templeton</w:t>
            </w:r>
          </w:p>
        </w:tc>
        <w:tc>
          <w:tcPr>
            <w:tcW w:w="1060" w:type="dxa"/>
            <w:vAlign w:val="bottom"/>
          </w:tcPr>
          <w:p>
            <w:pPr>
              <w:spacing w:after="0"/>
              <w:rPr>
                <w:sz w:val="18"/>
                <w:szCs w:val="18"/>
                <w:color w:val="auto"/>
              </w:rPr>
            </w:pPr>
          </w:p>
        </w:tc>
        <w:tc>
          <w:tcPr>
            <w:tcW w:w="4580" w:type="dxa"/>
            <w:vAlign w:val="bottom"/>
          </w:tcPr>
          <w:p>
            <w:pPr>
              <w:jc w:val="center"/>
              <w:ind w:left="1392"/>
              <w:spacing w:after="0"/>
              <w:rPr>
                <w:sz w:val="20"/>
                <w:szCs w:val="20"/>
                <w:color w:val="auto"/>
              </w:rPr>
            </w:pPr>
            <w:r>
              <w:rPr>
                <w:rFonts w:ascii="Arial" w:cs="Arial" w:eastAsia="Arial" w:hAnsi="Arial"/>
                <w:sz w:val="18"/>
                <w:szCs w:val="18"/>
                <w:color w:val="auto"/>
                <w:w w:val="89"/>
              </w:rPr>
              <w:t>Director; President and Chief</w:t>
            </w:r>
          </w:p>
        </w:tc>
        <w:tc>
          <w:tcPr>
            <w:tcW w:w="0" w:type="dxa"/>
            <w:vAlign w:val="bottom"/>
          </w:tcPr>
          <w:p>
            <w:pPr>
              <w:spacing w:after="0"/>
              <w:rPr>
                <w:sz w:val="1"/>
                <w:szCs w:val="1"/>
                <w:color w:val="auto"/>
              </w:rPr>
            </w:pPr>
          </w:p>
        </w:tc>
      </w:tr>
      <w:tr>
        <w:trPr>
          <w:trHeight w:val="116"/>
        </w:trPr>
        <w:tc>
          <w:tcPr>
            <w:tcW w:w="47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580" w:type="dxa"/>
            <w:vAlign w:val="bottom"/>
            <w:vMerge w:val="restart"/>
          </w:tcPr>
          <w:p>
            <w:pPr>
              <w:jc w:val="center"/>
              <w:ind w:left="1392"/>
              <w:spacing w:after="0"/>
              <w:rPr>
                <w:sz w:val="20"/>
                <w:szCs w:val="20"/>
                <w:color w:val="auto"/>
              </w:rPr>
            </w:pPr>
            <w:r>
              <w:rPr>
                <w:rFonts w:ascii="Arial" w:cs="Arial" w:eastAsia="Arial" w:hAnsi="Arial"/>
                <w:sz w:val="18"/>
                <w:szCs w:val="18"/>
                <w:color w:val="auto"/>
                <w:w w:val="92"/>
              </w:rPr>
              <w:t>Executive Officer</w:t>
            </w:r>
          </w:p>
        </w:tc>
        <w:tc>
          <w:tcPr>
            <w:tcW w:w="0" w:type="dxa"/>
            <w:vAlign w:val="bottom"/>
          </w:tcPr>
          <w:p>
            <w:pPr>
              <w:spacing w:after="0"/>
              <w:rPr>
                <w:sz w:val="1"/>
                <w:szCs w:val="1"/>
                <w:color w:val="auto"/>
              </w:rPr>
            </w:pPr>
          </w:p>
        </w:tc>
      </w:tr>
      <w:tr>
        <w:trPr>
          <w:trHeight w:val="86"/>
        </w:trPr>
        <w:tc>
          <w:tcPr>
            <w:tcW w:w="4760" w:type="dxa"/>
            <w:vAlign w:val="bottom"/>
            <w:vMerge w:val="restart"/>
          </w:tcPr>
          <w:p>
            <w:pPr>
              <w:jc w:val="center"/>
              <w:ind w:left="1002"/>
              <w:spacing w:after="0"/>
              <w:rPr>
                <w:sz w:val="20"/>
                <w:szCs w:val="20"/>
                <w:color w:val="auto"/>
              </w:rPr>
            </w:pPr>
            <w:r>
              <w:rPr>
                <w:rFonts w:ascii="Arial" w:cs="Arial" w:eastAsia="Arial" w:hAnsi="Arial"/>
                <w:sz w:val="14"/>
                <w:szCs w:val="14"/>
                <w:b w:val="1"/>
                <w:bCs w:val="1"/>
                <w:color w:val="auto"/>
                <w:w w:val="88"/>
              </w:rPr>
              <w:t>Richard K. Templeton</w:t>
            </w:r>
          </w:p>
        </w:tc>
        <w:tc>
          <w:tcPr>
            <w:tcW w:w="1060" w:type="dxa"/>
            <w:vAlign w:val="bottom"/>
          </w:tcPr>
          <w:p>
            <w:pPr>
              <w:spacing w:after="0"/>
              <w:rPr>
                <w:sz w:val="7"/>
                <w:szCs w:val="7"/>
                <w:color w:val="auto"/>
              </w:rPr>
            </w:pPr>
          </w:p>
        </w:tc>
        <w:tc>
          <w:tcPr>
            <w:tcW w:w="4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4760" w:type="dxa"/>
            <w:vAlign w:val="bottom"/>
          </w:tcPr>
          <w:p>
            <w:pPr>
              <w:jc w:val="center"/>
              <w:ind w:left="1002"/>
              <w:spacing w:after="0"/>
              <w:rPr>
                <w:sz w:val="20"/>
                <w:szCs w:val="20"/>
                <w:color w:val="auto"/>
              </w:rPr>
            </w:pPr>
            <w:r>
              <w:rPr>
                <w:rFonts w:ascii="Arial" w:cs="Arial" w:eastAsia="Arial" w:hAnsi="Arial"/>
                <w:sz w:val="18"/>
                <w:szCs w:val="18"/>
                <w:color w:val="auto"/>
                <w:w w:val="90"/>
              </w:rPr>
              <w:t>/s/ Christine Todd Whitman</w:t>
            </w:r>
          </w:p>
        </w:tc>
        <w:tc>
          <w:tcPr>
            <w:tcW w:w="1060" w:type="dxa"/>
            <w:vAlign w:val="bottom"/>
          </w:tcPr>
          <w:p>
            <w:pPr>
              <w:spacing w:after="0"/>
              <w:rPr>
                <w:sz w:val="24"/>
                <w:szCs w:val="24"/>
                <w:color w:val="auto"/>
              </w:rPr>
            </w:pPr>
          </w:p>
        </w:tc>
        <w:tc>
          <w:tcPr>
            <w:tcW w:w="4580" w:type="dxa"/>
            <w:vAlign w:val="bottom"/>
          </w:tcPr>
          <w:p>
            <w:pPr>
              <w:jc w:val="center"/>
              <w:ind w:left="139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47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60" w:type="dxa"/>
            <w:vAlign w:val="bottom"/>
          </w:tcPr>
          <w:p>
            <w:pPr>
              <w:jc w:val="center"/>
              <w:ind w:left="1002"/>
              <w:spacing w:after="0"/>
              <w:rPr>
                <w:sz w:val="20"/>
                <w:szCs w:val="20"/>
                <w:color w:val="auto"/>
              </w:rPr>
            </w:pPr>
            <w:r>
              <w:rPr>
                <w:rFonts w:ascii="Arial" w:cs="Arial" w:eastAsia="Arial" w:hAnsi="Arial"/>
                <w:sz w:val="14"/>
                <w:szCs w:val="14"/>
                <w:b w:val="1"/>
                <w:bCs w:val="1"/>
                <w:color w:val="auto"/>
                <w:w w:val="88"/>
              </w:rPr>
              <w:t>Christine Todd Whitman</w:t>
            </w:r>
          </w:p>
        </w:tc>
        <w:tc>
          <w:tcPr>
            <w:tcW w:w="106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4760" w:type="dxa"/>
            <w:vAlign w:val="bottom"/>
          </w:tcPr>
          <w:p>
            <w:pPr>
              <w:jc w:val="center"/>
              <w:ind w:left="1002"/>
              <w:spacing w:after="0"/>
              <w:rPr>
                <w:sz w:val="20"/>
                <w:szCs w:val="20"/>
                <w:color w:val="auto"/>
              </w:rPr>
            </w:pPr>
            <w:r>
              <w:rPr>
                <w:rFonts w:ascii="Arial" w:cs="Arial" w:eastAsia="Arial" w:hAnsi="Arial"/>
                <w:sz w:val="18"/>
                <w:szCs w:val="18"/>
                <w:color w:val="auto"/>
                <w:w w:val="90"/>
              </w:rPr>
              <w:t>/s/ Kevin P. March</w:t>
            </w:r>
          </w:p>
        </w:tc>
        <w:tc>
          <w:tcPr>
            <w:tcW w:w="1060" w:type="dxa"/>
            <w:vAlign w:val="bottom"/>
          </w:tcPr>
          <w:p>
            <w:pPr>
              <w:spacing w:after="0"/>
              <w:rPr>
                <w:sz w:val="24"/>
                <w:szCs w:val="24"/>
                <w:color w:val="auto"/>
              </w:rPr>
            </w:pPr>
          </w:p>
        </w:tc>
        <w:tc>
          <w:tcPr>
            <w:tcW w:w="4580" w:type="dxa"/>
            <w:vAlign w:val="bottom"/>
          </w:tcPr>
          <w:p>
            <w:pPr>
              <w:jc w:val="center"/>
              <w:ind w:left="1412"/>
              <w:spacing w:after="0"/>
              <w:rPr>
                <w:sz w:val="20"/>
                <w:szCs w:val="20"/>
                <w:color w:val="auto"/>
              </w:rPr>
            </w:pPr>
            <w:r>
              <w:rPr>
                <w:rFonts w:ascii="Arial" w:cs="Arial" w:eastAsia="Arial" w:hAnsi="Arial"/>
                <w:sz w:val="18"/>
                <w:szCs w:val="18"/>
                <w:color w:val="auto"/>
                <w:w w:val="88"/>
              </w:rPr>
              <w:t>Senior Vice President; Chief</w:t>
            </w:r>
          </w:p>
        </w:tc>
        <w:tc>
          <w:tcPr>
            <w:tcW w:w="0" w:type="dxa"/>
            <w:vAlign w:val="bottom"/>
          </w:tcPr>
          <w:p>
            <w:pPr>
              <w:spacing w:after="0"/>
              <w:rPr>
                <w:sz w:val="1"/>
                <w:szCs w:val="1"/>
                <w:color w:val="auto"/>
              </w:rPr>
            </w:pPr>
          </w:p>
        </w:tc>
      </w:tr>
      <w:tr>
        <w:trPr>
          <w:trHeight w:val="116"/>
        </w:trPr>
        <w:tc>
          <w:tcPr>
            <w:tcW w:w="47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580" w:type="dxa"/>
            <w:vAlign w:val="bottom"/>
            <w:vMerge w:val="restart"/>
          </w:tcPr>
          <w:p>
            <w:pPr>
              <w:jc w:val="center"/>
              <w:ind w:left="1392"/>
              <w:spacing w:after="0"/>
              <w:rPr>
                <w:sz w:val="20"/>
                <w:szCs w:val="20"/>
                <w:color w:val="auto"/>
              </w:rPr>
            </w:pPr>
            <w:r>
              <w:rPr>
                <w:rFonts w:ascii="Arial" w:cs="Arial" w:eastAsia="Arial" w:hAnsi="Arial"/>
                <w:sz w:val="18"/>
                <w:szCs w:val="18"/>
                <w:color w:val="auto"/>
                <w:w w:val="92"/>
              </w:rPr>
              <w:t>Financial Officer; Chief Accounting Officer</w:t>
            </w:r>
          </w:p>
        </w:tc>
        <w:tc>
          <w:tcPr>
            <w:tcW w:w="0" w:type="dxa"/>
            <w:vAlign w:val="bottom"/>
          </w:tcPr>
          <w:p>
            <w:pPr>
              <w:spacing w:after="0"/>
              <w:rPr>
                <w:sz w:val="1"/>
                <w:szCs w:val="1"/>
                <w:color w:val="auto"/>
              </w:rPr>
            </w:pPr>
          </w:p>
        </w:tc>
      </w:tr>
      <w:tr>
        <w:trPr>
          <w:trHeight w:val="86"/>
        </w:trPr>
        <w:tc>
          <w:tcPr>
            <w:tcW w:w="4760" w:type="dxa"/>
            <w:vAlign w:val="bottom"/>
            <w:vMerge w:val="restart"/>
          </w:tcPr>
          <w:p>
            <w:pPr>
              <w:jc w:val="center"/>
              <w:ind w:left="1002"/>
              <w:spacing w:after="0"/>
              <w:rPr>
                <w:sz w:val="20"/>
                <w:szCs w:val="20"/>
                <w:color w:val="auto"/>
              </w:rPr>
            </w:pPr>
            <w:r>
              <w:rPr>
                <w:rFonts w:ascii="Arial" w:cs="Arial" w:eastAsia="Arial" w:hAnsi="Arial"/>
                <w:sz w:val="14"/>
                <w:szCs w:val="14"/>
                <w:b w:val="1"/>
                <w:bCs w:val="1"/>
                <w:color w:val="auto"/>
                <w:w w:val="91"/>
              </w:rPr>
              <w:t>Kevin P. March</w:t>
            </w:r>
          </w:p>
        </w:tc>
        <w:tc>
          <w:tcPr>
            <w:tcW w:w="1060" w:type="dxa"/>
            <w:vAlign w:val="bottom"/>
          </w:tcPr>
          <w:p>
            <w:pPr>
              <w:spacing w:after="0"/>
              <w:rPr>
                <w:sz w:val="7"/>
                <w:szCs w:val="7"/>
                <w:color w:val="auto"/>
              </w:rPr>
            </w:pPr>
          </w:p>
        </w:tc>
        <w:tc>
          <w:tcPr>
            <w:tcW w:w="4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7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00"/>
          </w:cols>
          <w:pgMar w:left="240" w:top="496" w:right="1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3" w:name="page24"/>
    <w:bookmarkEnd w:id="2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15(a))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5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Page Reference</w:t>
            </w:r>
          </w:p>
        </w:tc>
        <w:tc>
          <w:tcPr>
            <w:tcW w:w="0" w:type="dxa"/>
            <w:vAlign w:val="bottom"/>
          </w:tcPr>
          <w:p>
            <w:pPr>
              <w:spacing w:after="0"/>
              <w:rPr>
                <w:sz w:val="1"/>
                <w:szCs w:val="1"/>
                <w:color w:val="auto"/>
              </w:rPr>
            </w:pPr>
          </w:p>
        </w:tc>
      </w:tr>
      <w:tr>
        <w:trPr>
          <w:trHeight w:val="95"/>
        </w:trPr>
        <w:tc>
          <w:tcPr>
            <w:tcW w:w="10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5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2005 annual</w:t>
            </w:r>
          </w:p>
        </w:tc>
        <w:tc>
          <w:tcPr>
            <w:tcW w:w="0" w:type="dxa"/>
            <w:vAlign w:val="bottom"/>
          </w:tcPr>
          <w:p>
            <w:pPr>
              <w:spacing w:after="0"/>
              <w:rPr>
                <w:sz w:val="1"/>
                <w:szCs w:val="1"/>
                <w:color w:val="auto"/>
              </w:rPr>
            </w:pPr>
          </w:p>
        </w:tc>
      </w:tr>
      <w:tr>
        <w:trPr>
          <w:trHeight w:val="149"/>
        </w:trPr>
        <w:tc>
          <w:tcPr>
            <w:tcW w:w="10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report to</w:t>
            </w:r>
          </w:p>
        </w:tc>
        <w:tc>
          <w:tcPr>
            <w:tcW w:w="0" w:type="dxa"/>
            <w:vAlign w:val="bottom"/>
          </w:tcPr>
          <w:p>
            <w:pPr>
              <w:spacing w:after="0"/>
              <w:rPr>
                <w:sz w:val="1"/>
                <w:szCs w:val="1"/>
                <w:color w:val="auto"/>
              </w:rPr>
            </w:pPr>
          </w:p>
        </w:tc>
      </w:tr>
      <w:tr>
        <w:trPr>
          <w:trHeight w:val="174"/>
        </w:trPr>
        <w:tc>
          <w:tcPr>
            <w:tcW w:w="105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stockholders</w:t>
            </w:r>
          </w:p>
        </w:tc>
        <w:tc>
          <w:tcPr>
            <w:tcW w:w="0" w:type="dxa"/>
            <w:vAlign w:val="bottom"/>
          </w:tcPr>
          <w:p>
            <w:pPr>
              <w:spacing w:after="0"/>
              <w:rPr>
                <w:sz w:val="1"/>
                <w:szCs w:val="1"/>
                <w:color w:val="auto"/>
              </w:rPr>
            </w:pPr>
          </w:p>
        </w:tc>
      </w:tr>
      <w:tr>
        <w:trPr>
          <w:trHeight w:val="95"/>
        </w:trPr>
        <w:tc>
          <w:tcPr>
            <w:tcW w:w="10520" w:type="dxa"/>
            <w:vAlign w:val="bottom"/>
            <w:vMerge w:val="restart"/>
          </w:tcPr>
          <w:p>
            <w:pPr>
              <w:spacing w:after="0"/>
              <w:rPr>
                <w:sz w:val="20"/>
                <w:szCs w:val="20"/>
                <w:color w:val="auto"/>
              </w:rPr>
            </w:pPr>
            <w:r>
              <w:rPr>
                <w:rFonts w:ascii="Arial" w:cs="Arial" w:eastAsia="Arial" w:hAnsi="Arial"/>
                <w:sz w:val="18"/>
                <w:szCs w:val="18"/>
                <w:color w:val="auto"/>
              </w:rPr>
              <w:t>Information incorporated by reference to the Registrant’s 2005 annual report to stockholders</w:t>
            </w: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105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520" w:type="dxa"/>
            <w:vAlign w:val="bottom"/>
          </w:tcPr>
          <w:p>
            <w:pPr>
              <w:spacing w:after="0"/>
              <w:rPr>
                <w:sz w:val="20"/>
                <w:szCs w:val="20"/>
                <w:color w:val="auto"/>
              </w:rPr>
            </w:pPr>
            <w:r>
              <w:rPr>
                <w:rFonts w:ascii="Arial" w:cs="Arial" w:eastAsia="Arial" w:hAnsi="Arial"/>
                <w:sz w:val="18"/>
                <w:szCs w:val="18"/>
                <w:color w:val="auto"/>
              </w:rPr>
              <w:t>Income for each of the three years in the period ended December 31, 2005</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324"/>
        </w:trPr>
        <w:tc>
          <w:tcPr>
            <w:tcW w:w="10520" w:type="dxa"/>
            <w:vAlign w:val="bottom"/>
          </w:tcPr>
          <w:p>
            <w:pPr>
              <w:spacing w:after="0"/>
              <w:rPr>
                <w:sz w:val="20"/>
                <w:szCs w:val="20"/>
                <w:color w:val="auto"/>
              </w:rPr>
            </w:pPr>
            <w:r>
              <w:rPr>
                <w:rFonts w:ascii="Arial" w:cs="Arial" w:eastAsia="Arial" w:hAnsi="Arial"/>
                <w:sz w:val="18"/>
                <w:szCs w:val="18"/>
                <w:color w:val="auto"/>
              </w:rPr>
              <w:t>Comprehensive income for each of the three years in the period ended December 31, 2005</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324"/>
        </w:trPr>
        <w:tc>
          <w:tcPr>
            <w:tcW w:w="10520" w:type="dxa"/>
            <w:vAlign w:val="bottom"/>
          </w:tcPr>
          <w:p>
            <w:pPr>
              <w:spacing w:after="0"/>
              <w:rPr>
                <w:sz w:val="20"/>
                <w:szCs w:val="20"/>
                <w:color w:val="auto"/>
              </w:rPr>
            </w:pPr>
            <w:r>
              <w:rPr>
                <w:rFonts w:ascii="Arial" w:cs="Arial" w:eastAsia="Arial" w:hAnsi="Arial"/>
                <w:sz w:val="18"/>
                <w:szCs w:val="18"/>
                <w:color w:val="auto"/>
              </w:rPr>
              <w:t>Balance sheets at December 31, 2005 and 2004</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324"/>
        </w:trPr>
        <w:tc>
          <w:tcPr>
            <w:tcW w:w="10520" w:type="dxa"/>
            <w:vAlign w:val="bottom"/>
          </w:tcPr>
          <w:p>
            <w:pPr>
              <w:spacing w:after="0"/>
              <w:rPr>
                <w:sz w:val="20"/>
                <w:szCs w:val="20"/>
                <w:color w:val="auto"/>
              </w:rPr>
            </w:pPr>
            <w:r>
              <w:rPr>
                <w:rFonts w:ascii="Arial" w:cs="Arial" w:eastAsia="Arial" w:hAnsi="Arial"/>
                <w:sz w:val="18"/>
                <w:szCs w:val="18"/>
                <w:color w:val="auto"/>
              </w:rPr>
              <w:t>Cash flows for each of the three years in the period ended December 31, 2005</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324"/>
        </w:trPr>
        <w:tc>
          <w:tcPr>
            <w:tcW w:w="10520" w:type="dxa"/>
            <w:vAlign w:val="bottom"/>
          </w:tcPr>
          <w:p>
            <w:pPr>
              <w:spacing w:after="0"/>
              <w:rPr>
                <w:sz w:val="20"/>
                <w:szCs w:val="20"/>
                <w:color w:val="auto"/>
              </w:rPr>
            </w:pPr>
            <w:r>
              <w:rPr>
                <w:rFonts w:ascii="Arial" w:cs="Arial" w:eastAsia="Arial" w:hAnsi="Arial"/>
                <w:sz w:val="18"/>
                <w:szCs w:val="18"/>
                <w:color w:val="auto"/>
              </w:rPr>
              <w:t>Stockholders’ equity for each of the three years in the period ended December 31, 2005</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324"/>
        </w:trPr>
        <w:tc>
          <w:tcPr>
            <w:tcW w:w="1052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11-40</w:t>
            </w:r>
          </w:p>
        </w:tc>
        <w:tc>
          <w:tcPr>
            <w:tcW w:w="0" w:type="dxa"/>
            <w:vAlign w:val="bottom"/>
          </w:tcPr>
          <w:p>
            <w:pPr>
              <w:spacing w:after="0"/>
              <w:rPr>
                <w:sz w:val="1"/>
                <w:szCs w:val="1"/>
                <w:color w:val="auto"/>
              </w:rPr>
            </w:pPr>
          </w:p>
        </w:tc>
      </w:tr>
      <w:tr>
        <w:trPr>
          <w:trHeight w:val="324"/>
        </w:trPr>
        <w:tc>
          <w:tcPr>
            <w:tcW w:w="105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Financial statement 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u w:val="single" w:color="auto"/>
          <w:color w:val="auto"/>
        </w:rPr>
        <w:t>Exhibit 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2,324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1,198</w:t>
            </w: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20"/>
                <w:szCs w:val="20"/>
                <w:color w:val="auto"/>
              </w:rPr>
            </w:pPr>
            <w:r>
              <w:rPr>
                <w:rFonts w:ascii="Arial" w:cs="Arial" w:eastAsia="Arial" w:hAnsi="Arial"/>
                <w:sz w:val="18"/>
                <w:szCs w:val="18"/>
                <w:color w:val="auto"/>
                <w:w w:val="74"/>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Add: Provision (benefit) for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Amortization of capitalized interest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 from below</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3,034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1,326</w:t>
            </w: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Total interest on loans (expensed)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attributable to rental and lease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 deducted from 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-1607185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-1607185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-1607185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-1607185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-1607185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-1607185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-1607185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-1607185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-1607185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-1607185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-1607185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-1607185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-1607185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-1607185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-1607185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-329565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-329565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-329565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-329565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-329565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-329565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-329565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-329565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-329565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-329565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-329565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-329565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-329565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-329565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-329565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The ratio is not meaningful. The coverage deficiency was $334 million in year 2002 and $423 million in year 2001.</w:t>
      </w:r>
    </w:p>
    <w:p>
      <w:pPr>
        <w:sectPr>
          <w:pgSz w:w="11900" w:h="16838" w:orient="portrait"/>
          <w:cols w:equalWidth="0" w:num="1">
            <w:col w:w="11420"/>
          </w:cols>
          <w:pgMar w:left="240" w:top="13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u w:val="single" w:color="auto"/>
          <w:color w:val="auto"/>
        </w:rPr>
        <w:t>Exhibit 13</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TEXAS INSTRUMENTS 2005 ANNUAL REPORT </w:t>
      </w:r>
      <w:r>
        <w:rPr>
          <w:rFonts w:ascii="Arial" w:cs="Arial" w:eastAsia="Arial" w:hAnsi="Arial"/>
          <w:sz w:val="18"/>
          <w:szCs w:val="18"/>
          <w:b w:val="1"/>
          <w:bCs w:val="1"/>
          <w:color w:val="auto"/>
        </w:rPr>
        <w:t>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Table of Contents</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06</w:t>
      </w:r>
      <w:r>
        <w:rPr>
          <w:sz w:val="20"/>
          <w:szCs w:val="20"/>
          <w:color w:val="auto"/>
        </w:rPr>
        <w:tab/>
      </w:r>
      <w:r>
        <w:rPr>
          <w:rFonts w:ascii="Arial" w:cs="Arial" w:eastAsia="Arial" w:hAnsi="Arial"/>
          <w:sz w:val="18"/>
          <w:szCs w:val="18"/>
          <w:color w:val="auto"/>
        </w:rPr>
        <w:t>Consolidated Statements of Income</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Statements of Comprehensive Income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Statements of Stockholders’ Equity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Notes to Financial Statements</w:t>
      </w:r>
    </w:p>
    <w:p>
      <w:pPr>
        <w:spacing w:after="0" w:line="90"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0" w:type="dxa"/>
            <w:vAlign w:val="bottom"/>
          </w:tcPr>
          <w:p>
            <w:pPr>
              <w:ind w:left="120"/>
              <w:spacing w:after="0"/>
              <w:rPr>
                <w:sz w:val="20"/>
                <w:szCs w:val="20"/>
                <w:color w:val="auto"/>
              </w:rPr>
            </w:pPr>
            <w:r>
              <w:rPr>
                <w:rFonts w:ascii="Arial" w:cs="Arial" w:eastAsia="Arial" w:hAnsi="Arial"/>
                <w:sz w:val="18"/>
                <w:szCs w:val="18"/>
                <w:color w:val="auto"/>
                <w:w w:val="99"/>
              </w:rPr>
              <w:t>Description of Business and Significant Accounting Policies and</w:t>
            </w:r>
          </w:p>
        </w:tc>
        <w:tc>
          <w:tcPr>
            <w:tcW w:w="740" w:type="dxa"/>
            <w:vAlign w:val="bottom"/>
          </w:tcPr>
          <w:p>
            <w:pPr>
              <w:ind w:left="540"/>
              <w:spacing w:after="0"/>
              <w:rPr>
                <w:sz w:val="20"/>
                <w:szCs w:val="20"/>
                <w:color w:val="auto"/>
              </w:rPr>
            </w:pPr>
            <w:r>
              <w:rPr>
                <w:rFonts w:ascii="Arial" w:cs="Arial" w:eastAsia="Arial" w:hAnsi="Arial"/>
                <w:sz w:val="18"/>
                <w:szCs w:val="18"/>
                <w:color w:val="auto"/>
              </w:rPr>
              <w:t>•</w:t>
            </w:r>
          </w:p>
        </w:tc>
        <w:tc>
          <w:tcPr>
            <w:tcW w:w="33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5200" w:type="dxa"/>
            <w:vAlign w:val="bottom"/>
          </w:tcPr>
          <w:p>
            <w:pPr>
              <w:ind w:left="140"/>
              <w:spacing w:after="0"/>
              <w:rPr>
                <w:sz w:val="20"/>
                <w:szCs w:val="20"/>
                <w:color w:val="auto"/>
              </w:rPr>
            </w:pPr>
            <w:r>
              <w:rPr>
                <w:rFonts w:ascii="Arial" w:cs="Arial" w:eastAsia="Arial" w:hAnsi="Arial"/>
                <w:sz w:val="18"/>
                <w:szCs w:val="18"/>
                <w:color w:val="auto"/>
              </w:rPr>
              <w:t>Practices</w:t>
            </w:r>
          </w:p>
        </w:tc>
        <w:tc>
          <w:tcPr>
            <w:tcW w:w="7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162"/>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5200" w:type="dxa"/>
            <w:vAlign w:val="bottom"/>
            <w:vMerge w:val="restart"/>
          </w:tcPr>
          <w:p>
            <w:pPr>
              <w:ind w:left="120"/>
              <w:spacing w:after="0"/>
              <w:rPr>
                <w:sz w:val="20"/>
                <w:szCs w:val="20"/>
                <w:color w:val="auto"/>
              </w:rPr>
            </w:pPr>
            <w:r>
              <w:rPr>
                <w:rFonts w:ascii="Arial" w:cs="Arial" w:eastAsia="Arial" w:hAnsi="Arial"/>
                <w:sz w:val="18"/>
                <w:szCs w:val="18"/>
                <w:color w:val="auto"/>
              </w:rPr>
              <w:t>Cash Equivalents and Short-term investments</w:t>
            </w:r>
          </w:p>
        </w:tc>
        <w:tc>
          <w:tcPr>
            <w:tcW w:w="74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5200" w:type="dxa"/>
            <w:vAlign w:val="bottom"/>
            <w:vMerge w:val="continue"/>
          </w:tcPr>
          <w:p>
            <w:pPr>
              <w:spacing w:after="0"/>
              <w:rPr>
                <w:sz w:val="18"/>
                <w:szCs w:val="18"/>
                <w:color w:val="auto"/>
              </w:rPr>
            </w:pPr>
          </w:p>
        </w:tc>
        <w:tc>
          <w:tcPr>
            <w:tcW w:w="7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Stock-based Compensation</w:t>
            </w:r>
          </w:p>
        </w:tc>
        <w:tc>
          <w:tcPr>
            <w:tcW w:w="0" w:type="dxa"/>
            <w:vAlign w:val="bottom"/>
          </w:tcPr>
          <w:p>
            <w:pPr>
              <w:spacing w:after="0"/>
              <w:rPr>
                <w:sz w:val="1"/>
                <w:szCs w:val="1"/>
                <w:color w:val="auto"/>
              </w:rPr>
            </w:pPr>
          </w:p>
        </w:tc>
      </w:tr>
      <w:tr>
        <w:trPr>
          <w:trHeight w:val="162"/>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5200" w:type="dxa"/>
            <w:vAlign w:val="bottom"/>
            <w:vMerge w:val="restart"/>
          </w:tcPr>
          <w:p>
            <w:pPr>
              <w:ind w:left="120"/>
              <w:spacing w:after="0"/>
              <w:rPr>
                <w:sz w:val="20"/>
                <w:szCs w:val="20"/>
                <w:color w:val="auto"/>
              </w:rPr>
            </w:pPr>
            <w:r>
              <w:rPr>
                <w:rFonts w:ascii="Arial" w:cs="Arial" w:eastAsia="Arial" w:hAnsi="Arial"/>
                <w:sz w:val="18"/>
                <w:szCs w:val="18"/>
                <w:color w:val="auto"/>
              </w:rPr>
              <w:t>Inventories</w:t>
            </w:r>
          </w:p>
        </w:tc>
        <w:tc>
          <w:tcPr>
            <w:tcW w:w="74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5200" w:type="dxa"/>
            <w:vAlign w:val="bottom"/>
            <w:vMerge w:val="continue"/>
          </w:tcPr>
          <w:p>
            <w:pPr>
              <w:spacing w:after="0"/>
              <w:rPr>
                <w:sz w:val="18"/>
                <w:szCs w:val="18"/>
                <w:color w:val="auto"/>
              </w:rPr>
            </w:pPr>
          </w:p>
        </w:tc>
        <w:tc>
          <w:tcPr>
            <w:tcW w:w="7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Post-employment Benefit Plans</w:t>
            </w:r>
          </w:p>
        </w:tc>
        <w:tc>
          <w:tcPr>
            <w:tcW w:w="0" w:type="dxa"/>
            <w:vAlign w:val="bottom"/>
          </w:tcPr>
          <w:p>
            <w:pPr>
              <w:spacing w:after="0"/>
              <w:rPr>
                <w:sz w:val="1"/>
                <w:szCs w:val="1"/>
                <w:color w:val="auto"/>
              </w:rPr>
            </w:pPr>
          </w:p>
        </w:tc>
      </w:tr>
      <w:tr>
        <w:trPr>
          <w:trHeight w:val="162"/>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5200" w:type="dxa"/>
            <w:vAlign w:val="bottom"/>
            <w:vMerge w:val="restart"/>
          </w:tcPr>
          <w:p>
            <w:pPr>
              <w:ind w:left="120"/>
              <w:spacing w:after="0"/>
              <w:rPr>
                <w:sz w:val="20"/>
                <w:szCs w:val="20"/>
                <w:color w:val="auto"/>
              </w:rPr>
            </w:pPr>
            <w:r>
              <w:rPr>
                <w:rFonts w:ascii="Arial" w:cs="Arial" w:eastAsia="Arial" w:hAnsi="Arial"/>
                <w:sz w:val="18"/>
                <w:szCs w:val="18"/>
                <w:color w:val="auto"/>
              </w:rPr>
              <w:t>Property, Plant and Equipment at Cost</w:t>
            </w:r>
          </w:p>
        </w:tc>
        <w:tc>
          <w:tcPr>
            <w:tcW w:w="74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5200" w:type="dxa"/>
            <w:vAlign w:val="bottom"/>
            <w:vMerge w:val="continue"/>
          </w:tcPr>
          <w:p>
            <w:pPr>
              <w:spacing w:after="0"/>
              <w:rPr>
                <w:sz w:val="18"/>
                <w:szCs w:val="18"/>
                <w:color w:val="auto"/>
              </w:rPr>
            </w:pPr>
          </w:p>
        </w:tc>
        <w:tc>
          <w:tcPr>
            <w:tcW w:w="7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Profit Sharing Plans</w:t>
            </w:r>
          </w:p>
        </w:tc>
        <w:tc>
          <w:tcPr>
            <w:tcW w:w="0" w:type="dxa"/>
            <w:vAlign w:val="bottom"/>
          </w:tcPr>
          <w:p>
            <w:pPr>
              <w:spacing w:after="0"/>
              <w:rPr>
                <w:sz w:val="1"/>
                <w:szCs w:val="1"/>
                <w:color w:val="auto"/>
              </w:rPr>
            </w:pPr>
          </w:p>
        </w:tc>
      </w:tr>
      <w:tr>
        <w:trPr>
          <w:trHeight w:val="162"/>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5200" w:type="dxa"/>
            <w:vAlign w:val="bottom"/>
            <w:vMerge w:val="restart"/>
          </w:tcPr>
          <w:p>
            <w:pPr>
              <w:ind w:left="120"/>
              <w:spacing w:after="0"/>
              <w:rPr>
                <w:sz w:val="20"/>
                <w:szCs w:val="20"/>
                <w:color w:val="auto"/>
              </w:rPr>
            </w:pPr>
            <w:r>
              <w:rPr>
                <w:rFonts w:ascii="Arial" w:cs="Arial" w:eastAsia="Arial" w:hAnsi="Arial"/>
                <w:sz w:val="18"/>
                <w:szCs w:val="18"/>
                <w:color w:val="auto"/>
              </w:rPr>
              <w:t>Equity and Debt Investments</w:t>
            </w:r>
          </w:p>
        </w:tc>
        <w:tc>
          <w:tcPr>
            <w:tcW w:w="74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5200" w:type="dxa"/>
            <w:vAlign w:val="bottom"/>
            <w:vMerge w:val="continue"/>
          </w:tcPr>
          <w:p>
            <w:pPr>
              <w:spacing w:after="0"/>
              <w:rPr>
                <w:sz w:val="18"/>
                <w:szCs w:val="18"/>
                <w:color w:val="auto"/>
              </w:rPr>
            </w:pPr>
          </w:p>
        </w:tc>
        <w:tc>
          <w:tcPr>
            <w:tcW w:w="7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Restructuring Actions</w:t>
            </w:r>
          </w:p>
        </w:tc>
        <w:tc>
          <w:tcPr>
            <w:tcW w:w="0" w:type="dxa"/>
            <w:vAlign w:val="bottom"/>
          </w:tcPr>
          <w:p>
            <w:pPr>
              <w:spacing w:after="0"/>
              <w:rPr>
                <w:sz w:val="1"/>
                <w:szCs w:val="1"/>
                <w:color w:val="auto"/>
              </w:rPr>
            </w:pPr>
          </w:p>
        </w:tc>
      </w:tr>
      <w:tr>
        <w:trPr>
          <w:trHeight w:val="162"/>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5200" w:type="dxa"/>
            <w:vAlign w:val="bottom"/>
            <w:vMerge w:val="restart"/>
          </w:tcPr>
          <w:p>
            <w:pPr>
              <w:ind w:left="120"/>
              <w:spacing w:after="0"/>
              <w:rPr>
                <w:sz w:val="20"/>
                <w:szCs w:val="20"/>
                <w:color w:val="auto"/>
              </w:rPr>
            </w:pPr>
            <w:r>
              <w:rPr>
                <w:rFonts w:ascii="Arial" w:cs="Arial" w:eastAsia="Arial" w:hAnsi="Arial"/>
                <w:sz w:val="18"/>
                <w:szCs w:val="18"/>
                <w:color w:val="auto"/>
              </w:rPr>
              <w:t>Goodwill and Other Acquisition-related intangibles</w:t>
            </w:r>
          </w:p>
        </w:tc>
        <w:tc>
          <w:tcPr>
            <w:tcW w:w="74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5200" w:type="dxa"/>
            <w:vAlign w:val="bottom"/>
            <w:vMerge w:val="continue"/>
          </w:tcPr>
          <w:p>
            <w:pPr>
              <w:spacing w:after="0"/>
              <w:rPr>
                <w:sz w:val="18"/>
                <w:szCs w:val="18"/>
                <w:color w:val="auto"/>
              </w:rPr>
            </w:pPr>
          </w:p>
        </w:tc>
        <w:tc>
          <w:tcPr>
            <w:tcW w:w="7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w w:val="86"/>
              </w:rPr>
              <w:t>Business Segment and Geographic Area Data</w:t>
            </w:r>
          </w:p>
        </w:tc>
        <w:tc>
          <w:tcPr>
            <w:tcW w:w="0" w:type="dxa"/>
            <w:vAlign w:val="bottom"/>
          </w:tcPr>
          <w:p>
            <w:pPr>
              <w:spacing w:after="0"/>
              <w:rPr>
                <w:sz w:val="1"/>
                <w:szCs w:val="1"/>
                <w:color w:val="auto"/>
              </w:rPr>
            </w:pPr>
          </w:p>
        </w:tc>
      </w:tr>
      <w:tr>
        <w:trPr>
          <w:trHeight w:val="162"/>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   Accrued Expenses and Other Liabilities</w:t>
            </w:r>
          </w:p>
        </w:tc>
        <w:tc>
          <w:tcPr>
            <w:tcW w:w="74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0" w:type="dxa"/>
            <w:vAlign w:val="bottom"/>
            <w:gridSpan w:val="2"/>
            <w:vMerge w:val="continue"/>
          </w:tcPr>
          <w:p>
            <w:pPr>
              <w:spacing w:after="0"/>
              <w:rPr>
                <w:sz w:val="18"/>
                <w:szCs w:val="18"/>
                <w:color w:val="auto"/>
              </w:rPr>
            </w:pPr>
          </w:p>
        </w:tc>
        <w:tc>
          <w:tcPr>
            <w:tcW w:w="7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162"/>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5200" w:type="dxa"/>
            <w:vAlign w:val="bottom"/>
            <w:vMerge w:val="restart"/>
          </w:tcPr>
          <w:p>
            <w:pPr>
              <w:ind w:left="120"/>
              <w:spacing w:after="0"/>
              <w:rPr>
                <w:sz w:val="20"/>
                <w:szCs w:val="20"/>
                <w:color w:val="auto"/>
              </w:rPr>
            </w:pPr>
            <w:r>
              <w:rPr>
                <w:rFonts w:ascii="Arial" w:cs="Arial" w:eastAsia="Arial" w:hAnsi="Arial"/>
                <w:sz w:val="18"/>
                <w:szCs w:val="18"/>
                <w:color w:val="auto"/>
              </w:rPr>
              <w:t>Debt and Lines of Credit</w:t>
            </w:r>
          </w:p>
        </w:tc>
        <w:tc>
          <w:tcPr>
            <w:tcW w:w="74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5200" w:type="dxa"/>
            <w:vAlign w:val="bottom"/>
            <w:vMerge w:val="continue"/>
          </w:tcPr>
          <w:p>
            <w:pPr>
              <w:spacing w:after="0"/>
              <w:rPr>
                <w:sz w:val="18"/>
                <w:szCs w:val="18"/>
                <w:color w:val="auto"/>
              </w:rPr>
            </w:pPr>
          </w:p>
        </w:tc>
        <w:tc>
          <w:tcPr>
            <w:tcW w:w="7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Commitments and Contingencies</w:t>
            </w:r>
          </w:p>
        </w:tc>
        <w:tc>
          <w:tcPr>
            <w:tcW w:w="0" w:type="dxa"/>
            <w:vAlign w:val="bottom"/>
          </w:tcPr>
          <w:p>
            <w:pPr>
              <w:spacing w:after="0"/>
              <w:rPr>
                <w:sz w:val="1"/>
                <w:szCs w:val="1"/>
                <w:color w:val="auto"/>
              </w:rPr>
            </w:pPr>
          </w:p>
        </w:tc>
      </w:tr>
      <w:tr>
        <w:trPr>
          <w:trHeight w:val="162"/>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5200" w:type="dxa"/>
            <w:vAlign w:val="bottom"/>
            <w:vMerge w:val="restart"/>
          </w:tcPr>
          <w:p>
            <w:pPr>
              <w:ind w:left="120"/>
              <w:spacing w:after="0"/>
              <w:rPr>
                <w:sz w:val="20"/>
                <w:szCs w:val="20"/>
                <w:color w:val="auto"/>
              </w:rPr>
            </w:pPr>
            <w:r>
              <w:rPr>
                <w:rFonts w:ascii="Arial" w:cs="Arial" w:eastAsia="Arial" w:hAnsi="Arial"/>
                <w:sz w:val="18"/>
                <w:szCs w:val="18"/>
                <w:color w:val="auto"/>
              </w:rPr>
              <w:t>Financial Instruments and Risk Concentration</w:t>
            </w:r>
          </w:p>
        </w:tc>
        <w:tc>
          <w:tcPr>
            <w:tcW w:w="74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5200" w:type="dxa"/>
            <w:vAlign w:val="bottom"/>
            <w:vMerge w:val="continue"/>
          </w:tcPr>
          <w:p>
            <w:pPr>
              <w:spacing w:after="0"/>
              <w:rPr>
                <w:sz w:val="18"/>
                <w:szCs w:val="18"/>
                <w:color w:val="auto"/>
              </w:rPr>
            </w:pPr>
          </w:p>
        </w:tc>
        <w:tc>
          <w:tcPr>
            <w:tcW w:w="7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Supplemental Cash Flow Information</w:t>
            </w:r>
          </w:p>
        </w:tc>
        <w:tc>
          <w:tcPr>
            <w:tcW w:w="0" w:type="dxa"/>
            <w:vAlign w:val="bottom"/>
          </w:tcPr>
          <w:p>
            <w:pPr>
              <w:spacing w:after="0"/>
              <w:rPr>
                <w:sz w:val="1"/>
                <w:szCs w:val="1"/>
                <w:color w:val="auto"/>
              </w:rPr>
            </w:pPr>
          </w:p>
        </w:tc>
      </w:tr>
      <w:tr>
        <w:trPr>
          <w:trHeight w:val="162"/>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5200" w:type="dxa"/>
            <w:vAlign w:val="bottom"/>
            <w:vMerge w:val="restart"/>
          </w:tcPr>
          <w:p>
            <w:pPr>
              <w:ind w:left="120"/>
              <w:spacing w:after="0"/>
              <w:rPr>
                <w:sz w:val="20"/>
                <w:szCs w:val="20"/>
                <w:color w:val="auto"/>
              </w:rPr>
            </w:pPr>
            <w:r>
              <w:rPr>
                <w:rFonts w:ascii="Arial" w:cs="Arial" w:eastAsia="Arial" w:hAnsi="Arial"/>
                <w:sz w:val="18"/>
                <w:szCs w:val="18"/>
                <w:color w:val="auto"/>
              </w:rPr>
              <w:t>Stockholders’ Equity</w:t>
            </w:r>
          </w:p>
        </w:tc>
        <w:tc>
          <w:tcPr>
            <w:tcW w:w="74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5200" w:type="dxa"/>
            <w:vAlign w:val="bottom"/>
            <w:vMerge w:val="continue"/>
          </w:tcPr>
          <w:p>
            <w:pPr>
              <w:spacing w:after="0"/>
              <w:rPr>
                <w:sz w:val="18"/>
                <w:szCs w:val="18"/>
                <w:color w:val="auto"/>
              </w:rPr>
            </w:pPr>
          </w:p>
        </w:tc>
        <w:tc>
          <w:tcPr>
            <w:tcW w:w="7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Subsequent Events</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 by Management on Internal Control over Financial Reporting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Internal Control over Financial Reporting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Summary of Selected Financial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w:t>
      </w:r>
    </w:p>
    <w:p>
      <w:pPr>
        <w:spacing w:after="0" w:line="90"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120"/>
              <w:spacing w:after="0"/>
              <w:rPr>
                <w:sz w:val="20"/>
                <w:szCs w:val="20"/>
                <w:color w:val="auto"/>
              </w:rPr>
            </w:pPr>
            <w:r>
              <w:rPr>
                <w:rFonts w:ascii="Arial" w:cs="Arial" w:eastAsia="Arial" w:hAnsi="Arial"/>
                <w:sz w:val="18"/>
                <w:szCs w:val="18"/>
                <w:color w:val="auto"/>
              </w:rPr>
              <w:t>Overview</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Changes in Accounting Standards</w:t>
            </w:r>
          </w:p>
        </w:tc>
      </w:tr>
      <w:tr>
        <w:trPr>
          <w:trHeight w:val="37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120"/>
              <w:spacing w:after="0"/>
              <w:rPr>
                <w:sz w:val="20"/>
                <w:szCs w:val="20"/>
                <w:color w:val="auto"/>
              </w:rPr>
            </w:pPr>
            <w:r>
              <w:rPr>
                <w:rFonts w:ascii="Arial" w:cs="Arial" w:eastAsia="Arial" w:hAnsi="Arial"/>
                <w:sz w:val="18"/>
                <w:szCs w:val="18"/>
                <w:color w:val="auto"/>
              </w:rPr>
              <w:t>Results of Operations</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Off-Balance Sheet Arrangements</w:t>
            </w:r>
          </w:p>
        </w:tc>
      </w:tr>
      <w:tr>
        <w:trPr>
          <w:trHeight w:val="37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120"/>
              <w:spacing w:after="0"/>
              <w:rPr>
                <w:sz w:val="20"/>
                <w:szCs w:val="20"/>
                <w:color w:val="auto"/>
              </w:rPr>
            </w:pPr>
            <w:r>
              <w:rPr>
                <w:rFonts w:ascii="Arial" w:cs="Arial" w:eastAsia="Arial" w:hAnsi="Arial"/>
                <w:sz w:val="18"/>
                <w:szCs w:val="18"/>
                <w:color w:val="auto"/>
              </w:rPr>
              <w:t>Financial Condition</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Commitments and Contingencies</w:t>
            </w:r>
          </w:p>
        </w:tc>
      </w:tr>
      <w:tr>
        <w:trPr>
          <w:trHeight w:val="37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120"/>
              <w:spacing w:after="0"/>
              <w:rPr>
                <w:sz w:val="20"/>
                <w:szCs w:val="20"/>
                <w:color w:val="auto"/>
              </w:rPr>
            </w:pPr>
            <w:r>
              <w:rPr>
                <w:rFonts w:ascii="Arial" w:cs="Arial" w:eastAsia="Arial" w:hAnsi="Arial"/>
                <w:sz w:val="18"/>
                <w:szCs w:val="18"/>
                <w:color w:val="auto"/>
              </w:rPr>
              <w:t>Liquidity and Capital Resources</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w w:val="89"/>
              </w:rPr>
              <w:t>Quantitative and Qualitative Disclosures about Market Risk</w:t>
            </w:r>
          </w:p>
        </w:tc>
      </w:tr>
      <w:tr>
        <w:trPr>
          <w:trHeight w:val="37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ind w:left="120"/>
              <w:spacing w:after="0"/>
              <w:rPr>
                <w:sz w:val="20"/>
                <w:szCs w:val="20"/>
                <w:color w:val="auto"/>
              </w:rPr>
            </w:pPr>
            <w:r>
              <w:rPr>
                <w:rFonts w:ascii="Arial" w:cs="Arial" w:eastAsia="Arial" w:hAnsi="Arial"/>
                <w:sz w:val="18"/>
                <w:szCs w:val="18"/>
                <w:color w:val="auto"/>
              </w:rPr>
              <w:t>Long-term Contractual Obligations</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Restructuring Actions</w:t>
            </w:r>
          </w:p>
        </w:tc>
      </w:tr>
    </w:tbl>
    <w:p>
      <w:pPr>
        <w:spacing w:after="0" w:line="156" w:lineRule="exact"/>
        <w:rPr>
          <w:sz w:val="20"/>
          <w:szCs w:val="20"/>
          <w:color w:val="auto"/>
        </w:rPr>
      </w:pPr>
    </w:p>
    <w:p>
      <w:pPr>
        <w:ind w:right="8680" w:firstLine="440"/>
        <w:spacing w:after="0" w:line="396" w:lineRule="auto"/>
        <w:tabs>
          <w:tab w:leader="none" w:pos="757" w:val="left"/>
        </w:tabs>
        <w:numPr>
          <w:ilvl w:val="0"/>
          <w:numId w:val="17"/>
        </w:numPr>
        <w:rPr>
          <w:rFonts w:ascii="Arial" w:cs="Arial" w:eastAsia="Arial" w:hAnsi="Arial"/>
          <w:sz w:val="16"/>
          <w:szCs w:val="16"/>
          <w:color w:val="auto"/>
        </w:rPr>
      </w:pPr>
      <w:r>
        <w:rPr>
          <w:rFonts w:ascii="Arial" w:cs="Arial" w:eastAsia="Arial" w:hAnsi="Arial"/>
          <w:sz w:val="16"/>
          <w:szCs w:val="16"/>
          <w:color w:val="auto"/>
        </w:rPr>
        <w:t>Critical Accounting Policies 61 Quarterly Financial Data</w:t>
      </w:r>
    </w:p>
    <w:p>
      <w:pPr>
        <w:spacing w:after="0"/>
        <w:rPr>
          <w:rFonts w:ascii="Arial" w:cs="Arial" w:eastAsia="Arial" w:hAnsi="Arial"/>
          <w:sz w:val="16"/>
          <w:szCs w:val="16"/>
          <w:color w:val="auto"/>
        </w:rPr>
      </w:pPr>
      <w:r>
        <w:rPr>
          <w:rFonts w:ascii="Arial" w:cs="Arial" w:eastAsia="Arial" w:hAnsi="Arial"/>
          <w:sz w:val="18"/>
          <w:szCs w:val="18"/>
          <w:color w:val="auto"/>
        </w:rPr>
        <w:t>62   Common Stock Prices and Dividends</w:t>
      </w:r>
    </w:p>
    <w:p>
      <w:pPr>
        <w:sectPr>
          <w:pgSz w:w="11900" w:h="16838" w:orient="portrait"/>
          <w:cols w:equalWidth="0" w:num="1">
            <w:col w:w="11420"/>
          </w:cols>
          <w:pgMar w:left="240" w:top="1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06 </w:t>
      </w:r>
      <w:r>
        <w:rPr>
          <w:rFonts w:ascii="Arial" w:cs="Arial" w:eastAsia="Arial" w:hAnsi="Arial"/>
          <w:sz w:val="18"/>
          <w:szCs w:val="18"/>
          <w:color w:val="auto"/>
        </w:rPr>
        <w:t>TEXAS INSTRUMENTS 2005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7"/>
              </w:rPr>
              <w:t>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3" w:lineRule="exact"/>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3" w:lineRule="exact"/>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3" w:lineRule="exact"/>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3"/>
              </w:rPr>
              <w:t>13,392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12,580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7,029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Research and development (R&amp;D)</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1,978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(SG&amp;A)</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10,601</w:t>
            </w:r>
          </w:p>
        </w:tc>
        <w:tc>
          <w:tcPr>
            <w:tcW w:w="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10,373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8,869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loans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2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2,988</w:t>
            </w:r>
          </w:p>
        </w:tc>
        <w:tc>
          <w:tcPr>
            <w:tcW w:w="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2,421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8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gridSpan w:val="2"/>
            <w:vMerge w:val="continue"/>
          </w:tcPr>
          <w:p>
            <w:pPr>
              <w:spacing w:after="0"/>
              <w:rPr>
                <w:sz w:val="19"/>
                <w:szCs w:val="19"/>
                <w:color w:val="auto"/>
              </w:rPr>
            </w:pPr>
          </w:p>
        </w:tc>
        <w:tc>
          <w:tcPr>
            <w:tcW w:w="2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2,324</w:t>
            </w:r>
          </w:p>
        </w:tc>
        <w:tc>
          <w:tcPr>
            <w:tcW w:w="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1,861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Basic</w:t>
            </w:r>
          </w:p>
        </w:tc>
        <w:tc>
          <w:tcPr>
            <w:tcW w:w="2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 (millions):</w:t>
            </w: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gridSpan w:val="2"/>
            <w:vMerge w:val="continue"/>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1,671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1,768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7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201"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For the years ended</w:t>
      </w:r>
    </w:p>
    <w:p>
      <w:pPr>
        <w:spacing w:after="0" w:line="1"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3"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3" w:lineRule="exact"/>
              <w:rPr>
                <w:sz w:val="20"/>
                <w:szCs w:val="20"/>
                <w:color w:val="auto"/>
              </w:rPr>
            </w:pPr>
            <w:r>
              <w:rPr>
                <w:rFonts w:ascii="Arial" w:cs="Arial" w:eastAsia="Arial" w:hAnsi="Arial"/>
                <w:sz w:val="14"/>
                <w:szCs w:val="14"/>
                <w:b w:val="1"/>
                <w:bCs w:val="1"/>
                <w:color w:val="auto"/>
              </w:rPr>
              <w:t>2004</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3"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$2,324</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 adjustment: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Annual adjustment (net of tax benefit (expense) of ($79), $7 and ($58))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8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(8)</w:t>
            </w: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available-for-sale investments: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Annual adjustment (net of tax benefit (expense) of $2, $11 and ($71))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(21)</w:t>
            </w: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Reclassification of recognized transactions (net of tax benefit (expense) of ($1), ($3) and $74)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2,426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08 </w:t>
      </w:r>
      <w:r>
        <w:rPr>
          <w:rFonts w:ascii="Arial" w:cs="Arial" w:eastAsia="Arial" w:hAnsi="Arial"/>
          <w:sz w:val="18"/>
          <w:szCs w:val="18"/>
          <w:color w:val="auto"/>
        </w:rPr>
        <w:t>TEXAS INSTRUMENTS 2005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4,116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9,185</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10,136</w:t>
            </w:r>
          </w:p>
        </w:tc>
        <w:tc>
          <w:tcPr>
            <w:tcW w:w="60" w:type="dxa"/>
            <w:vAlign w:val="bottom"/>
            <w:shd w:val="clear" w:color="auto" w:fill="CCEEFF"/>
          </w:tcPr>
          <w:p>
            <w:pPr>
              <w:spacing w:after="0"/>
              <w:rPr>
                <w:sz w:val="18"/>
                <w:szCs w:val="18"/>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8,921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9,573</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1"/>
              </w:rPr>
              <w:t>(5,022)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(5,655)</w:t>
            </w:r>
          </w:p>
        </w:tc>
      </w:tr>
      <w:tr>
        <w:trPr>
          <w:trHeight w:val="230"/>
        </w:trPr>
        <w:tc>
          <w:tcPr>
            <w:tcW w:w="20" w:type="dxa"/>
            <w:vAlign w:val="bottom"/>
          </w:tcPr>
          <w:p>
            <w:pPr>
              <w:spacing w:after="0"/>
              <w:rPr>
                <w:sz w:val="20"/>
                <w:szCs w:val="20"/>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3,899</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Equity and debt investments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713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Prepaid retirement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15,063</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16,299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profit sharing and retirement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3,126</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60" w:type="dxa"/>
            <w:vAlign w:val="bottom"/>
            <w:shd w:val="clear" w:color="auto" w:fill="CCEEFF"/>
          </w:tcPr>
          <w:p>
            <w:pPr>
              <w:spacing w:after="0"/>
              <w:rPr>
                <w:sz w:val="18"/>
                <w:szCs w:val="18"/>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$25 par value. Authorized – 10,000,000 shares.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Participating cumulative preferred. None issued</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$1 par value. Authorized – 2,400,000,000 shares.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Shares issued: 2005 – 1,738,780,512; 2004 – 1,738,156,615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13,394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Shares: 2005 – 142,190,707; 2004 – 20,041,497</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(3,856)</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(480)</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 net of tax:</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Minimum pension liability</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(65)</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gains (losses) on available-for-sale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Unearned compensation</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3"/>
              </w:rPr>
              <w:t>11,937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13,063</w:t>
            </w:r>
          </w:p>
        </w:tc>
        <w:tc>
          <w:tcPr>
            <w:tcW w:w="60" w:type="dxa"/>
            <w:vAlign w:val="bottom"/>
            <w:shd w:val="clear" w:color="auto" w:fill="CCEEFF"/>
          </w:tcPr>
          <w:p>
            <w:pPr>
              <w:spacing w:after="0"/>
              <w:rPr>
                <w:sz w:val="18"/>
                <w:szCs w:val="18"/>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15,063</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16,299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7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201"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For the years ended</w:t>
      </w:r>
    </w:p>
    <w:p>
      <w:pPr>
        <w:spacing w:after="0" w:line="1"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3"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$ 2,324</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$ 1,861</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1,375</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1,479</w:t>
            </w:r>
          </w:p>
        </w:tc>
        <w:tc>
          <w:tcPr>
            <w:tcW w:w="560" w:type="dxa"/>
            <w:vAlign w:val="bottom"/>
          </w:tcPr>
          <w:p>
            <w:pPr>
              <w:jc w:val="right"/>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Amortization of capitalized software</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127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acquisition-related costs</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Purchased in-process research and development</w:t>
            </w:r>
          </w:p>
        </w:tc>
        <w:tc>
          <w:tcPr>
            <w:tcW w:w="15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(Gains)/losses on investments</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(Gains)/losses on sales of assets</w:t>
            </w:r>
          </w:p>
        </w:tc>
        <w:tc>
          <w:tcPr>
            <w:tcW w:w="2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(26)</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(194)</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(Increase)/decrease from changes in:</w:t>
            </w: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2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117</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264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56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Accrued profit sharing and retirement</w:t>
            </w:r>
          </w:p>
        </w:tc>
        <w:tc>
          <w:tcPr>
            <w:tcW w:w="2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(145)</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235</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noncurrent accrued retirement costs</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3,772</w:t>
            </w: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(1,330)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Sales of assets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47</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cash investments</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(5,851)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Sales and maturities of cash investments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5,430</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3,809</w:t>
            </w:r>
          </w:p>
        </w:tc>
        <w:tc>
          <w:tcPr>
            <w:tcW w:w="560" w:type="dxa"/>
            <w:vAlign w:val="bottom"/>
          </w:tcPr>
          <w:p>
            <w:pPr>
              <w:jc w:val="right"/>
              <w:spacing w:after="0"/>
              <w:rPr>
                <w:sz w:val="20"/>
                <w:szCs w:val="20"/>
                <w:color w:val="auto"/>
              </w:rPr>
            </w:pPr>
            <w:r>
              <w:rPr>
                <w:rFonts w:ascii="Arial" w:cs="Arial" w:eastAsia="Arial" w:hAnsi="Arial"/>
                <w:sz w:val="18"/>
                <w:szCs w:val="18"/>
                <w:color w:val="auto"/>
              </w:rPr>
              <w:t>3,732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equity investments</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Sales of equity and debt investments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560" w:type="dxa"/>
            <w:vAlign w:val="bottom"/>
          </w:tcPr>
          <w:p>
            <w:pPr>
              <w:jc w:val="right"/>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1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gridSpan w:val="2"/>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(1,687)</w:t>
            </w:r>
          </w:p>
        </w:tc>
        <w:tc>
          <w:tcPr>
            <w:tcW w:w="280" w:type="dxa"/>
            <w:vAlign w:val="bottom"/>
            <w:vMerge w:val="continue"/>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Proceeds from loans and long-term debt</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275</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loans and long-term debt</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Dividends paid on common stock</w:t>
            </w:r>
          </w:p>
        </w:tc>
        <w:tc>
          <w:tcPr>
            <w:tcW w:w="2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(173)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461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Excess tax benefit from stock option exercises</w:t>
            </w:r>
          </w:p>
        </w:tc>
        <w:tc>
          <w:tcPr>
            <w:tcW w:w="2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59</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repurchases</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(4,151)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Decrease in restricted cash</w:t>
            </w:r>
          </w:p>
        </w:tc>
        <w:tc>
          <w:tcPr>
            <w:tcW w:w="15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(3,540)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w:t>
            </w:r>
          </w:p>
        </w:tc>
        <w:tc>
          <w:tcPr>
            <w:tcW w:w="15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gridSpan w:val="2"/>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5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2,668</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$ 1,219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$ 2,668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 </w:t>
      </w:r>
      <w:r>
        <w:rPr>
          <w:rFonts w:ascii="Arial" w:cs="Arial" w:eastAsia="Arial" w:hAnsi="Arial"/>
          <w:sz w:val="18"/>
          <w:szCs w:val="18"/>
          <w:color w:val="auto"/>
        </w:rPr>
        <w:t>TEXAS INSTRUMENTS 2005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98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4"/>
              </w:rPr>
              <w:t>Paid-in</w:t>
            </w: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Unearned</w:t>
            </w: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Capital</w:t>
            </w:r>
          </w:p>
        </w:tc>
        <w:tc>
          <w:tcPr>
            <w:tcW w:w="4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(Loss)</w:t>
            </w:r>
          </w:p>
        </w:tc>
        <w:tc>
          <w:tcPr>
            <w:tcW w:w="340" w:type="dxa"/>
            <w:vAlign w:val="bottom"/>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4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Dividends declared on common stock ($.085 per share)</w:t>
            </w:r>
          </w:p>
        </w:tc>
        <w:tc>
          <w:tcPr>
            <w:tcW w:w="5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on exercise of stock options</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Stock repurchases</w:t>
            </w:r>
          </w:p>
        </w:tc>
        <w:tc>
          <w:tcPr>
            <w:tcW w:w="5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stock transactions, net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70(a)</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Change in comprehensive income, net of tax</w:t>
            </w:r>
          </w:p>
        </w:tc>
        <w:tc>
          <w:tcPr>
            <w:tcW w:w="5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103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Unearned compensation amortization</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r>
      <w:tr>
        <w:trPr>
          <w:trHeight w:val="230"/>
        </w:trPr>
        <w:tc>
          <w:tcPr>
            <w:tcW w:w="5060" w:type="dxa"/>
            <w:vAlign w:val="bottom"/>
            <w:gridSpan w:val="3"/>
          </w:tcPr>
          <w:p>
            <w:pPr>
              <w:spacing w:after="0"/>
              <w:rPr>
                <w:sz w:val="20"/>
                <w:szCs w:val="20"/>
                <w:color w:val="auto"/>
              </w:rPr>
            </w:pPr>
            <w:r>
              <w:rPr>
                <w:rFonts w:ascii="Arial" w:cs="Arial" w:eastAsia="Arial" w:hAnsi="Arial"/>
                <w:sz w:val="18"/>
                <w:szCs w:val="18"/>
                <w:color w:val="auto"/>
              </w:rPr>
              <w:t>Balance, December 31, 2003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9,535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4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declared on common stock ($.089 per share)</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Common stock issued on exercise of stock options</w:t>
            </w:r>
          </w:p>
        </w:tc>
        <w:tc>
          <w:tcPr>
            <w:tcW w:w="5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repurchases</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Other stock transactions, net</w:t>
            </w:r>
          </w:p>
        </w:tc>
        <w:tc>
          <w:tcPr>
            <w:tcW w:w="5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58(a)</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comprehensive income, net of tax</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Unearned compensation amortization</w:t>
            </w:r>
          </w:p>
        </w:tc>
        <w:tc>
          <w:tcPr>
            <w:tcW w:w="5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2005</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b w:val="1"/>
                <w:bCs w:val="1"/>
                <w:color w:val="auto"/>
                <w:w w:val="97"/>
              </w:rPr>
              <w:t>Dividends declared on common stock ($.105 per share)</w:t>
            </w:r>
          </w:p>
        </w:tc>
        <w:tc>
          <w:tcPr>
            <w:tcW w:w="5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Common stock issued on exercise of stock options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815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b w:val="1"/>
                <w:bCs w:val="1"/>
                <w:color w:val="auto"/>
              </w:rPr>
              <w:t>Stock repurchases</w:t>
            </w:r>
          </w:p>
        </w:tc>
        <w:tc>
          <w:tcPr>
            <w:tcW w:w="5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(4,191)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Stock-based compensation transactions</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198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b w:val="1"/>
                <w:bCs w:val="1"/>
                <w:color w:val="auto"/>
              </w:rPr>
              <w:t>Other stock transactions, net</w:t>
            </w:r>
          </w:p>
        </w:tc>
        <w:tc>
          <w:tcPr>
            <w:tcW w:w="5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132(a)</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Change in comprehensive income, net of tax</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w w:val="79"/>
              </w:rPr>
              <w:t>102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b w:val="1"/>
                <w:bCs w:val="1"/>
                <w:color w:val="auto"/>
              </w:rPr>
              <w:t>Unearned compensation amortization</w:t>
            </w:r>
          </w:p>
        </w:tc>
        <w:tc>
          <w:tcPr>
            <w:tcW w:w="5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$ 1,739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742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13,394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(3,856)</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00" w:lineRule="exact"/>
        <w:rPr>
          <w:sz w:val="20"/>
          <w:szCs w:val="20"/>
          <w:color w:val="auto"/>
        </w:rPr>
      </w:pPr>
    </w:p>
    <w:p>
      <w:pPr>
        <w:ind w:left="460" w:right="3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stock transactions, net includes, among other things, the income tax benefit realized from exercise of nonqualified stock options. The income tax benefit was $132 million, $58 million and $64 million for 2005, 2004 and 2003.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 and Practices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u w:val="single" w:color="auto"/>
          <w:color w:val="auto"/>
        </w:rPr>
        <w:t>Business</w:t>
      </w:r>
      <w:r>
        <w:rPr>
          <w:rFonts w:ascii="Arial" w:cs="Arial" w:eastAsia="Arial" w:hAnsi="Arial"/>
          <w:sz w:val="16"/>
          <w:szCs w:val="16"/>
          <w:color w:val="auto"/>
        </w:rPr>
        <w:t>: Texas Instruments (TI) makes, markets and sells high-technology components; more than 50,000 customers all over the world buy TI products. We have three reportable operating business segments: Semiconductor, Sensors &amp; Controls and Educational &amp; Productivity Solutions (E&amp;PS). Semiconductor is by far the largest of these business segments. It accounted for 87 percent of revenue in 2005, and over time it averages a higher growth rate than the other business segments, although the semiconductor market is characterized by wide swings in growth rates from year to year.</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December 2005, we announced an agreement to acquire Chipcon Group ASA (Chipcon), a leading company in the design of short-range, low-power wireless radio frequency (RF) transceiver devices, based in Oslo, Norway. The acquisition will enhance TI’s ability to offer customers complete short-range wireless solutions for consumer, home and building automation applications. We agreed to pay approximately $200 million in cash for Chipcon. The transaction closed in January 2006. Accordingly, Chipcon’s results of operations are not recorded in the financial statements as of December 31, 2005.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made other acquisitions in 2005 and 2004, which were not material, that were integrated into the Sensors &amp; Controls business segment.</w:t>
      </w:r>
    </w:p>
    <w:p>
      <w:pPr>
        <w:spacing w:after="0" w:line="17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July 2003, we acquired 100 percent of the equity of Radia Communications, Inc. (Radia) for a purchase price of approximately $133 million. The acquisition was made to further TI’s development and product offerings in RF semiconductor, subsystem, signal processing and networking technologies for 802.11 wireless local area networking multi-band/multi-mode radios and was integrated into the Semiconductor business segment.</w:t>
      </w:r>
    </w:p>
    <w:p>
      <w:pPr>
        <w:spacing w:after="0" w:line="10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These acquisitions were accounted for as purchase business combinations, and the results of operations of these businesses are included in the consolidated statements of income from their dates of acquisition. Pro forma information has not been presented as it would not be materially different from amounts reported.</w:t>
      </w:r>
    </w:p>
    <w:p>
      <w:pPr>
        <w:spacing w:after="0" w:line="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u w:val="single" w:color="auto"/>
          <w:color w:val="auto"/>
        </w:rPr>
        <w:t>Basis of Presentation</w:t>
      </w:r>
      <w:r>
        <w:rPr>
          <w:rFonts w:ascii="Arial" w:cs="Arial" w:eastAsia="Arial" w:hAnsi="Arial"/>
          <w:sz w:val="16"/>
          <w:szCs w:val="16"/>
          <w:color w:val="auto"/>
        </w:rPr>
        <w:t xml:space="preserve">: The consolidated financial statements have been prepared in accordance with accounting principles generally accepted in the United States (U.S. GAAP) and, except for the early adoption of a new accounting standard on stock-based compensation (as discussed below in </w:t>
      </w:r>
      <w:r>
        <w:rPr>
          <w:rFonts w:ascii="Arial" w:cs="Arial" w:eastAsia="Arial" w:hAnsi="Arial"/>
          <w:sz w:val="16"/>
          <w:szCs w:val="16"/>
          <w:i w:val="1"/>
          <w:iCs w:val="1"/>
          <w:color w:val="auto"/>
        </w:rPr>
        <w:t>Effects of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on the same basis as the audited financial statements included in the 2004 annual report. The consolidated financial statements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of all subsidiaries. All intercompany balances and transactions have been eliminated in consolidation. All dollar amounts in the financial statements and tables in the notes, except per-share amounts, are stated in millions of U.S. dollars unless otherwise indicated. Certain amounts in the prior periods’ financial statements have been reclassified to conform to the 2005 presentation.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u w:val="single" w:color="auto"/>
          <w:color w:val="auto"/>
        </w:rPr>
        <w:t>Foreign Currency</w:t>
      </w:r>
      <w:r>
        <w:rPr>
          <w:rFonts w:ascii="Arial" w:cs="Arial" w:eastAsia="Arial" w:hAnsi="Arial"/>
          <w:sz w:val="16"/>
          <w:szCs w:val="16"/>
          <w:color w:val="auto"/>
        </w:rPr>
        <w:t>: For financial reporting purposes, the functional currency for non-U.S. subsidiaries is the U.S. dollar. Accounts recorded in currencies other than U.S. dollars are remeasured into the functional currency. Current assets (except inventories), deferred income taxes, other assets, current liabilities and long-term liabilities are remeasured at exchange rates in effect at year end. Inventories and property, plant and equipment and depreciation thereon are remeasured at historic exchange rates. Revenue and expense accounts other than depreciation for each month are remeasured at the appropriate daily rate of exchange. Net currency exchange gains and losses from remeasurement are charged or credited on a current basis to other income (expense) net.</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We use derivative financial instruments to minimize exposure to foreign currency and interest rate risk. We enter into certain foreign currency derivative instruments that do not meet hedge accounting criteria. These instruments are primarily forward currency exchange contracts that are intended as economic hedges to minimize the adverse earnings impact from the effect of exchange rate fluctuations on our non-U.S. dollar net balance sheet exposures. Gains and losses from forward currency exchange contracts to hedge net balance sheet exposures from remeasurement are credited or charged on a current basis to other income (expense) net.</w:t>
      </w:r>
    </w:p>
    <w:p>
      <w:pPr>
        <w:sectPr>
          <w:pgSz w:w="11900" w:h="16838" w:orient="portrait"/>
          <w:cols w:equalWidth="0" w:num="1">
            <w:col w:w="11420"/>
          </w:cols>
          <w:pgMar w:left="240" w:top="274" w:right="239" w:bottom="1440" w:gutter="0" w:footer="0" w:header="0"/>
        </w:sectPr>
      </w:pPr>
    </w:p>
    <w:bookmarkStart w:id="32" w:name="page33"/>
    <w:bookmarkEnd w:id="32"/>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Gains and losses from other forward currency exchange contracts intended to hedge specific transactions and from terminated forward currency exchange contracts are deferred and included in the measurement of the related transactions.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respect to long-term debt and its associated interest expense, we seek to maintain a mix of both fixed and variable interest rates that, over time, is expected to moderate financing costs. In order to achieve this goal, we utilize interest rate swaps designated as fair value hedges to change the characteristics of the interest rate stream on the debt from fixed rates to short-term variable rates. Gains and losses from interest rate swaps are included on the accrual basis in interest expense. There is no hedge ineffectiveness related to these swaps. Gains and losses from terminated interest rate swaps are deferred and recognized consistent with the terms of the underlying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u w:val="single" w:color="auto"/>
          <w:color w:val="auto"/>
        </w:rPr>
        <w:t>Revenue Recognition</w:t>
      </w:r>
      <w:r>
        <w:rPr>
          <w:rFonts w:ascii="Arial" w:cs="Arial" w:eastAsia="Arial" w:hAnsi="Arial"/>
          <w:sz w:val="16"/>
          <w:szCs w:val="16"/>
          <w:color w:val="auto"/>
        </w:rPr>
        <w:t>: Revenue from sales of our products, including shipping fees, is recognized when title to the products is transferred to the customer, which usually occurs upon shipment or delivery, depending upon the terms of the sales order. Estimates of returns for product quality reasons and of price allowances (calculated based upon historical experience, analysis of product shipments and contractual arrangements with customers), are recorded when revenue is recognized. Allowances include discounts for prompt payment, as well as volume-based incentives and special pricing arrangements. In addition, allowances for doubtful accounts are recorded for estimated amounts of accounts receivable that may not be collected.</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 from sales to distributors of our products is recognized, net of allowances, upon delivery of product to the distributors. These allowances are calculated based on historical data, current economic conditions and contractual terms. For instance, when we determine that a product may become obsolete, we offer distributors an opportunity to return that product within a set time period of the obsolescence notification. We also provide distributors the opportunity to scrap certain designated products based on a limited allowance, which we increased in 2005 to offset reductions in return privileges. In addition, in response to specific competitive situations encountered by distributors, we may grant distributors adjustments applied to their account; however, pricing to the distributor is not changed.</w:t>
      </w:r>
    </w:p>
    <w:p>
      <w:pPr>
        <w:spacing w:after="0" w:line="14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Royalty revenue is recognized upon sale by the licensee of royalty-bearing products, as estimated by us, and when realization is considered probable by management.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 of revenue.</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Advertising and other promotional costs are expensed as incurred. This expense was $126 million in 2005, $92 million in 2004 and $79 million in 2003.</w:t>
      </w:r>
    </w:p>
    <w:p>
      <w:pPr>
        <w:spacing w:after="0" w:line="13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u w:val="single" w:color="auto"/>
          <w:color w:val="auto"/>
        </w:rPr>
        <w:t>Impairments of Long-Lived Assets</w:t>
      </w:r>
      <w:r>
        <w:rPr>
          <w:rFonts w:ascii="Arial" w:cs="Arial" w:eastAsia="Arial" w:hAnsi="Arial"/>
          <w:sz w:val="16"/>
          <w:szCs w:val="16"/>
          <w:color w:val="auto"/>
        </w:rPr>
        <w:t>: Reviews are regularly performed to determine whether facts or circumstances exist that indicate the carrying values of fixed assets, intangible assets or capitalized software licenses are impaired. We assess the recoverability of assets by comparing the projected undiscounted net cash flows associated with those assets to their respective carrying amounts. Impairment, if any, is based on the excess of the carrying amount over the fair value of those assets. Fair value is determined by available market valuations, if applicable, or by discounted cash flows.</w:t>
      </w:r>
    </w:p>
    <w:p>
      <w:pPr>
        <w:spacing w:after="0" w:line="11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We account for income taxes using an asset and liability approach. We record the amount of taxes payable or refundable for the current year and the deferred tax assets and liabilities for the future tax consequences of events that have been recognized in the financial statements or tax returns. When it is more likely than not that some portion or all of the deferred tax assets will not be realized, a valuation allowance is recorded.</w:t>
      </w:r>
    </w:p>
    <w:p>
      <w:pPr>
        <w:sectPr>
          <w:pgSz w:w="11900" w:h="16838" w:orient="portrait"/>
          <w:cols w:equalWidth="0" w:num="1">
            <w:col w:w="11380"/>
          </w:cols>
          <w:pgMar w:left="240" w:top="280" w:right="279" w:bottom="1440" w:gutter="0" w:footer="0" w:header="0"/>
        </w:sectPr>
      </w:pPr>
    </w:p>
    <w:bookmarkStart w:id="33" w:name="page34"/>
    <w:bookmarkEnd w:id="33"/>
    <w:p>
      <w:pPr>
        <w:ind w:left="7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6"/>
          <w:szCs w:val="16"/>
          <w:b w:val="1"/>
          <w:bCs w:val="1"/>
          <w:color w:val="auto"/>
        </w:rPr>
        <w:t>13</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Earnings per Share (EPS)</w:t>
      </w:r>
      <w:r>
        <w:rPr>
          <w:rFonts w:ascii="Arial" w:cs="Arial" w:eastAsia="Arial" w:hAnsi="Arial"/>
          <w:sz w:val="16"/>
          <w:szCs w:val="16"/>
          <w:color w:val="auto"/>
        </w:rPr>
        <w:t>: Computation and reconciliation of earnings per common share, on a basic and diluted basis, are as follows (shares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Income</w:t>
            </w:r>
          </w:p>
        </w:tc>
        <w:tc>
          <w:tcPr>
            <w:tcW w:w="120" w:type="dxa"/>
            <w:vAlign w:val="bottom"/>
            <w:gridSpan w:val="2"/>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EPS</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EPS</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Income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EPS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5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0"/>
              </w:rPr>
              <w:t>$2,324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4"/>
              </w:rPr>
              <w:t>1,640</w:t>
            </w: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3"/>
              </w:rPr>
              <w:t>$1.42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$1,861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5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$1.08</w:t>
            </w: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$1,198</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1,731</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Dilutives: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plans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Diluted EPS</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2,324</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1,671</w:t>
            </w:r>
          </w:p>
        </w:tc>
        <w:tc>
          <w:tcPr>
            <w:tcW w:w="100" w:type="dxa"/>
            <w:vAlign w:val="bottom"/>
            <w:vMerge w:val="continue"/>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1.39</w:t>
            </w:r>
          </w:p>
        </w:tc>
        <w:tc>
          <w:tcPr>
            <w:tcW w:w="100" w:type="dxa"/>
            <w:vAlign w:val="bottom"/>
            <w:vMerge w:val="continue"/>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1,861</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1,768</w:t>
            </w:r>
          </w:p>
        </w:tc>
        <w:tc>
          <w:tcPr>
            <w:tcW w:w="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1.05</w:t>
            </w:r>
          </w:p>
        </w:tc>
        <w:tc>
          <w:tcPr>
            <w:tcW w:w="66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1,198</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1,766</w:t>
            </w:r>
          </w:p>
        </w:tc>
        <w:tc>
          <w:tcPr>
            <w:tcW w:w="400" w:type="dxa"/>
            <w:vAlign w:val="bottom"/>
            <w:gridSpan w:val="3"/>
          </w:tcPr>
          <w:p>
            <w:pPr>
              <w:jc w:val="center"/>
              <w:spacing w:after="0"/>
              <w:rPr>
                <w:sz w:val="20"/>
                <w:szCs w:val="20"/>
                <w:color w:val="auto"/>
              </w:rPr>
            </w:pPr>
            <w:r>
              <w:rPr>
                <w:rFonts w:ascii="Arial" w:cs="Arial" w:eastAsia="Arial" w:hAnsi="Arial"/>
                <w:sz w:val="18"/>
                <w:szCs w:val="18"/>
                <w:color w:val="auto"/>
                <w:w w:val="91"/>
              </w:rPr>
              <w:t>$.68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EPS computations for 2005, 2004 and 2003 exclude 82 million, 113 million and 116 million shares, respectively, for stock options because their effect would have been antidilutive.</w:t>
      </w:r>
    </w:p>
    <w:p>
      <w:pPr>
        <w:spacing w:after="0" w:line="132"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u w:val="single" w:color="auto"/>
          <w:color w:val="auto"/>
        </w:rPr>
        <w:t>Effects of Stock-based Compensation</w:t>
      </w:r>
      <w:r>
        <w:rPr>
          <w:rFonts w:ascii="Arial" w:cs="Arial" w:eastAsia="Arial" w:hAnsi="Arial"/>
          <w:sz w:val="15"/>
          <w:szCs w:val="15"/>
          <w:color w:val="auto"/>
        </w:rPr>
        <w:t xml:space="preserve">: We have several stock-based employee compensation plans that are more fully described in Note 13. Prior to July 1, 2005, we accounted for awards granted under those plans following the recognition and measurement principles of Accounting Principles Board (APB) Opinion No. 25, </w:t>
      </w:r>
      <w:r>
        <w:rPr>
          <w:rFonts w:ascii="Arial" w:cs="Arial" w:eastAsia="Arial" w:hAnsi="Arial"/>
          <w:sz w:val="15"/>
          <w:szCs w:val="15"/>
          <w:i w:val="1"/>
          <w:iCs w:val="1"/>
          <w:color w:val="auto"/>
        </w:rPr>
        <w:t xml:space="preserve">“Accounting for Stock Issued to Employees,” </w:t>
      </w:r>
      <w:r>
        <w:rPr>
          <w:rFonts w:ascii="Arial" w:cs="Arial" w:eastAsia="Arial" w:hAnsi="Arial"/>
          <w:sz w:val="15"/>
          <w:szCs w:val="15"/>
          <w:color w:val="auto"/>
        </w:rPr>
        <w:t>and related interpretations. No compensation cost was reflected in net income for stock options, as all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under the plans have an exercise price equal to the market value of the underlying common stock on the date of the grant (except options granted under employee stock purchase plans and acquisition-related stock option awards). Compensation cost has previously been recognized for restricted stock units (RSUs).</w:t>
      </w:r>
    </w:p>
    <w:p>
      <w:pPr>
        <w:spacing w:after="0" w:line="1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Effective July 1, 2005, we adopted the fair value recognition provisions of Financial Accounting Standards Board (FASB) Statement of Financial Accounting Standards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using the modified prospective application method. Under this transition method, compensation cost recognized for the year ended December 31, 2005, includes the applicable amounts of: (a) compensation cost of all stock-based payments granted prior to, but not yet vested as of, July 1, 2005 (based on the grant-date fair value estimated in accordance with the original provisions of SFAS No. 123 and previously presented in pro forma footnote disclosures), and (b) compensation cost for all stock-based payments granted subsequent to July 1, 2005 (based on the grant-date fair value estimated in accordance with the new provisions of SFAS No. 123(R)). Results for prior periods have not been restated.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Adopting SFAS No. 123(R):</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amounts below include the impact of recognizing compensation expense related to nonqualified stock options and stock options offered under employee stock purchase plans. Compensation expense related to RSUs was already being recognized before implementation of SFAS No. 123(R), so that component of total stock-based compensation expense is not included in the table below. Compensation expense for RSUs totaled $18 million for the year 2005, $18 million for 2004 and $15 million for 2003, and is included in SG&amp;A. Total stock-based compensation expense, which includes both expense from stock options and RSUs, totaled $178 million for the year ended December 31, 2005.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effect of adopting SFAS No. 123(R) as of July 1, 2005:</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Stock-option compensation expense recognized: (excludes expense for RSUs)</w:t>
            </w:r>
          </w:p>
        </w:tc>
        <w:tc>
          <w:tcPr>
            <w:tcW w:w="18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Cost of revenue</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R&amp;D</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23"/>
        </w:trPr>
        <w:tc>
          <w:tcPr>
            <w:tcW w:w="7340" w:type="dxa"/>
            <w:vAlign w:val="bottom"/>
          </w:tcPr>
          <w:p>
            <w:pPr>
              <w:ind w:left="440"/>
              <w:spacing w:after="0"/>
              <w:rPr>
                <w:sz w:val="20"/>
                <w:szCs w:val="20"/>
                <w:color w:val="auto"/>
              </w:rPr>
            </w:pPr>
            <w:r>
              <w:rPr>
                <w:rFonts w:ascii="Arial" w:cs="Arial" w:eastAsia="Arial" w:hAnsi="Arial"/>
                <w:sz w:val="18"/>
                <w:szCs w:val="18"/>
                <w:color w:val="auto"/>
              </w:rPr>
              <w:t>SG&amp;A</w:t>
            </w:r>
          </w:p>
        </w:tc>
        <w:tc>
          <w:tcPr>
            <w:tcW w:w="1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decrease in income before taxes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160</w:t>
            </w:r>
          </w:p>
        </w:tc>
        <w:tc>
          <w:tcPr>
            <w:tcW w:w="0" w:type="dxa"/>
            <w:vAlign w:val="bottom"/>
          </w:tcPr>
          <w:p>
            <w:pPr>
              <w:spacing w:after="0"/>
              <w:rPr>
                <w:sz w:val="1"/>
                <w:szCs w:val="1"/>
                <w:color w:val="auto"/>
              </w:rPr>
            </w:pPr>
          </w:p>
        </w:tc>
      </w:tr>
      <w:tr>
        <w:trPr>
          <w:trHeight w:val="223"/>
        </w:trPr>
        <w:tc>
          <w:tcPr>
            <w:tcW w:w="7340" w:type="dxa"/>
            <w:vAlign w:val="bottom"/>
          </w:tcPr>
          <w:p>
            <w:pPr>
              <w:ind w:left="440"/>
              <w:spacing w:after="0"/>
              <w:rPr>
                <w:sz w:val="20"/>
                <w:szCs w:val="20"/>
                <w:color w:val="auto"/>
              </w:rPr>
            </w:pPr>
            <w:r>
              <w:rPr>
                <w:rFonts w:ascii="Arial" w:cs="Arial" w:eastAsia="Arial" w:hAnsi="Arial"/>
                <w:sz w:val="18"/>
                <w:szCs w:val="18"/>
                <w:color w:val="auto"/>
              </w:rPr>
              <w:t>Related deferred income tax benefit</w:t>
            </w:r>
          </w:p>
        </w:tc>
        <w:tc>
          <w:tcPr>
            <w:tcW w:w="1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net income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108</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440"/>
              <w:spacing w:after="0"/>
              <w:rPr>
                <w:sz w:val="20"/>
                <w:szCs w:val="20"/>
                <w:color w:val="auto"/>
              </w:rPr>
            </w:pPr>
            <w:r>
              <w:rPr>
                <w:rFonts w:ascii="Arial" w:cs="Arial" w:eastAsia="Arial" w:hAnsi="Arial"/>
                <w:sz w:val="18"/>
                <w:szCs w:val="18"/>
                <w:color w:val="auto"/>
              </w:rPr>
              <w:t>Decrease in basic earnings per share</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diluted earnings per share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has not been allocated to the various segments, but is reflected in corporate.</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Prior to adopting SFAS No. 123(R), we presented all tax benefits of deductions resulting from the exercise of nonqualified stock options as operating cash flows (reflected in income taxes payable). SFAS No. 123(R) requires the cash flows resulting from excess tax benefits (tax deductions realized in excess of the compensation costs recognized for the options exercised) to be classified as cash flows provided by financing activities. As a result of adopting SFAS No. 123(R), excess tax benefits of $59 million from July 1, 2005, have been classified as cash flows provided by financing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Pro Forma Presentations: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Under the modified prospective application method, results for prior periods have not been restated to reflect the effects of implementing SFAS No. 123(R). The following pro forma information, as required by SFAS No. 148, </w:t>
      </w:r>
      <w:r>
        <w:rPr>
          <w:rFonts w:ascii="Arial" w:cs="Arial" w:eastAsia="Arial" w:hAnsi="Arial"/>
          <w:sz w:val="16"/>
          <w:szCs w:val="16"/>
          <w:i w:val="1"/>
          <w:iCs w:val="1"/>
          <w:color w:val="auto"/>
        </w:rPr>
        <w:t>“Accounting for Stock-Based Compensation – Transition and Disclosure,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123,” </w:t>
      </w:r>
      <w:r>
        <w:rPr>
          <w:rFonts w:ascii="Arial" w:cs="Arial" w:eastAsia="Arial" w:hAnsi="Arial"/>
          <w:sz w:val="16"/>
          <w:szCs w:val="16"/>
          <w:color w:val="auto"/>
        </w:rPr>
        <w:t>is presented for comparative purposes and illustrates the pro forma effect on net income and earnings per common share for each period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as if we had applied the fair value recognition provisions of SFAS No. 123 to stock-based employee compensation prior to July 1, 2005: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2004</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2,324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1,861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1"/>
              </w:rPr>
              <w:t>Add: Stock-based compensation expense included in reported net income, net of ($59), ($6) and ($5) tax (including actual FAS</w:t>
            </w:r>
          </w:p>
        </w:tc>
        <w:tc>
          <w:tcPr>
            <w:tcW w:w="10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123(R) total stock-based compensation expense recognized since July 1, 2005)</w:t>
            </w: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w w:val="91"/>
              </w:rPr>
              <w:t>Deduct: Total stock-based compensation expense determined under fair value-based method for all awards, net of $124, $186</w:t>
            </w:r>
          </w:p>
        </w:tc>
        <w:tc>
          <w:tcPr>
            <w:tcW w:w="10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$216 tax</w:t>
            </w:r>
          </w:p>
        </w:tc>
        <w:tc>
          <w:tcPr>
            <w:tcW w:w="1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Deduct: Adjustment for retirement-eligible employees, net of $50 tax</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1,501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420"/>
              <w:spacing w:after="0"/>
              <w:rPr>
                <w:sz w:val="20"/>
                <w:szCs w:val="20"/>
                <w:color w:val="auto"/>
              </w:rPr>
            </w:pPr>
            <w:r>
              <w:rPr>
                <w:rFonts w:ascii="Arial" w:cs="Arial" w:eastAsia="Arial" w:hAnsi="Arial"/>
                <w:sz w:val="18"/>
                <w:szCs w:val="18"/>
                <w:color w:val="auto"/>
              </w:rPr>
              <w:t>Basic – as adjusted for stock-based compensation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420"/>
              <w:spacing w:after="0"/>
              <w:rPr>
                <w:sz w:val="20"/>
                <w:szCs w:val="20"/>
                <w:color w:val="auto"/>
              </w:rPr>
            </w:pPr>
            <w:r>
              <w:rPr>
                <w:rFonts w:ascii="Arial" w:cs="Arial" w:eastAsia="Arial" w:hAnsi="Arial"/>
                <w:sz w:val="18"/>
                <w:szCs w:val="18"/>
                <w:color w:val="auto"/>
              </w:rPr>
              <w:t>Diluted – as adjusted for stock-based compensation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the first quarter of 2005, we reduced the attribution period used for certain grants of nonqualified stock options to recognize fair value-based compensation expense for pro forma disclosure purposes for those stock option recipients who are retirement eligible or become retirement eligible prior to vesting of the awards. Our nonqualified stock options have 10-year terms and generally vest over a four-year service period from the date of grant. Effective January 1, 2005, stock-based compensation expense for retirement-eligible employees is now recognized over a six-month required service period, and for non-retirement-eligible employees, over the shorter of the period from the grant date to the date they become retirement eligible (but not less than the six-month required service period) or the normal four-year vesting period. As a result, we included in our first quarter 2005 pro forma footnote disclosures a $94 million ($0.05 per share) inception-to-date adjustment of fair value-based compensation expense for both retirement-eligible employees and employees who become retirement eligible prior to vesting of the awards, to reflect the reduced attribution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values for these awards were estimated using the Black-Scholes option-pricing model with the weighted-average assumptions listed below. Because options vest over several years and additional option grants are expected, the effects of these hypothetical calculations on the financial statements are not likely to be representative of similar future calculations.</w:t>
      </w:r>
    </w:p>
    <w:p>
      <w:pPr>
        <w:sectPr>
          <w:pgSz w:w="11900" w:h="16838" w:orient="portrait"/>
          <w:cols w:equalWidth="0" w:num="1">
            <w:col w:w="11420"/>
          </w:cols>
          <w:pgMar w:left="240" w:top="2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15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Plans (a)</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Weighted average grant date fair value, per share</w:t>
            </w: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15.61</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Expected volatility</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lives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5 yrs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 yrs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 yrs</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Risk-free interest rates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3.77%</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dividend yields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322"/>
        </w:trPr>
        <w:tc>
          <w:tcPr>
            <w:tcW w:w="5920" w:type="dxa"/>
            <w:vAlign w:val="bottom"/>
          </w:tcPr>
          <w:p>
            <w:pPr>
              <w:spacing w:after="0"/>
              <w:rPr>
                <w:sz w:val="20"/>
                <w:szCs w:val="20"/>
                <w:color w:val="auto"/>
              </w:rPr>
            </w:pPr>
            <w:r>
              <w:rPr>
                <w:rFonts w:ascii="Arial" w:cs="Arial" w:eastAsia="Arial" w:hAnsi="Arial"/>
                <w:sz w:val="18"/>
                <w:szCs w:val="18"/>
                <w:b w:val="1"/>
                <w:bCs w:val="1"/>
                <w:color w:val="auto"/>
              </w:rPr>
              <w:t>Employee Plans (b)</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Weighted average assumptions used:</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volatility</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Expected lives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4"/>
              </w:rPr>
              <w:t>.58 yrs</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.58 yrs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.58 yrs</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Risk-free interest rates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8"/>
        </w:trPr>
        <w:tc>
          <w:tcPr>
            <w:tcW w:w="5920" w:type="dxa"/>
            <w:vAlign w:val="bottom"/>
          </w:tcPr>
          <w:p>
            <w:pPr>
              <w:ind w:left="440"/>
              <w:spacing w:after="0"/>
              <w:rPr>
                <w:sz w:val="20"/>
                <w:szCs w:val="20"/>
                <w:color w:val="auto"/>
              </w:rPr>
            </w:pPr>
            <w:r>
              <w:rPr>
                <w:rFonts w:ascii="Arial" w:cs="Arial" w:eastAsia="Arial" w:hAnsi="Arial"/>
                <w:sz w:val="18"/>
                <w:szCs w:val="18"/>
                <w:color w:val="auto"/>
              </w:rPr>
              <w:t>Expected dividend yields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6000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stock options under the long-term incentive plans and the director plans (see Note 13 for a description of these plans).</w:t>
      </w:r>
    </w:p>
    <w:p>
      <w:pPr>
        <w:spacing w:after="0" w:line="15"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TI Employees 2002 Stock Purchase Plan and its predecessor plan, the TI Employees 1997 Stock Purchase Plan (see Note 13 for a description of these plans).</w:t>
      </w:r>
    </w:p>
    <w:p>
      <w:pPr>
        <w:spacing w:after="0" w:line="13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Effective July 1, 2005, we changed our assumption of determining expected volatility on all new options granted after that date to rely solely on available implied volatility rates rather than an analysis of historical volatility. After giving consideration to recently available regulatory guidance, we believe that market-based measures of implied volatility are currently the best available indicators of the expected volatility used in these estimates. The effect of this change on income before taxes, net income and basic and diluted earnings per share for the year ended December 31, 2005, was not material.</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Expected lives of options are determined based on the historical share option exercise experience of our optionees, using a rolling 10-year average. We believe the historical experience method is the best estimate of future exercise patterns currently available.</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32"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Expected dividend yields are based on the approved annual dividend rate in effect and the current market price of TI common stock at the time of grant. No assumption for a future dividend rate change has been included unless there is an approved plan to change the dividend in the near term.</w:t>
      </w:r>
    </w:p>
    <w:p>
      <w:pPr>
        <w:spacing w:after="0" w:line="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Inventories are stated at the lower of cost or estimated net realizable value. Cost is generally computed on a currently adjusted standard cost basis. Prior to January 1, 2006, standard costs were based on the optimal utilization of installed factory capacity. With the adoption of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 amendment of ARB No. 43, Chapter 4,” </w:t>
      </w:r>
      <w:r>
        <w:rPr>
          <w:rFonts w:ascii="Arial" w:cs="Arial" w:eastAsia="Arial" w:hAnsi="Arial"/>
          <w:sz w:val="18"/>
          <w:szCs w:val="18"/>
          <w:color w:val="auto"/>
        </w:rPr>
        <w:t>effective January 1, 2006, standard costs will be based on the normal utilization of installed factory capacity,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materially different from the optimal rates previously used (see </w:t>
      </w:r>
      <w:r>
        <w:rPr>
          <w:rFonts w:ascii="Arial" w:cs="Arial" w:eastAsia="Arial" w:hAnsi="Arial"/>
          <w:sz w:val="18"/>
          <w:szCs w:val="18"/>
          <w:i w:val="1"/>
          <w:iCs w:val="1"/>
          <w:color w:val="auto"/>
        </w:rPr>
        <w:t>Change in Accounting Standards</w:t>
      </w:r>
      <w:r>
        <w:rPr>
          <w:rFonts w:ascii="Arial" w:cs="Arial" w:eastAsia="Arial" w:hAnsi="Arial"/>
          <w:sz w:val="18"/>
          <w:szCs w:val="18"/>
          <w:color w:val="auto"/>
        </w:rPr>
        <w:t xml:space="preserve"> below). Costs associated with underutilization of capacity are expensed as incurred.</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conduct quarterly inventory reviews for salability and obsolescence. A specific allowance is provided for inventory considered unlikely to be sold. Remaining inventory has a salability and obsolescence allowance based upon the historical disposal percentage. Inventory is written off in the period in which disposal occurs.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u w:val="single" w:color="auto"/>
          <w:color w:val="auto"/>
        </w:rPr>
        <w:t>Property, Plant and Equipment and Other Capitalized Costs</w:t>
      </w:r>
      <w:r>
        <w:rPr>
          <w:rFonts w:ascii="Arial" w:cs="Arial" w:eastAsia="Arial" w:hAnsi="Arial"/>
          <w:sz w:val="18"/>
          <w:szCs w:val="18"/>
          <w:color w:val="auto"/>
        </w:rPr>
        <w:t>: Property, plant and equipment are stated at cost and prior to January 1, 2006, were depreciated primarily on the 150 percent declining-balance method over their estimated useful lives. Fully depreciated assets are written off against accumulated depreciation. Acquisition-related costs are amortized on a straight-line basis over the estimated economic life of the assets. Capitalized software licenses generally are amortized on a straight-line basis over the term of the license.</w:t>
      </w:r>
    </w:p>
    <w:p>
      <w:pPr>
        <w:sectPr>
          <w:pgSz w:w="11900" w:h="16838" w:orient="portrait"/>
          <w:cols w:equalWidth="0" w:num="1">
            <w:col w:w="11420"/>
          </w:cols>
          <w:pgMar w:left="240" w:top="274" w:right="239" w:bottom="1440" w:gutter="0" w:footer="0" w:header="0"/>
        </w:sectPr>
      </w:pPr>
    </w:p>
    <w:bookmarkStart w:id="36" w:name="page37"/>
    <w:bookmarkEnd w:id="36"/>
    <w:p>
      <w:pPr>
        <w:ind w:left="280" w:hanging="272"/>
        <w:spacing w:after="0"/>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Amortization of leasehold improvements is computed using the straight-line method over the shorter of the remaining lease term or the estimated useful lives of the improvements.</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Assets held under capital leases are recorded at the lower of the net present value of the minimum lease payments or the fair value of the leased asset at the inception of the lease. Amortization expense is computed using the straight-line method over the shorter of the estimated useful lives of the assets or the period of the related lease.</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u w:val="single" w:color="auto"/>
          <w:color w:val="auto"/>
        </w:rPr>
        <w:t>Change in Depreciation Method</w:t>
      </w:r>
      <w:r>
        <w:rPr>
          <w:rFonts w:ascii="Arial" w:cs="Arial" w:eastAsia="Arial" w:hAnsi="Arial"/>
          <w:sz w:val="16"/>
          <w:szCs w:val="16"/>
          <w:color w:val="auto"/>
        </w:rPr>
        <w:t>: Effective January 1, 2006, as a result of a study made of the pattern of usage of our long-lived depreciable assets, we will adopt the straight-line method of depreciation for all property, plant and equipment. Under the new provisions of SFAS No. 154, “</w:t>
      </w:r>
      <w:r>
        <w:rPr>
          <w:rFonts w:ascii="Arial" w:cs="Arial" w:eastAsia="Arial" w:hAnsi="Arial"/>
          <w:sz w:val="16"/>
          <w:szCs w:val="16"/>
          <w:i w:val="1"/>
          <w:iCs w:val="1"/>
          <w:color w:val="auto"/>
        </w:rPr>
        <w:t>Accounting Changes and Error</w:t>
      </w:r>
      <w:r>
        <w:rPr>
          <w:rFonts w:ascii="Arial" w:cs="Arial" w:eastAsia="Arial" w:hAnsi="Arial"/>
          <w:sz w:val="16"/>
          <w:szCs w:val="16"/>
          <w:color w:val="auto"/>
        </w:rPr>
        <w:t xml:space="preserve"> </w:t>
      </w:r>
      <w:r>
        <w:rPr>
          <w:rFonts w:ascii="Arial" w:cs="Arial" w:eastAsia="Arial" w:hAnsi="Arial"/>
          <w:sz w:val="16"/>
          <w:szCs w:val="16"/>
          <w:i w:val="1"/>
          <w:iCs w:val="1"/>
          <w:color w:val="auto"/>
        </w:rPr>
        <w:t>Corrections, a replacement of APB Opinion No. 20 and FASB Statement No. 3</w:t>
      </w:r>
      <w:r>
        <w:rPr>
          <w:rFonts w:ascii="Arial" w:cs="Arial" w:eastAsia="Arial" w:hAnsi="Arial"/>
          <w:sz w:val="16"/>
          <w:szCs w:val="16"/>
          <w:color w:val="auto"/>
        </w:rPr>
        <w:t>,” which become effective as of January 1, 2006, a change in depreciation method is</w:t>
      </w:r>
      <w:r>
        <w:rPr>
          <w:rFonts w:ascii="Arial" w:cs="Arial" w:eastAsia="Arial" w:hAnsi="Arial"/>
          <w:sz w:val="16"/>
          <w:szCs w:val="16"/>
          <w:i w:val="1"/>
          <w:iCs w:val="1"/>
          <w:color w:val="auto"/>
        </w:rPr>
        <w:t xml:space="preserve"> </w:t>
      </w:r>
      <w:r>
        <w:rPr>
          <w:rFonts w:ascii="Arial" w:cs="Arial" w:eastAsia="Arial" w:hAnsi="Arial"/>
          <w:sz w:val="16"/>
          <w:szCs w:val="16"/>
          <w:color w:val="auto"/>
        </w:rPr>
        <w:t>treated as a change in estimate. The effect of the change in depreciation method will be reflected on a prospective basis beginning January 1, 2006, and prior period results will not be restated. As the results of our study indicated that the current estimated useful lives of our assets were appropriate, the depreciable lives of property, plant and equipment assets will not be changed. We believe that the change from the 150 percent declining-balance depreciation method to the straight-line method will better reflect the pattern of consumption of the future benefits to be derived from those assets being depreciated and will provide a better matching of costs and revenues over the assets’ estimated useful lives.</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All investments in equity and debt securities are classified as available-for-sale except for investments in certain mutual funds (described below) that are held to offset deferred compensation liabilities. Equity investments held at December 31, 2005 and 2004, include publicly traded marketable securities and private investments, which are generally non-marketable. Investments in marketable equity and debt securities are stated at fair value, which is based on market quotes where available or estimates by investment advisors or management, as appropriate. Adjustments to fair value of these investments are recorded as an increase or decrease in the accumulated other comprehensive income section of stockholders’ equity except where losses are considered to be other than temporary, in which case the losses are recorded as expenses in other income (expense) net. Marketable securities are considered other-than-temporarily impaired if they have traded below cost basis for more than six months.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Investments in non-marketable equity securities, primarily comprised of investments in early stage development companies and various venture capital funds, are stated at historical cost and are subject to a periodic impairment review. Any impairment considered other than temporary is recorded in other income (expense) net. Cost or amortized cost, as appropriate, is determined on a specific identification basis.</w:t>
      </w:r>
    </w:p>
    <w:p>
      <w:pPr>
        <w:spacing w:after="0" w:line="14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 xml:space="preserve">Investments in certain mutual funds are classified as trading and are stated at fair value. These mutual funds hold a variety of debt and equity investments and are intended to generate returns that offset changes in certain liabilities related to deferred compensation arrangements, thus are classified as a long-term investment. Adjustments to fair value of both the mutual funds and the related deferred compensation liabilities are recorded in SG&amp;A expense (see Note 14 for a discussion of </w:t>
      </w:r>
      <w:r>
        <w:rPr>
          <w:rFonts w:ascii="Arial" w:cs="Arial" w:eastAsia="Arial" w:hAnsi="Arial"/>
          <w:sz w:val="18"/>
          <w:szCs w:val="18"/>
          <w:i w:val="1"/>
          <w:iCs w:val="1"/>
          <w:color w:val="auto"/>
        </w:rPr>
        <w:t>Deferred Compensation Arrangements</w:t>
      </w:r>
      <w:r>
        <w:rPr>
          <w:rFonts w:ascii="Arial" w:cs="Arial" w:eastAsia="Arial" w:hAnsi="Arial"/>
          <w:sz w:val="18"/>
          <w:szCs w:val="18"/>
          <w:color w:val="auto"/>
        </w:rPr>
        <w:t>).</w:t>
      </w:r>
    </w:p>
    <w:p>
      <w:pPr>
        <w:spacing w:after="0" w:line="14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u w:val="single" w:color="auto"/>
          <w:color w:val="auto"/>
        </w:rPr>
        <w:t>Goodwill and Intangible Assets</w:t>
      </w:r>
      <w:r>
        <w:rPr>
          <w:rFonts w:ascii="Arial" w:cs="Arial" w:eastAsia="Arial" w:hAnsi="Arial"/>
          <w:sz w:val="18"/>
          <w:szCs w:val="18"/>
          <w:color w:val="auto"/>
        </w:rPr>
        <w:t>: Goodwill is not amortized but is reviewed for impairment annually, or more frequently if certain indicators arise. We complete our annual goodwill impairment tests as of October 1 of each year for all our business segments, which have been designated as reporting units based on an analysis of economic characteristics and how we operate the business. This annual test is performed by comparing the fair value for each reporting unit to its associated book value including goodwill. For each of the periods presented, the fair value exceeded the carrying value including goodwill, therefore no impairment was indicated.</w:t>
      </w:r>
    </w:p>
    <w:p>
      <w:pPr>
        <w:spacing w:after="0" w:line="143"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Intangible assets are amortized on a straight-line basis over their estimated lives. Fully amortized intangible assets are written off against accumulated amortization.</w:t>
      </w:r>
    </w:p>
    <w:p>
      <w:pPr>
        <w:spacing w:after="0" w:line="13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u w:val="single" w:color="auto"/>
          <w:color w:val="auto"/>
        </w:rPr>
        <w:t>Changes in Accounting Standards</w:t>
      </w:r>
      <w:r>
        <w:rPr>
          <w:rFonts w:ascii="Arial" w:cs="Arial" w:eastAsia="Arial" w:hAnsi="Arial"/>
          <w:sz w:val="16"/>
          <w:szCs w:val="16"/>
          <w:color w:val="auto"/>
        </w:rPr>
        <w:t xml:space="preserve">: In December 2004, the FASB issued SFAS No. 151, </w:t>
      </w:r>
      <w:r>
        <w:rPr>
          <w:rFonts w:ascii="Arial" w:cs="Arial" w:eastAsia="Arial" w:hAnsi="Arial"/>
          <w:sz w:val="16"/>
          <w:szCs w:val="16"/>
          <w:i w:val="1"/>
          <w:iCs w:val="1"/>
          <w:color w:val="auto"/>
        </w:rPr>
        <w:t>“Inventory Costs, an amendment of ARB No. 43, Chapter 4,”</w:t>
      </w:r>
      <w:r>
        <w:rPr>
          <w:rFonts w:ascii="Arial" w:cs="Arial" w:eastAsia="Arial" w:hAnsi="Arial"/>
          <w:sz w:val="16"/>
          <w:szCs w:val="16"/>
          <w:color w:val="auto"/>
        </w:rPr>
        <w:t xml:space="preserve"> which will become effective for us beginning January 1, 2006. This standard clarifies that abnormal amounts of idle facility expense, freight, handling costs and wasted material should be expensed as incurred and not included in inventory. In addition, this standard requires that the allocation of fixed production overhead costs to inventory be based on the normal capacity of the production facilities. We have completed the evaluation of the impact of this standard on our financial position and results of operations, and have concluded that the impact of the change will not be material, as the normal capacity rate to be used is not materially different from the optimal capacity rate that we previously used.</w:t>
      </w:r>
    </w:p>
    <w:p>
      <w:pPr>
        <w:sectPr>
          <w:pgSz w:w="11900" w:h="16838" w:orient="portrait"/>
          <w:cols w:equalWidth="0" w:num="1">
            <w:col w:w="11400"/>
          </w:cols>
          <w:pgMar w:left="240" w:top="280" w:right="259" w:bottom="1440" w:gutter="0" w:footer="0" w:header="0"/>
        </w:sectPr>
      </w:pPr>
    </w:p>
    <w:bookmarkStart w:id="37" w:name="page38"/>
    <w:bookmarkEnd w:id="37"/>
    <w:p>
      <w:pPr>
        <w:ind w:left="7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6"/>
          <w:szCs w:val="16"/>
          <w:b w:val="1"/>
          <w:bCs w:val="1"/>
          <w:color w:val="auto"/>
        </w:rPr>
        <w:t>17</w:t>
      </w:r>
    </w:p>
    <w:p>
      <w:pPr>
        <w:spacing w:after="0" w:line="1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May 2005, the FASB issued SFAS No. 154, “</w:t>
      </w:r>
      <w:r>
        <w:rPr>
          <w:rFonts w:ascii="Arial" w:cs="Arial" w:eastAsia="Arial" w:hAnsi="Arial"/>
          <w:sz w:val="16"/>
          <w:szCs w:val="16"/>
          <w:i w:val="1"/>
          <w:iCs w:val="1"/>
          <w:color w:val="auto"/>
        </w:rPr>
        <w:t>Accounting Changes and Error Corrections, a replacement of APB Opinion No. 20 and FASB Statement No. 3</w:t>
      </w:r>
      <w:r>
        <w:rPr>
          <w:rFonts w:ascii="Arial" w:cs="Arial" w:eastAsia="Arial" w:hAnsi="Arial"/>
          <w:sz w:val="16"/>
          <w:szCs w:val="16"/>
          <w:color w:val="auto"/>
        </w:rPr>
        <w:t>.” This standard provides guidance on the accounting for and reporting of accounting changes and error corrections and will be effective for us beginning January 1, 2006. This standard applies to voluntary changes in existing accounting principles and to new accounting standards that do not specify the transition requirements upon adoption of those standards. Except for changes in depreciation methods, this standard will require retrospective application of the new accounting principle to previous periods reported rather than presenting the cumulative effect of the change as of the beginning of the period of the change. Changes in depreciation methods will be applied on a prospective basis, meaning the effects of the change will be reflected only in current and future periods. Corrections of errors will be reported by restating previously issued financial statements. As mentioned above, we will change our method of depreciation on a prospective basis effective January 1, 2006.</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2005, the FASB issued FASB Interpretation No. 47, “</w:t>
      </w:r>
      <w:r>
        <w:rPr>
          <w:rFonts w:ascii="Arial" w:cs="Arial" w:eastAsia="Arial" w:hAnsi="Arial"/>
          <w:sz w:val="18"/>
          <w:szCs w:val="18"/>
          <w:i w:val="1"/>
          <w:iCs w:val="1"/>
          <w:color w:val="auto"/>
        </w:rPr>
        <w:t>Accounting for Conditional Asset Retirement Obligations – An Interpretation of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No. 143</w:t>
      </w:r>
      <w:r>
        <w:rPr>
          <w:rFonts w:ascii="Arial" w:cs="Arial" w:eastAsia="Arial" w:hAnsi="Arial"/>
          <w:sz w:val="18"/>
          <w:szCs w:val="18"/>
          <w:color w:val="auto"/>
        </w:rPr>
        <w:t>”, which is effective for us as of December 31, 2005. This interpretation provides additional guidance as to when companies should record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a liability for a conditional asset retirement obligation when there is uncertainty about the timing or method of settlement of the obligation. We have completed the evaluation of the impact of this standard on our financial position and results of operations, and have determined that the impact of the change was not material.</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November 2005, the FASB issued FASB Staff Position (FSP) Nos. FAS 115-1 and FAS 124-1, “</w:t>
      </w:r>
      <w:r>
        <w:rPr>
          <w:rFonts w:ascii="Arial" w:cs="Arial" w:eastAsia="Arial" w:hAnsi="Arial"/>
          <w:sz w:val="16"/>
          <w:szCs w:val="16"/>
          <w:i w:val="1"/>
          <w:iCs w:val="1"/>
          <w:color w:val="auto"/>
        </w:rPr>
        <w:t>The Meaning of Other-Than-Temporary Impairment and Its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Application to Certain Investments,” </w:t>
      </w:r>
      <w:r>
        <w:rPr>
          <w:rFonts w:ascii="Arial" w:cs="Arial" w:eastAsia="Arial" w:hAnsi="Arial"/>
          <w:sz w:val="16"/>
          <w:szCs w:val="16"/>
          <w:color w:val="auto"/>
        </w:rPr>
        <w:t>(FSP 115-1 and 124-1), which address the determination as to when an investment is considered impaired, whether that</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is other than temporary and the measurement of an impairment loss. FSP 115-1 and 124-1 also include accounting considerations subsequent to the recognition of an other-than-temporary impairment and require certain disclosures about unrealized losses that have not been recognized as other-than-temporary impairments. These FSPs will be effective for us beginning January 1, 2006. We are currently evaluating the potential impact these standards may have on our financial position and results of operations, but do not believe the impact will be material.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Cash Equivalents and Short-term Investments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generally invest cash in highly liquid debt securities that are classified as available for sale and are reflected in the balance sheet based on their maturity dates. Investments with serial maturities are allocated to their asset classification based on their individual expected average lives. Investments in debt securities with original maturities of three months or less are considered to be cash equivalents. We consider investments in debt securities with remaining maturities or average lives beyond three months as being available for use in current operations as needed and, as a result, include those investments in short-term investments. All of these investments in debt securities are stated at fair value. We also invest in auction rate securities. These securities have long-term underlying maturities; however, the market is highly liquid and the securities are re-auctioned periodically, generally every seven, 28 or 35 days. Our intent is not to hold these securities to maturity, but rather to use the frequent auction feature to sell securities to provide liquidity as needed. Our practice is to invest in these securities for higher yields compared to those available on cash equivalents.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87"/>
              </w:rPr>
              <w:t>December 31, 2005</w:t>
            </w:r>
          </w:p>
        </w:tc>
        <w:tc>
          <w:tcPr>
            <w:tcW w:w="4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87"/>
              </w:rPr>
              <w:t>December 31, 2004</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7"/>
              </w:rPr>
              <w:t>Cash &amp; Cash</w:t>
            </w:r>
          </w:p>
        </w:tc>
        <w:tc>
          <w:tcPr>
            <w:tcW w:w="4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89"/>
              </w:rPr>
              <w:t>Short-term</w:t>
            </w:r>
          </w:p>
        </w:tc>
        <w:tc>
          <w:tcPr>
            <w:tcW w:w="50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Cash &amp; Cash</w:t>
            </w:r>
          </w:p>
        </w:tc>
        <w:tc>
          <w:tcPr>
            <w:tcW w:w="2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Short-term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Cash Investments</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Equivalents</w:t>
            </w:r>
          </w:p>
        </w:tc>
        <w:tc>
          <w:tcPr>
            <w:tcW w:w="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Equivalents</w:t>
            </w:r>
          </w:p>
        </w:tc>
        <w:tc>
          <w:tcPr>
            <w:tcW w:w="2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5"/>
              </w:rPr>
              <w:t>Investments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107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509</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Asset-backed fixed income securities</w:t>
            </w:r>
          </w:p>
        </w:tc>
        <w:tc>
          <w:tcPr>
            <w:tcW w:w="22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b w:val="1"/>
                <w:bCs w:val="1"/>
                <w:color w:val="auto"/>
                <w:w w:val="86"/>
              </w:rPr>
              <w:t>252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4"/>
              </w:rPr>
              <w:t>1,121</w:t>
            </w:r>
          </w:p>
        </w:tc>
        <w:tc>
          <w:tcPr>
            <w:tcW w:w="24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1,680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funds with constant net asset values</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86"/>
              </w:rPr>
              <w:t>468</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84</w:t>
            </w:r>
          </w:p>
        </w:tc>
        <w:tc>
          <w:tcPr>
            <w:tcW w:w="24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Tax-exempt/municipal securities</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Auction rate securities</w:t>
            </w:r>
          </w:p>
        </w:tc>
        <w:tc>
          <w:tcPr>
            <w:tcW w:w="22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4"/>
              </w:rPr>
              <w:t>2,191</w:t>
            </w:r>
          </w:p>
        </w:tc>
        <w:tc>
          <w:tcPr>
            <w:tcW w:w="24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Variable rate demand notes</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595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Tax-exempt commercial paper</w:t>
            </w:r>
          </w:p>
        </w:tc>
        <w:tc>
          <w:tcPr>
            <w:tcW w:w="22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b w:val="1"/>
                <w:bCs w:val="1"/>
                <w:color w:val="auto"/>
                <w:w w:val="86"/>
              </w:rPr>
              <w:t>202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18</w:t>
            </w:r>
          </w:p>
        </w:tc>
        <w:tc>
          <w:tcPr>
            <w:tcW w:w="24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on hand</w:t>
            </w: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236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241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1,219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4"/>
              </w:rPr>
              <w:t>4,116</w:t>
            </w:r>
          </w:p>
        </w:tc>
        <w:tc>
          <w:tcPr>
            <w:tcW w:w="5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2,668</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w w:val="88"/>
              </w:rPr>
              <w:t>3,690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18 </w:t>
      </w:r>
      <w:r>
        <w:rPr>
          <w:rFonts w:ascii="Arial" w:cs="Arial" w:eastAsia="Arial" w:hAnsi="Arial"/>
          <w:sz w:val="18"/>
          <w:szCs w:val="18"/>
          <w:color w:val="auto"/>
        </w:rPr>
        <w:t>TEXAS INSTRUMENTS 2005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or average lives of cash equivalents and short-term investments at year-end 2005:</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Due</w:t>
            </w:r>
          </w:p>
        </w:tc>
        <w:tc>
          <w:tcPr>
            <w:tcW w:w="8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Market Value</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1,454</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One to three years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903</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Three to ten years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r>
      <w:tr>
        <w:trPr>
          <w:trHeight w:val="228"/>
        </w:trPr>
        <w:tc>
          <w:tcPr>
            <w:tcW w:w="7960" w:type="dxa"/>
            <w:vAlign w:val="bottom"/>
          </w:tcPr>
          <w:p>
            <w:pPr>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2,666</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  Maturities over 10 years are primarily auction rate securities.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Unrealized holding gains for these securities were zero at the end of 2005, and $1 million and $9 million at the end of 2004 and 2003. Unrealized holding losses for these securities were $25 million, $27 million and $18 million at the end of 2005, 2004 and 2003. Proceeds from sales of these securities before their maturity were $4.18 billion, $1.95 billion and $3.03 billion in 2005, 2004 and 2003, respectively. Gross realized gains and losses from the sales of these securities were immaterial for all periods presented.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right"/>
              <w:ind w:right="2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parts</w:t>
            </w:r>
          </w:p>
        </w:tc>
        <w:tc>
          <w:tcPr>
            <w:tcW w:w="10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Work in process</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827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1,273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1,256</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Plant and Equipment at Cost</w:t>
            </w: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75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Depreciable Lives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bottom w:val="single" w:sz="8" w:color="auto"/>
            </w:tcBorders>
            <w:gridSpan w:val="3"/>
          </w:tcPr>
          <w:p>
            <w:pPr>
              <w:jc w:val="right"/>
              <w:ind w:right="41"/>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5-40 years</w:t>
            </w:r>
          </w:p>
        </w:tc>
        <w:tc>
          <w:tcPr>
            <w:tcW w:w="98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3,054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3-10 years</w:t>
            </w:r>
          </w:p>
        </w:tc>
        <w:tc>
          <w:tcPr>
            <w:tcW w:w="9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5,783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6,685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8,921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9,573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Authorizations for property, plant and equipment expenditures in future years were $674 million at December 31, 2005.</w:t>
      </w:r>
    </w:p>
    <w:p>
      <w:pPr>
        <w:sectPr>
          <w:pgSz w:w="11900" w:h="16838" w:orient="portrait"/>
          <w:cols w:equalWidth="0" w:num="1">
            <w:col w:w="11360"/>
          </w:cols>
          <w:pgMar w:left="240" w:top="274" w:right="2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and Debt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Following is information on the investments at December 31, 2005 and 2004: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Cost</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3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2005</w:t>
            </w:r>
          </w:p>
        </w:tc>
        <w:tc>
          <w:tcPr>
            <w:tcW w:w="3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Equity investments: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Marketable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b w:val="1"/>
                <w:bCs w:val="1"/>
                <w:color w:val="auto"/>
              </w:rPr>
              <w:t>Non-marketable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8"/>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Mutual funds and other</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235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2004</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Equity investments: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Non-marketable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Mutual funds and other</w:t>
            </w:r>
          </w:p>
        </w:tc>
        <w:tc>
          <w:tcPr>
            <w:tcW w:w="3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investment in a convertible debt instrument was sold in 2005.</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Proceeds from sales of equity and debt investments were $53 million in 2005, $32 million in 2004 and $778 million in 2003. There were $13 million, $12 million and $213 million of gross realized gains and $3 million, zero and zero of gross realized losses from sales of these investments in 2005, 2004 and 2003, respectively. Other-than-temporary declines and impairments in the values of available-for-sale investments recognized in the income statement were $8 million, $13 million and $42 million in 2005, 2004 and 2003.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Acquisition-related Intangibles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Amortization Period</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Goodwill – net</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Not amortized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Acquisition-related intangibles – net:</w:t>
            </w: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Developed technology</w:t>
            </w:r>
          </w:p>
        </w:tc>
        <w:tc>
          <w:tcPr>
            <w:tcW w:w="14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3–10 years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Other intangibles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2–10 years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Goodwill is reviewed for impairment annually, or more frequently if certain indicators arise. No impairment indicators arose during 2005, 2004 or 2003. The goodwill balances shown are net of total accumulated amortization of $230 million at year-end 2005 and 2004.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December 31, 2005 and 2004, by business segment, were: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3"/>
              </w:rPr>
              <w:t>Sensors &amp;</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Semiconductor</w:t>
            </w:r>
          </w:p>
        </w:tc>
        <w:tc>
          <w:tcPr>
            <w:tcW w:w="46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Controls</w:t>
            </w:r>
          </w:p>
        </w:tc>
        <w:tc>
          <w:tcPr>
            <w:tcW w:w="460" w:type="dxa"/>
            <w:vAlign w:val="bottom"/>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E&amp;PS</w:t>
            </w:r>
          </w:p>
        </w:tc>
        <w:tc>
          <w:tcPr>
            <w:tcW w:w="460" w:type="dxa"/>
            <w:vAlign w:val="bottom"/>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76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677</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5"/>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Goodwill acquired</w:t>
            </w:r>
          </w:p>
        </w:tc>
        <w:tc>
          <w:tcPr>
            <w:tcW w:w="2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2005</w:t>
            </w:r>
          </w:p>
        </w:tc>
        <w:tc>
          <w:tcPr>
            <w:tcW w:w="2760" w:type="dxa"/>
            <w:vAlign w:val="bottom"/>
            <w:gridSpan w:val="2"/>
            <w:shd w:val="clear" w:color="auto" w:fill="CCEEFF"/>
          </w:tcPr>
          <w:p>
            <w:pPr>
              <w:ind w:left="24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677</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36</w:t>
            </w: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w w:val="85"/>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713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40" w:name="page41"/>
    <w:bookmarkEnd w:id="40"/>
    <w:p>
      <w:pPr>
        <w:ind w:left="280" w:hanging="272"/>
        <w:spacing w:after="0"/>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components of acquisition-related intangible assets, excluding goodwill, that are subject to amortization: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0"/>
              </w:rPr>
              <w:t>December 31, 2005</w:t>
            </w:r>
          </w:p>
        </w:tc>
        <w:tc>
          <w:tcPr>
            <w:tcW w:w="3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8"/>
              </w:rPr>
              <w:t>December 31, 2004</w:t>
            </w: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78"/>
              </w:rPr>
              <w:t>Gross</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6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Carrying</w:t>
            </w:r>
          </w:p>
        </w:tc>
        <w:tc>
          <w:tcPr>
            <w:tcW w:w="5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Accumulated</w:t>
            </w:r>
          </w:p>
        </w:tc>
        <w:tc>
          <w:tcPr>
            <w:tcW w:w="0" w:type="dxa"/>
            <w:vAlign w:val="bottom"/>
          </w:tcPr>
          <w:p>
            <w:pPr>
              <w:spacing w:after="0"/>
              <w:rPr>
                <w:sz w:val="1"/>
                <w:szCs w:val="1"/>
                <w:color w:val="auto"/>
              </w:rPr>
            </w:pPr>
          </w:p>
        </w:tc>
      </w:tr>
      <w:tr>
        <w:trPr>
          <w:trHeight w:val="161"/>
        </w:trPr>
        <w:tc>
          <w:tcPr>
            <w:tcW w:w="7080" w:type="dxa"/>
            <w:vAlign w:val="bottom"/>
            <w:gridSpan w:val="3"/>
          </w:tcPr>
          <w:p>
            <w:pPr>
              <w:spacing w:after="0"/>
              <w:rPr>
                <w:sz w:val="20"/>
                <w:szCs w:val="20"/>
                <w:color w:val="auto"/>
              </w:rPr>
            </w:pPr>
            <w:r>
              <w:rPr>
                <w:rFonts w:ascii="Arial" w:cs="Arial" w:eastAsia="Arial" w:hAnsi="Arial"/>
                <w:sz w:val="14"/>
                <w:szCs w:val="14"/>
                <w:b w:val="1"/>
                <w:bCs w:val="1"/>
                <w:color w:val="auto"/>
              </w:rPr>
              <w:t>Amortized Intangible Assets</w:t>
            </w:r>
          </w:p>
        </w:tc>
        <w:tc>
          <w:tcPr>
            <w:tcW w:w="11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0"/>
              </w:rPr>
              <w:t>Amount</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Developed and core technology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Trademarks and patents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239</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318</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Amortization of acquisition-related intangibles and deferred compensation (including unearned compensation, a contra-stockholders’ equity account) was $56 million, $70 million and $99 million for 2005, 2004 and 2003, primarily related to developed technology. Fully amortized assets are written off against accumulated amortization.</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sets forth the estimated amortization of acquisition-related intangibles and deferred compensation (including unearned compensation, a contra-stockholders’ equity account) for the years ended December 31:</w:t>
      </w:r>
    </w:p>
    <w:p>
      <w:pPr>
        <w:spacing w:after="0" w:line="18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460" w:type="dxa"/>
            <w:vAlign w:val="bottom"/>
            <w:shd w:val="clear" w:color="auto" w:fill="CCEEFF"/>
          </w:tcPr>
          <w:p>
            <w:pPr>
              <w:jc w:val="right"/>
              <w:ind w:right="3032"/>
              <w:spacing w:after="0"/>
              <w:rPr>
                <w:sz w:val="20"/>
                <w:szCs w:val="20"/>
                <w:color w:val="auto"/>
              </w:rPr>
            </w:pPr>
            <w:r>
              <w:rPr>
                <w:rFonts w:ascii="Arial" w:cs="Arial" w:eastAsia="Arial" w:hAnsi="Arial"/>
                <w:sz w:val="18"/>
                <w:szCs w:val="18"/>
                <w:color w:val="auto"/>
                <w:w w:val="79"/>
              </w:rPr>
              <w:t>2006</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460" w:type="dxa"/>
            <w:vAlign w:val="bottom"/>
          </w:tcPr>
          <w:p>
            <w:pPr>
              <w:jc w:val="right"/>
              <w:ind w:right="3032"/>
              <w:spacing w:after="0"/>
              <w:rPr>
                <w:sz w:val="20"/>
                <w:szCs w:val="20"/>
                <w:color w:val="auto"/>
              </w:rPr>
            </w:pPr>
            <w:r>
              <w:rPr>
                <w:rFonts w:ascii="Arial" w:cs="Arial" w:eastAsia="Arial" w:hAnsi="Arial"/>
                <w:sz w:val="18"/>
                <w:szCs w:val="18"/>
                <w:color w:val="auto"/>
                <w:w w:val="79"/>
              </w:rPr>
              <w:t>2007</w:t>
            </w:r>
          </w:p>
        </w:tc>
        <w:tc>
          <w:tcPr>
            <w:tcW w:w="3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60" w:type="dxa"/>
            <w:vAlign w:val="bottom"/>
            <w:shd w:val="clear" w:color="auto" w:fill="CCEEFF"/>
          </w:tcPr>
          <w:p>
            <w:pPr>
              <w:jc w:val="right"/>
              <w:ind w:right="3032"/>
              <w:spacing w:after="0"/>
              <w:rPr>
                <w:sz w:val="20"/>
                <w:szCs w:val="20"/>
                <w:color w:val="auto"/>
              </w:rPr>
            </w:pPr>
            <w:r>
              <w:rPr>
                <w:rFonts w:ascii="Arial" w:cs="Arial" w:eastAsia="Arial" w:hAnsi="Arial"/>
                <w:sz w:val="18"/>
                <w:szCs w:val="18"/>
                <w:color w:val="auto"/>
                <w:w w:val="79"/>
              </w:rPr>
              <w:t>2008</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3460" w:type="dxa"/>
            <w:vAlign w:val="bottom"/>
          </w:tcPr>
          <w:p>
            <w:pPr>
              <w:jc w:val="right"/>
              <w:ind w:right="3032"/>
              <w:spacing w:after="0"/>
              <w:rPr>
                <w:sz w:val="20"/>
                <w:szCs w:val="20"/>
                <w:color w:val="auto"/>
              </w:rPr>
            </w:pPr>
            <w:r>
              <w:rPr>
                <w:rFonts w:ascii="Arial" w:cs="Arial" w:eastAsia="Arial" w:hAnsi="Arial"/>
                <w:sz w:val="18"/>
                <w:szCs w:val="18"/>
                <w:color w:val="auto"/>
                <w:w w:val="79"/>
              </w:rPr>
              <w:t>2009</w:t>
            </w:r>
          </w:p>
        </w:tc>
        <w:tc>
          <w:tcPr>
            <w:tcW w:w="33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Liabilities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wages and vacation pay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$ 364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Customer incentive programs and allowances</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other non-income taxes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Other accrued expenses and liabilities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3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$ 998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$ 892</w:t>
            </w: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Debt and Lines of Credit</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93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Long-term Debt</w:t>
            </w:r>
          </w:p>
        </w:tc>
        <w:tc>
          <w:tcPr>
            <w:tcW w:w="380" w:type="dxa"/>
            <w:vAlign w:val="bottom"/>
            <w:vMerge w:val="restart"/>
          </w:tcPr>
          <w:p>
            <w:pPr>
              <w:spacing w:after="0"/>
              <w:rPr>
                <w:sz w:val="24"/>
                <w:szCs w:val="24"/>
                <w:color w:val="auto"/>
              </w:rPr>
            </w:pPr>
          </w:p>
        </w:tc>
        <w:tc>
          <w:tcPr>
            <w:tcW w:w="118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020" w:type="dxa"/>
            <w:vAlign w:val="bottom"/>
            <w:tcBorders>
              <w:bottom w:val="single" w:sz="8" w:color="auto"/>
            </w:tcBorders>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 notes with various rates, due in 2005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6.125% notes due 2006</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8.75% notes due 2007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Variable-rate bank notes due 2008/2010</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3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Less current portion long-term debt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3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$ 360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1996, the coupon rates for the notes due 2006 were swapped for LIBOR-based variable rates through 2006, for an effective interest rate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3.61% and 1.52% as of December 31, 2005 and 2004. In 2001, the coupon rates for the notes due 2007 were swapped for LIBOR-based variable rates through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 for an effective interest</w:t>
      </w:r>
    </w:p>
    <w:p>
      <w:pPr>
        <w:sectPr>
          <w:pgSz w:w="11900" w:h="16838" w:orient="portrait"/>
          <w:cols w:equalWidth="0" w:num="1">
            <w:col w:w="11420"/>
          </w:cols>
          <w:pgMar w:left="240" w:top="280" w:right="239" w:bottom="1440" w:gutter="0" w:footer="0" w:header="0"/>
        </w:sectPr>
      </w:pPr>
    </w:p>
    <w:bookmarkStart w:id="41" w:name="page42"/>
    <w:bookmarkEnd w:id="41"/>
    <w:p>
      <w:pPr>
        <w:ind w:left="7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6"/>
          <w:szCs w:val="16"/>
          <w:b w:val="1"/>
          <w:bCs w:val="1"/>
          <w:color w:val="auto"/>
        </w:rPr>
        <w:t>21</w:t>
      </w:r>
    </w:p>
    <w:p>
      <w:pPr>
        <w:spacing w:after="0" w:line="18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rate of approximately 8.27% and 6.30% as of December 31, 2005 and 2004. The effect of these interest rate swaps was to reduce interest expense by $11 million, $19 million and $20 million in 2005, 2004 and 2003.</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November 2005, in connection with the repatriation of non-U.S. earnings under provisions of the American Jobs Creation Act of 2004 (AJCA), our Japan subsidiary entered into a syndicated credit agreement with a consortium of banks to borrow $275 million at a LIBOR-based variable rate. A portion of this debt is due in 2008 and the remainder in 2010. Additionally, in conjunction with the borrowing, the Japan subsidiary entered into a revolving credit facility for $175 million that would also carry a variable rate of interest, if drawn. At December 31, 2005, the applicable interest rate on the $275 million term note was 4.64% and the revolving credit facility remained undrawn.</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Interest incurred on loans in 2005, 2004 and 2003 was $14 million, $24 million and $41 million. Of these amounts, $5 million in 2005, $3 million in 2004 and $2 million in 2003 were capitalized as a component of capital asset construction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long-term debt due during the years subsequent to December 31, 2005, are as follows: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Maturity of Long-term Debt</w:t>
      </w:r>
    </w:p>
    <w:tbl>
      <w:tblPr>
        <w:tblLayout w:type="fixed"/>
        <w:tblInd w:w="920" w:type="dxa"/>
        <w:tblCellMar>
          <w:top w:w="0" w:type="dxa"/>
          <w:left w:w="0" w:type="dxa"/>
          <w:bottom w:w="0" w:type="dxa"/>
          <w:right w:w="0" w:type="dxa"/>
        </w:tblCellMar>
      </w:tblPr>
      <w:tr>
        <w:trPr>
          <w:trHeight w:val="223"/>
        </w:trPr>
        <w:tc>
          <w:tcPr>
            <w:tcW w:w="9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$301</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2007</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2009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2011 and thereafter</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Aggregate maturities of long-term debt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661</w:t>
            </w:r>
          </w:p>
        </w:tc>
      </w:tr>
      <w:tr>
        <w:trPr>
          <w:trHeight w:val="20"/>
        </w:trPr>
        <w:tc>
          <w:tcPr>
            <w:tcW w:w="9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also maintain lines of credit to support commercial paper borrowings and to provide additional liquidity through short-term bank loans. These lines of credit totaled $500 million at December 31, 2005 and 2004, but were not utilized in either year.</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The capital lease obligation is for a 20-year lease agreement of a new facility at the Attleboro, Massachusetts, headquarters of the Sensors &amp; Controls segment (see Note 19 for a discussion of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 and Risk Concentration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Instruments</w:t>
      </w:r>
      <w:r>
        <w:rPr>
          <w:rFonts w:ascii="Arial" w:cs="Arial" w:eastAsia="Arial" w:hAnsi="Arial"/>
          <w:sz w:val="16"/>
          <w:szCs w:val="16"/>
          <w:color w:val="auto"/>
        </w:rPr>
        <w:t>: The carrying amounts and related estimated fair values of our significant financial instruments at December 31, 2005 and 2004,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December 31, 2005</w:t>
            </w:r>
          </w:p>
        </w:tc>
        <w:tc>
          <w:tcPr>
            <w:tcW w:w="14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5"/>
              </w:rPr>
              <w:t>December 31, 2004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0"/>
              </w:rPr>
              <w:t>Carrying</w:t>
            </w: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0"/>
              </w:rPr>
              <w:t>Carrying</w:t>
            </w:r>
          </w:p>
        </w:tc>
        <w:tc>
          <w:tcPr>
            <w:tcW w:w="42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280" w:type="dxa"/>
            <w:vAlign w:val="bottom"/>
            <w:gridSpan w:val="4"/>
          </w:tcPr>
          <w:p>
            <w:pPr>
              <w:spacing w:after="0"/>
              <w:rPr>
                <w:sz w:val="20"/>
                <w:szCs w:val="20"/>
                <w:color w:val="auto"/>
              </w:rPr>
            </w:pPr>
            <w:r>
              <w:rPr>
                <w:rFonts w:ascii="Arial" w:cs="Arial" w:eastAsia="Arial" w:hAnsi="Arial"/>
                <w:sz w:val="14"/>
                <w:szCs w:val="14"/>
                <w:b w:val="1"/>
                <w:bCs w:val="1"/>
                <w:color w:val="auto"/>
              </w:rPr>
              <w:t>Assets/(liabilities)</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Value</w:t>
            </w: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(a)</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3"/>
              </w:rPr>
              <w:t>$  (661)</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8"/>
              </w:rPr>
              <w:t>$(665)</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  (379)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Forward purchase contract (b)</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 (c)</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Fair value of long-term debt was based primarily on the net present value of the expected cash flows using current market interest rates.</w:t>
      </w:r>
    </w:p>
    <w:p>
      <w:pPr>
        <w:spacing w:after="0" w:line="15"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We use a forward purchase contract for shares of TI common stock to minimize the adverse earnings impact from the effect of stock market value fluctuations on the portion of our deferred compensation obligations denominated in TI stock. Fair value was based on current quoted market prices of TI common stock (see Note 14 for a discussion of </w:t>
      </w:r>
      <w:r>
        <w:rPr>
          <w:rFonts w:ascii="Arial" w:cs="Arial" w:eastAsia="Arial" w:hAnsi="Arial"/>
          <w:sz w:val="18"/>
          <w:szCs w:val="18"/>
          <w:i w:val="1"/>
          <w:iCs w:val="1"/>
          <w:color w:val="auto"/>
        </w:rPr>
        <w:t>Deferred Compensation Arrangements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60" w:right="280" w:hanging="452"/>
        <w:spacing w:after="0" w:line="361"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use interest rate swaps on long-term debt to change the characteristics of the interest rate payments from fixed rates to short-term variable rates. Fair value was based on the net present value of the expected cash flows using current market interest rates and represents current market settlement values.</w:t>
      </w:r>
    </w:p>
    <w:p>
      <w:pPr>
        <w:spacing w:after="0" w:line="6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other derivative financial instruments such as investment warrants and forward currency exchange contracts, the carrying value and fair values of which were not significant as of December 31, 2005 or 2004. We had forward currency exchange contracts outstanding at December 31, 2005, with a face value of $191 million to hedge net balance sheet exposures (including $67 million to sell euros, $41 million to sell Japanese yen and $17 million to buy Korean won). At December 31, 2004, we had forward currency exchange contracts outstanding with a face value of $270 million to</w:t>
      </w:r>
    </w:p>
    <w:p>
      <w:pPr>
        <w:sectPr>
          <w:pgSz w:w="11900" w:h="16838" w:orient="portrait"/>
          <w:cols w:equalWidth="0" w:num="1">
            <w:col w:w="11420"/>
          </w:cols>
          <w:pgMar w:left="240" w:top="274" w:right="239" w:bottom="1440" w:gutter="0" w:footer="0" w:header="0"/>
        </w:sectPr>
      </w:pPr>
    </w:p>
    <w:bookmarkStart w:id="42" w:name="page43"/>
    <w:bookmarkEnd w:id="42"/>
    <w:p>
      <w:pPr>
        <w:ind w:left="280" w:hanging="272"/>
        <w:spacing w:after="0"/>
        <w:tabs>
          <w:tab w:leader="none" w:pos="2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hedge net balance sheet exposures (including $139 million to buy euros, $28 million to buy Taiwan dollars and $28 million to sell Japanese yen).</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Short-term investments are carried at fair value. The carrying values for other current financial assets and liabilities, such as accounts receivable and accounts payable, approximate fair value due to the short maturity of such instruments.</w:t>
      </w:r>
    </w:p>
    <w:p>
      <w:pPr>
        <w:spacing w:after="0" w:line="132"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u w:val="single" w:color="auto"/>
          <w:color w:val="auto"/>
        </w:rPr>
        <w:t>Risk Concentration</w:t>
      </w:r>
      <w:r>
        <w:rPr>
          <w:rFonts w:ascii="Arial" w:cs="Arial" w:eastAsia="Arial" w:hAnsi="Arial"/>
          <w:sz w:val="16"/>
          <w:szCs w:val="16"/>
          <w:color w:val="auto"/>
        </w:rPr>
        <w:t>: Financial instruments that potentially subject us to concentrations of credit risk are primarily cash investments, accounts receivable and equity investments. We place cash investments in investment-grade debt securities and limit the amount of credit exposure to any one issuer.</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order to minimize our exposure to credit risk, we limit counterparties on the forward currency exchange contracts and interest rate swaps to investment-grade-rated financial institutions.</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Concentrations of credit risk with respect to accounts receivable are limited due to the large number of customers in our customer base and their dispersion across different industries and geographic areas. We maintain an allowance for losses based upon the expected collectibility of accounts receivable. These allowances are deducted from accounts receivable in the balance sheets. Details of these allowances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Additions</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Charged to</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6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Recoveries and</w:t>
            </w:r>
          </w:p>
        </w:tc>
        <w:tc>
          <w:tcPr>
            <w:tcW w:w="300" w:type="dxa"/>
            <w:vAlign w:val="bottom"/>
          </w:tcPr>
          <w:p>
            <w:pPr>
              <w:spacing w:after="0"/>
              <w:rPr>
                <w:sz w:val="12"/>
                <w:szCs w:val="12"/>
                <w:color w:val="auto"/>
              </w:rPr>
            </w:pPr>
          </w:p>
        </w:tc>
        <w:tc>
          <w:tcPr>
            <w:tcW w:w="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 Year</w:t>
            </w: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2"/>
              </w:rPr>
              <w:t>Results</w:t>
            </w:r>
          </w:p>
        </w:tc>
        <w:tc>
          <w:tcPr>
            <w:tcW w:w="600" w:type="dxa"/>
            <w:vAlign w:val="bottom"/>
          </w:tcPr>
          <w:p>
            <w:pPr>
              <w:spacing w:after="0"/>
              <w:rPr>
                <w:sz w:val="15"/>
                <w:szCs w:val="15"/>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Write-offs, Net</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of Year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jc w:val="right"/>
              <w:ind w:right="2732"/>
              <w:spacing w:after="0"/>
              <w:rPr>
                <w:sz w:val="20"/>
                <w:szCs w:val="20"/>
                <w:color w:val="auto"/>
              </w:rPr>
            </w:pPr>
            <w:r>
              <w:rPr>
                <w:rFonts w:ascii="Arial" w:cs="Arial" w:eastAsia="Arial" w:hAnsi="Arial"/>
                <w:sz w:val="18"/>
                <w:szCs w:val="18"/>
                <w:b w:val="1"/>
                <w:bCs w:val="1"/>
                <w:color w:val="auto"/>
                <w:w w:val="84"/>
              </w:rPr>
              <w:t>2005</w:t>
            </w:r>
          </w:p>
        </w:tc>
        <w:tc>
          <w:tcPr>
            <w:tcW w:w="2920" w:type="dxa"/>
            <w:vAlign w:val="bottom"/>
            <w:gridSpan w:val="2"/>
            <w:shd w:val="clear" w:color="auto" w:fill="CCEEFF"/>
          </w:tcPr>
          <w:p>
            <w:pPr>
              <w:ind w:left="2840"/>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jc w:val="right"/>
              <w:ind w:right="2732"/>
              <w:spacing w:after="0"/>
              <w:rPr>
                <w:sz w:val="20"/>
                <w:szCs w:val="20"/>
                <w:color w:val="auto"/>
              </w:rPr>
            </w:pPr>
            <w:r>
              <w:rPr>
                <w:rFonts w:ascii="Arial" w:cs="Arial" w:eastAsia="Arial" w:hAnsi="Arial"/>
                <w:sz w:val="18"/>
                <w:szCs w:val="18"/>
                <w:color w:val="auto"/>
                <w:w w:val="84"/>
              </w:rPr>
              <w:t>2004</w:t>
            </w: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vMerge w:val="continue"/>
          </w:tcPr>
          <w:p>
            <w:pPr>
              <w:spacing w:after="0"/>
              <w:rPr>
                <w:sz w:val="18"/>
                <w:szCs w:val="18"/>
                <w:color w:val="auto"/>
              </w:rPr>
            </w:pPr>
          </w:p>
        </w:tc>
        <w:tc>
          <w:tcPr>
            <w:tcW w:w="2920" w:type="dxa"/>
            <w:vAlign w:val="bottom"/>
            <w:gridSpan w:val="2"/>
          </w:tcPr>
          <w:p>
            <w:pPr>
              <w:ind w:left="28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shd w:val="clear" w:color="auto" w:fill="CCEEFF"/>
          </w:tcPr>
          <w:p>
            <w:pPr>
              <w:jc w:val="right"/>
              <w:ind w:right="2732"/>
              <w:spacing w:after="0"/>
              <w:rPr>
                <w:sz w:val="20"/>
                <w:szCs w:val="20"/>
                <w:color w:val="auto"/>
              </w:rPr>
            </w:pPr>
            <w:r>
              <w:rPr>
                <w:rFonts w:ascii="Arial" w:cs="Arial" w:eastAsia="Arial" w:hAnsi="Arial"/>
                <w:sz w:val="18"/>
                <w:szCs w:val="18"/>
                <w:color w:val="auto"/>
                <w:w w:val="84"/>
              </w:rPr>
              <w:t>2003</w:t>
            </w:r>
          </w:p>
        </w:tc>
        <w:tc>
          <w:tcPr>
            <w:tcW w:w="2920" w:type="dxa"/>
            <w:vAlign w:val="bottom"/>
            <w:gridSpan w:val="2"/>
            <w:shd w:val="clear" w:color="auto" w:fill="CCEEFF"/>
          </w:tcPr>
          <w:p>
            <w:pPr>
              <w:ind w:left="28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authorized to issue 10,000,000 shares of preferred stock. No preferred stock is currently outstanding.</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outstanding share of TI common stock carries one-fourth of a stock purchase right. Under certain circumstances, each right may be exercised to purchase one one-thousandth of a share of TI participating cumulative preferred stock for $200. Under certain circumstances following the acquisition of 20 percent or more of outstanding TI common stock by an acquiring person (as defined in the rights agreement), each right (other than rights held by an acquiring person) may be exercised to purchase the common stock of TI or a successor company with a market value of twice the $200 exercise price. The rights, which are redeemable by us at one cent per right, expire in June 2008.</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Previously in 2004, 2003 and 2002, the TI board of directors approved the repurchases of up to 21 million, 18 million and 14 million shares of TI common stock under our stock repurchase program. In the third quarter of 2004, the board of directors authorized the repurchase of $1 billion of TI common stock in addition to the previous authorizations. During 2005, the board of directors authorized the repurchase of $4 billion of TI common stock in addition to the previous authorizations.</w:t>
      </w:r>
    </w:p>
    <w:p>
      <w:pPr>
        <w:spacing w:after="0" w:line="14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On January 23, 2006, the board of directors authorized repurchases of up to $5 billion of TI common stock. This authorization is in addition to previously announced stock repurchase authorizations.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 expiration date has been specified for these authorizations. Each authorization is to use existing cash.</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Treasury shares acquired in connection with the board-authorized stock repurchase program in 2005, 2004 and 2003 were 154,143,706 shares; 30,102,546 shares; and 13,877,932 shares.</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the third quarter of 2005, the board of directors approved an increase in the quarterly cash dividend (to $0.03 per share from $0.025 per share) and declared a dividend at the new quarterly rate on October 20, 2005.</w:t>
      </w:r>
    </w:p>
    <w:p>
      <w:pPr>
        <w:sectPr>
          <w:pgSz w:w="11900" w:h="16838" w:orient="portrait"/>
          <w:cols w:equalWidth="0" w:num="1">
            <w:col w:w="11420"/>
          </w:cols>
          <w:pgMar w:left="240" w:top="2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Research and Development</w:t>
      </w:r>
    </w:p>
    <w:p>
      <w:pPr>
        <w:spacing w:after="0" w:line="96" w:lineRule="exact"/>
        <w:rPr>
          <w:sz w:val="20"/>
          <w:szCs w:val="20"/>
          <w:color w:val="auto"/>
        </w:rPr>
      </w:pPr>
    </w:p>
    <w:p>
      <w:pPr>
        <w:ind w:right="60" w:firstLine="5"/>
        <w:spacing w:after="0" w:line="256" w:lineRule="auto"/>
        <w:rPr>
          <w:sz w:val="20"/>
          <w:szCs w:val="20"/>
          <w:color w:val="auto"/>
        </w:rPr>
      </w:pPr>
      <w:r>
        <w:rPr>
          <w:rFonts w:ascii="Arial" w:cs="Arial" w:eastAsia="Arial" w:hAnsi="Arial"/>
          <w:sz w:val="18"/>
          <w:szCs w:val="18"/>
          <w:color w:val="auto"/>
        </w:rPr>
        <w:t>R&amp;D expense totaled $2.02 billion in 2005, $1.98 billion in 2004 and $1.75 billion in 2003. Acquisition-related in-process R&amp;D charges were zero in 2005 and 2004, but were $23 million in 2003. The 2003 charges were for R&amp;D from the acquisition of Radia and were recorded in R&amp;D expense. Values for acquisition-related in-process R&amp;D were determined at the acquisition date based upon the appraised value of the related developmental projects.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Income (Expense) Net</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2005</w:t>
            </w:r>
          </w:p>
        </w:tc>
        <w:tc>
          <w:tcPr>
            <w:tcW w:w="4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$ 165</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$ 136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Equity investment gains (losses), net</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$ 206</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$ 235</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$ 324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Equity investment gains (losses), net in 2003 included investment gains of $203 million from the sale of Micron common stock.</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includes lease income of approximately $20 million per year, primarily from the purchaser of our former defense electronics business divested in 1997. As of December 31, 2005, the aggregate amount of non-cancelable future lease payments to be received from these leases is $54 million. These leases contain renewal options.</w:t>
      </w:r>
    </w:p>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Other also includes miscellaneous non-operational items such as gains and losses related to previously divested businesses, interest income and expense related to non-investment items such as taxes, and gains and losses from currency exchange rate changes. The 2004 amount includes income recognized from the partial settlement of matters related to grants from the Italian government regarding TI’s former memory business operations, as well as a gain from a settlement with the State of Texas over claims for refund of state sales taxes relating to our previously divested defense electronics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and Director Compensation Plans</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have stock options outstanding to participants under the Texas Instruments 2000 Long-Term Incentive Plan and the Texas Instruments 2003 Long-Term Incentive Plan. Options are also outstanding under the 1996 Long-Term Incentive Plan and the Texas Instruments Long-Term Incentive Plan, but no further options may be granted under these plans. We also assumed stock options granted under the Burr-Brown 1993 Stock Incentive Plan and the Radia Communications, Inc. 2000 Stock Option/Stock Issuance Plan. Unless the options are acquisition-related replacement options, the option price per share may not be less than 100 percent of the fair market value on the date of the grant. Substantially all the options have a 10-year term. Except for options granted as part of a special retention grant in February 2003 (which vest beginning in the second year after grant at a rate of 50%/25%/25% per year), options granted subsequent to 1996 generally vest ratably over four years. Options generally provide for the continuation of vesting after the option recipient retires.</w:t>
      </w:r>
    </w:p>
    <w:p>
      <w:pPr>
        <w:spacing w:after="0" w:line="11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have RSUs outstanding under the 2000 Long-Term Incentive Plan and the 2003 Long-Term Incentive Plan. Each RSU represents the right to receive one share of TI common stock on the vesting date, which is generally four years after the date of grant. Upon vesting, the shares are subject to issuance without payment by the grantee.</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2000 Long-Term Incentive Plan, we may grant stock options, including incentive stock options, restricted stock and RSUs, performance units and other stock-based awards. The plan provides for the issuance of 120,000,000 shares of TI common stock. In addition, if any stock-based award under the 1996 Long-Term Incentive Plan or the Texas Instruments Long-Term Incentive Plan terminates, then any unissued shares subject to the terminated award become available for granting awards under the 2000 Long-Term Incentive Plan. No more than 13,400,000 shares of common stock may be awarded as restricted stock, RSUs or other stock-based awards under the plan.</w:t>
      </w:r>
    </w:p>
    <w:p>
      <w:pPr>
        <w:sectPr>
          <w:pgSz w:w="11900" w:h="16838" w:orient="portrait"/>
          <w:cols w:equalWidth="0" w:num="1">
            <w:col w:w="11420"/>
          </w:cols>
          <w:pgMar w:left="240" w:top="274" w:right="239" w:bottom="1440" w:gutter="0" w:footer="0" w:header="0"/>
        </w:sectPr>
      </w:pPr>
    </w:p>
    <w:bookmarkStart w:id="44" w:name="page45"/>
    <w:bookmarkEnd w:id="44"/>
    <w:p>
      <w:pPr>
        <w:ind w:left="280" w:hanging="272"/>
        <w:spacing w:after="0"/>
        <w:tabs>
          <w:tab w:leader="none" w:pos="2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2003 Long-Term Incentive Plan, we may grant stock options (other than incentive stock options), restricted stock and RSUs, performance units and other stock-based awards to non-management employees. The plan provides for the issuance of 240,000,000 shares of TI common stock. Executive officers and approximately 250 managers are ineligible to receive awards under this plan.</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Texas Instruments Stock Option Plan for Non-Employee Directors adopted in April 1998, we granted stock options to each non-employee director once per year, in the period beginning January 1999 and extending through January 2003. Each grant under the plan was an option to purchase 5,000 shares (10,000 shares beginning January 2001) with an option price equal to fair market value on the date of grant. In April 2003, the plan, together with the Texas Instruments Restricted Stock Unit Plan for Directors and the Texas Instruments Directors Deferred Compensation Plan, was replaced by the Texas Instruments 2003 Director Compensation Plan. Under this plan approved by stockholders in April 2003, we may grant stock options, RSUs and other stock-based awards to non-employee directors, as well as issue TI common stock upon the distribution of stock units credited to deferred-compensation accounts established for such directors. The plan provides for the grant of a stock option to each non-employee director once per year in the period from January 2004 through 2010. Each grant is an option to purchase 15,000 shares with an option price equal to fair market value on the date of grant. Under the plan, we also make a one-time grant of 2,000 RSUs to each new non-employee director of TI. The plan provides for the issuance of 2,000,000 shares of TI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Stock option and RSU transactions under the above mentioned long-term incentive and director compensation plans during 2005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4"/>
                <w:szCs w:val="14"/>
                <w:color w:val="auto"/>
              </w:rPr>
            </w:pPr>
          </w:p>
        </w:tc>
        <w:tc>
          <w:tcPr>
            <w:tcW w:w="1680" w:type="dxa"/>
            <w:vAlign w:val="bottom"/>
            <w:gridSpan w:val="6"/>
          </w:tcPr>
          <w:p>
            <w:pPr>
              <w:ind w:left="180"/>
              <w:spacing w:after="0"/>
              <w:rPr>
                <w:sz w:val="20"/>
                <w:szCs w:val="20"/>
                <w:color w:val="auto"/>
              </w:rPr>
            </w:pPr>
            <w:r>
              <w:rPr>
                <w:rFonts w:ascii="Arial" w:cs="Arial" w:eastAsia="Arial" w:hAnsi="Arial"/>
                <w:sz w:val="14"/>
                <w:szCs w:val="14"/>
                <w:b w:val="1"/>
                <w:bCs w:val="1"/>
                <w:color w:val="auto"/>
                <w:w w:val="99"/>
              </w:rPr>
              <w:t>Restricted Stock Units</w:t>
            </w:r>
          </w:p>
        </w:tc>
      </w:tr>
      <w:tr>
        <w:trPr>
          <w:trHeight w:val="129"/>
        </w:trPr>
        <w:tc>
          <w:tcPr>
            <w:tcW w:w="78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r>
      <w:tr>
        <w:trPr>
          <w:trHeight w:val="149"/>
        </w:trPr>
        <w:tc>
          <w:tcPr>
            <w:tcW w:w="7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7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Grant-Date</w:t>
            </w:r>
          </w:p>
        </w:tc>
      </w:tr>
      <w:tr>
        <w:trPr>
          <w:trHeight w:val="149"/>
        </w:trPr>
        <w:tc>
          <w:tcPr>
            <w:tcW w:w="7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Price per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75"/>
        </w:trPr>
        <w:tc>
          <w:tcPr>
            <w:tcW w:w="7820" w:type="dxa"/>
            <w:vAlign w:val="bottom"/>
          </w:tcPr>
          <w:p>
            <w:pPr>
              <w:spacing w:after="0"/>
              <w:rPr>
                <w:sz w:val="15"/>
                <w:szCs w:val="15"/>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20" w:type="dxa"/>
            <w:vAlign w:val="bottom"/>
          </w:tcPr>
          <w:p>
            <w:pPr>
              <w:spacing w:after="0"/>
              <w:rPr>
                <w:sz w:val="15"/>
                <w:szCs w:val="15"/>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Outstanding grants, December 31, 2004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238,116,211</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$ 26.22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3,017,268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20" w:type="dxa"/>
            <w:vAlign w:val="bottom"/>
          </w:tcPr>
          <w:p>
            <w:pPr>
              <w:spacing w:after="0"/>
              <w:rPr>
                <w:sz w:val="18"/>
                <w:szCs w:val="18"/>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b w:val="1"/>
                <w:bCs w:val="1"/>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22,826,420</w:t>
            </w:r>
          </w:p>
        </w:tc>
        <w:tc>
          <w:tcPr>
            <w:tcW w:w="1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22.01</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1,346,500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24.42</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Vested (RSUs)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(812,000)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28.99</w:t>
            </w:r>
          </w:p>
        </w:tc>
        <w:tc>
          <w:tcPr>
            <w:tcW w:w="20" w:type="dxa"/>
            <w:vAlign w:val="bottom"/>
          </w:tcPr>
          <w:p>
            <w:pPr>
              <w:spacing w:after="0"/>
              <w:rPr>
                <w:sz w:val="18"/>
                <w:szCs w:val="18"/>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b w:val="1"/>
                <w:bCs w:val="1"/>
                <w:color w:val="auto"/>
              </w:rPr>
              <w:t>Forfeited</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(6,743,824)</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30.55</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24.67</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Exercised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(25,919,095)</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13.20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Outstanding grants, December 31, 2005</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228,279,712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$ 27.15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3,517,768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23.13</w:t>
            </w:r>
          </w:p>
        </w:tc>
        <w:tc>
          <w:tcPr>
            <w:tcW w:w="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As of July 1, 2005, we adopted SFAS No. 123(R) and began recording compensation expense related to stock options measured at their fair value as of the grant date (see Note 1 for a discussion of </w:t>
      </w:r>
      <w:r>
        <w:rPr>
          <w:rFonts w:ascii="Arial" w:cs="Arial" w:eastAsia="Arial" w:hAnsi="Arial"/>
          <w:sz w:val="18"/>
          <w:szCs w:val="18"/>
          <w:i w:val="1"/>
          <w:iCs w:val="1"/>
          <w:color w:val="auto"/>
        </w:rPr>
        <w:t>Effects of Stock-based Compensation</w:t>
      </w:r>
      <w:r>
        <w:rPr>
          <w:rFonts w:ascii="Arial" w:cs="Arial" w:eastAsia="Arial" w:hAnsi="Arial"/>
          <w:sz w:val="18"/>
          <w:szCs w:val="18"/>
          <w:color w:val="auto"/>
        </w:rPr>
        <w:t>). Prior to that date, we recorded no compensation expense for non-acquisition-related stock option awards but did recognize compensation expense related to awards of RSUs. The fair values of RSUs are determined based on the average trading price of TI common stock on the date of grant. Compensation expense associated with RSUs totaled $18 million, $18 million and $15 million in 2005, 2004 and 2003.</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grant-date fair value of stock options granted during the years 2005, 2004 and 2003 was $10.07, $15.61 and $8.13 per share,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grant-date fair value of RSUs granted during the years 2005, 2004 and 2003 was $24.42, $31.20 and $17.33 per share, respectively.</w:t>
      </w:r>
    </w:p>
    <w:p>
      <w:pPr>
        <w:sectPr>
          <w:pgSz w:w="11900" w:h="16838" w:orient="portrait"/>
          <w:cols w:equalWidth="0" w:num="1">
            <w:col w:w="11420"/>
          </w:cols>
          <w:pgMar w:left="240" w:top="280" w:right="239" w:bottom="1440" w:gutter="0" w:footer="0" w:header="0"/>
        </w:sectPr>
      </w:pPr>
    </w:p>
    <w:bookmarkStart w:id="45" w:name="page46"/>
    <w:bookmarkEnd w:id="45"/>
    <w:p>
      <w:pPr>
        <w:ind w:left="7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6"/>
          <w:szCs w:val="16"/>
          <w:b w:val="1"/>
          <w:bCs w:val="1"/>
          <w:color w:val="auto"/>
        </w:rPr>
        <w:t>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Summarized information about stock options outstanding under the various long-term plans mentioned above at December 31, 2005,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99"/>
              </w:rPr>
              <w:t>Stock Options Outstanding</w:t>
            </w: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4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86"/>
              </w:rPr>
              <w:t>Range of</w:t>
            </w:r>
          </w:p>
        </w:tc>
        <w:tc>
          <w:tcPr>
            <w:tcW w:w="1240" w:type="dxa"/>
            <w:vAlign w:val="bottom"/>
          </w:tcPr>
          <w:p>
            <w:pPr>
              <w:spacing w:after="0"/>
              <w:rPr>
                <w:sz w:val="12"/>
                <w:szCs w:val="12"/>
                <w:color w:val="auto"/>
              </w:rPr>
            </w:pPr>
          </w:p>
        </w:tc>
        <w:tc>
          <w:tcPr>
            <w:tcW w:w="2220" w:type="dxa"/>
            <w:vAlign w:val="bottom"/>
            <w:gridSpan w:val="2"/>
            <w:vMerge w:val="restart"/>
          </w:tcPr>
          <w:p>
            <w:pPr>
              <w:jc w:val="center"/>
              <w:ind w:right="1260"/>
              <w:spacing w:after="0"/>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2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Remaining</w:t>
            </w:r>
          </w:p>
        </w:tc>
        <w:tc>
          <w:tcPr>
            <w:tcW w:w="1240" w:type="dxa"/>
            <w:vAlign w:val="bottom"/>
          </w:tcPr>
          <w:p>
            <w:pPr>
              <w:spacing w:after="0"/>
              <w:rPr>
                <w:sz w:val="11"/>
                <w:szCs w:val="11"/>
                <w:color w:val="auto"/>
              </w:rPr>
            </w:pPr>
          </w:p>
        </w:tc>
        <w:tc>
          <w:tcPr>
            <w:tcW w:w="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tcPr>
          <w:p>
            <w:pPr>
              <w:spacing w:after="0"/>
              <w:rPr>
                <w:sz w:val="11"/>
                <w:szCs w:val="11"/>
                <w:color w:val="auto"/>
              </w:rPr>
            </w:pPr>
          </w:p>
        </w:tc>
        <w:tc>
          <w:tcPr>
            <w:tcW w:w="2100" w:type="dxa"/>
            <w:vAlign w:val="bottom"/>
            <w:gridSpan w:val="2"/>
          </w:tcPr>
          <w:p>
            <w:pPr>
              <w:jc w:val="center"/>
              <w:ind w:right="1140"/>
              <w:spacing w:after="0" w:line="135"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1"/>
                <w:szCs w:val="11"/>
                <w:color w:val="auto"/>
              </w:rPr>
            </w:pPr>
          </w:p>
        </w:tc>
        <w:tc>
          <w:tcPr>
            <w:tcW w:w="66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tcPr>
          <w:p>
            <w:pPr>
              <w:spacing w:after="0"/>
              <w:rPr>
                <w:sz w:val="12"/>
                <w:szCs w:val="12"/>
                <w:color w:val="auto"/>
              </w:rPr>
            </w:pPr>
          </w:p>
        </w:tc>
        <w:tc>
          <w:tcPr>
            <w:tcW w:w="222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 per</w:t>
            </w:r>
          </w:p>
        </w:tc>
        <w:tc>
          <w:tcPr>
            <w:tcW w:w="1260" w:type="dxa"/>
            <w:vAlign w:val="bottom"/>
          </w:tcPr>
          <w:p>
            <w:pPr>
              <w:spacing w:after="0"/>
              <w:rPr>
                <w:sz w:val="12"/>
                <w:szCs w:val="12"/>
                <w:color w:val="auto"/>
              </w:rPr>
            </w:pPr>
          </w:p>
        </w:tc>
        <w:tc>
          <w:tcPr>
            <w:tcW w:w="21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Price per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4"/>
              </w:rPr>
              <w:t>Share Prices</w:t>
            </w:r>
          </w:p>
        </w:tc>
        <w:tc>
          <w:tcPr>
            <w:tcW w:w="12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2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1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Share</w:t>
            </w:r>
          </w:p>
        </w:tc>
        <w:tc>
          <w:tcPr>
            <w:tcW w:w="12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Share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 to 16.00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31,784,345</w:t>
            </w: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336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31,317,545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0"/>
              </w:rPr>
              <w:t>16.01 to 26.00</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90,876,573</w:t>
            </w:r>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20.02</w:t>
            </w:r>
          </w:p>
        </w:tc>
        <w:tc>
          <w:tcPr>
            <w:tcW w:w="336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43,244,272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26.01 to 50.00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72,502,507</w:t>
            </w: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31.19</w:t>
            </w:r>
          </w:p>
        </w:tc>
        <w:tc>
          <w:tcPr>
            <w:tcW w:w="336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46,820,776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0"/>
              </w:rPr>
              <w:t>50.01 to 84.32</w:t>
            </w:r>
          </w:p>
        </w:tc>
        <w:tc>
          <w:tcPr>
            <w:tcW w:w="1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33,116,287</w:t>
            </w:r>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54.15</w:t>
            </w:r>
          </w:p>
        </w:tc>
        <w:tc>
          <w:tcPr>
            <w:tcW w:w="1260" w:type="dxa"/>
            <w:vAlign w:val="bottom"/>
          </w:tcPr>
          <w:p>
            <w:pPr>
              <w:spacing w:after="0"/>
              <w:rPr>
                <w:sz w:val="18"/>
                <w:szCs w:val="18"/>
                <w:color w:val="auto"/>
              </w:rPr>
            </w:pPr>
          </w:p>
        </w:tc>
        <w:tc>
          <w:tcPr>
            <w:tcW w:w="2100" w:type="dxa"/>
            <w:vAlign w:val="bottom"/>
            <w:gridSpan w:val="2"/>
          </w:tcPr>
          <w:p>
            <w:pPr>
              <w:jc w:val="right"/>
              <w:ind w:right="1140"/>
              <w:spacing w:after="0"/>
              <w:rPr>
                <w:sz w:val="20"/>
                <w:szCs w:val="20"/>
                <w:color w:val="auto"/>
              </w:rPr>
            </w:pPr>
            <w:r>
              <w:rPr>
                <w:rFonts w:ascii="Arial" w:cs="Arial" w:eastAsia="Arial" w:hAnsi="Arial"/>
                <w:sz w:val="18"/>
                <w:szCs w:val="18"/>
                <w:b w:val="1"/>
                <w:bCs w:val="1"/>
                <w:color w:val="auto"/>
              </w:rPr>
              <w:t>32,827,792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 to 84.32</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228,279,712</w:t>
            </w: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27.15</w:t>
            </w:r>
          </w:p>
        </w:tc>
        <w:tc>
          <w:tcPr>
            <w:tcW w:w="1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w w:val="93"/>
              </w:rPr>
              <w:t>154,210,385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As of December 31, 2005, the aggregate intrinsic value (i.e., the difference in market price of $32.15 and the exercise price to be paid by the optionee) of stock options outstanding, excluding the effects of expected forfeitures, was $1.94 billion. The aggregate intrinsic value of exercisable stock options at that date was $1.28 billion.</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year ended December 31, 2005, the total intrinsic value of options exercised (i.e., the difference in the market price at the exercise date and the price paid by the employee to exercise the option) under these plans was $394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2005, the total fair value of shares vested from RSU grants was $24 million.</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Summarized information about outstanding stock options that are already fully vested and those that are expected to vest in the future, as well as stock options that are fully vested and currently exercisable,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8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Outstanding Stock</w:t>
            </w:r>
          </w:p>
        </w:tc>
        <w:tc>
          <w:tcPr>
            <w:tcW w:w="880" w:type="dxa"/>
            <w:vAlign w:val="bottom"/>
          </w:tcPr>
          <w:p>
            <w:pPr>
              <w:spacing w:after="0"/>
              <w:rPr>
                <w:sz w:val="14"/>
                <w:szCs w:val="14"/>
                <w:color w:val="auto"/>
              </w:rPr>
            </w:pPr>
          </w:p>
        </w:tc>
      </w:tr>
      <w:tr>
        <w:trPr>
          <w:trHeight w:val="149"/>
        </w:trPr>
        <w:tc>
          <w:tcPr>
            <w:tcW w:w="7780" w:type="dxa"/>
            <w:vAlign w:val="bottom"/>
          </w:tcPr>
          <w:p>
            <w:pPr>
              <w:spacing w:after="0"/>
              <w:rPr>
                <w:sz w:val="12"/>
                <w:szCs w:val="12"/>
                <w:color w:val="auto"/>
              </w:rPr>
            </w:pPr>
          </w:p>
        </w:tc>
        <w:tc>
          <w:tcPr>
            <w:tcW w:w="18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Options (Fully Vested</w:t>
            </w:r>
          </w:p>
        </w:tc>
        <w:tc>
          <w:tcPr>
            <w:tcW w:w="88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Options</w:t>
            </w:r>
          </w:p>
        </w:tc>
      </w:tr>
      <w:tr>
        <w:trPr>
          <w:trHeight w:val="161"/>
        </w:trPr>
        <w:tc>
          <w:tcPr>
            <w:tcW w:w="7780" w:type="dxa"/>
            <w:vAlign w:val="bottom"/>
          </w:tcPr>
          <w:p>
            <w:pPr>
              <w:spacing w:after="0"/>
              <w:rPr>
                <w:sz w:val="14"/>
                <w:szCs w:val="14"/>
                <w:color w:val="auto"/>
              </w:rPr>
            </w:pPr>
          </w:p>
        </w:tc>
        <w:tc>
          <w:tcPr>
            <w:tcW w:w="18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and Expected to Vest*)</w:t>
            </w:r>
          </w:p>
        </w:tc>
        <w:tc>
          <w:tcPr>
            <w:tcW w:w="880" w:type="dxa"/>
            <w:vAlign w:val="bottom"/>
          </w:tcPr>
          <w:p>
            <w:pPr>
              <w:jc w:val="right"/>
              <w:ind w:right="19"/>
              <w:spacing w:after="0"/>
              <w:rPr>
                <w:sz w:val="20"/>
                <w:szCs w:val="20"/>
                <w:color w:val="auto"/>
              </w:rPr>
            </w:pPr>
            <w:r>
              <w:rPr>
                <w:rFonts w:ascii="Arial" w:cs="Arial" w:eastAsia="Arial" w:hAnsi="Arial"/>
                <w:sz w:val="14"/>
                <w:szCs w:val="14"/>
                <w:b w:val="1"/>
                <w:bCs w:val="1"/>
                <w:color w:val="auto"/>
                <w:w w:val="97"/>
              </w:rPr>
              <w:t>Exercisable</w:t>
            </w: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2005:</w:t>
            </w:r>
          </w:p>
        </w:tc>
        <w:tc>
          <w:tcPr>
            <w:tcW w:w="13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Number of outstanding (shares)</w:t>
            </w:r>
          </w:p>
        </w:tc>
        <w:tc>
          <w:tcPr>
            <w:tcW w:w="18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225,985,879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5"/>
              </w:rPr>
              <w:t>154,210,385</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contractual life</w:t>
            </w: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5.6 years</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82"/>
              </w:rPr>
              <w:t>4.5 years</w:t>
            </w: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Weighted average exercise price per share</w:t>
            </w:r>
          </w:p>
        </w:tc>
        <w:tc>
          <w:tcPr>
            <w:tcW w:w="18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$27.18</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$28.98</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Intrinsic value (in millions)</w:t>
            </w: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$1,921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$1,276</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Includes effects of expected forfeitures.</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As of December 31, 2005, the total future compensation cost related to non-vested stock options and RSUs not yet recognized in the statement of income was $439 million and $41 million and the weighted-average period over which these awards are expected to be recognized was 1.1 years and 1.4 years, respectively. Of that total, $248 million, $165 million, $61 million and $6 million will be recognized in 2006, 2007, 2008 and 2009,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Plans</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had no stock options outstanding under the TI Employees 2002 Stock Purchase Plan (the 2002 Plan) at the end of 2005. Under this plan, options were offered to all eligible employees in amounts based on a percentage of the employee’s compensation. The option price per share was 85 percent of the fair market value on the date of grant or on the exercise date, whichever was lower.</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April 2005, stockholders approved the TI Employees 2005 Stock Purchase Plan (the 2005 Plan), which replaced the 2002 Plan. Under the 2005 Plan, options are offered to all eligible employees in amounts based on a percentage of the employee’s compensation. Under the 2005 Plan, the option price per share is 85 percent of the fair market value on the exercise date. Additionally, terms of the options under the 2005 Plan are three months, rather than six months under the predecessor plan.</w:t>
      </w:r>
    </w:p>
    <w:p>
      <w:pPr>
        <w:sectPr>
          <w:pgSz w:w="11900" w:h="16838" w:orient="portrait"/>
          <w:cols w:equalWidth="0" w:num="1">
            <w:col w:w="11420"/>
          </w:cols>
          <w:pgMar w:left="240" w:top="274" w:right="239" w:bottom="1440" w:gutter="0" w:footer="0" w:header="0"/>
        </w:sectPr>
      </w:pPr>
    </w:p>
    <w:bookmarkStart w:id="46" w:name="page47"/>
    <w:bookmarkEnd w:id="46"/>
    <w:p>
      <w:pPr>
        <w:ind w:left="280" w:hanging="272"/>
        <w:spacing w:after="0"/>
        <w:tabs>
          <w:tab w:leader="none" w:pos="2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stock options outstanding under the 2005 Plan at December 31, 2005, had an exercise price of $27.82 per share (85 percent of the fair market value of TI common stock on January 3, 2006, the date of automatic exercise). Of the total outstanding options, none were exercisable at year-end 2005.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transactions during 2005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7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Employee Stock</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6760" w:type="dxa"/>
            <w:vAlign w:val="bottom"/>
          </w:tcPr>
          <w:p>
            <w:pPr>
              <w:spacing w:after="0"/>
              <w:rPr>
                <w:sz w:val="12"/>
                <w:szCs w:val="12"/>
                <w:color w:val="auto"/>
              </w:rPr>
            </w:pPr>
          </w:p>
        </w:tc>
        <w:tc>
          <w:tcPr>
            <w:tcW w:w="17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Purchase Plan</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Weighted Average</w:t>
            </w:r>
          </w:p>
        </w:tc>
      </w:tr>
      <w:tr>
        <w:trPr>
          <w:trHeight w:val="161"/>
        </w:trPr>
        <w:tc>
          <w:tcPr>
            <w:tcW w:w="6760" w:type="dxa"/>
            <w:vAlign w:val="bottom"/>
          </w:tcPr>
          <w:p>
            <w:pPr>
              <w:spacing w:after="0"/>
              <w:rPr>
                <w:sz w:val="14"/>
                <w:szCs w:val="14"/>
                <w:color w:val="auto"/>
              </w:rPr>
            </w:pPr>
          </w:p>
        </w:tc>
        <w:tc>
          <w:tcPr>
            <w:tcW w:w="17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6"/>
              </w:rPr>
              <w:t>(shares*)</w:t>
            </w:r>
          </w:p>
        </w:tc>
        <w:tc>
          <w:tcPr>
            <w:tcW w:w="12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Exercise Price</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Outstanding grants, December 31, 2004</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3,645,434</w:t>
            </w:r>
          </w:p>
        </w:tc>
        <w:tc>
          <w:tcPr>
            <w:tcW w:w="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b w:val="1"/>
                <w:bCs w:val="1"/>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3,310,926</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23.86</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Forfeited</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(286,205)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21.64</w:t>
            </w:r>
          </w:p>
        </w:tc>
      </w:tr>
      <w:tr>
        <w:trPr>
          <w:trHeight w:val="223"/>
        </w:trPr>
        <w:tc>
          <w:tcPr>
            <w:tcW w:w="6760" w:type="dxa"/>
            <w:vAlign w:val="bottom"/>
          </w:tcPr>
          <w:p>
            <w:pPr>
              <w:ind w:left="440"/>
              <w:spacing w:after="0"/>
              <w:rPr>
                <w:sz w:val="20"/>
                <w:szCs w:val="20"/>
                <w:color w:val="auto"/>
              </w:rPr>
            </w:pPr>
            <w:r>
              <w:rPr>
                <w:rFonts w:ascii="Arial" w:cs="Arial" w:eastAsia="Arial" w:hAnsi="Arial"/>
                <w:sz w:val="18"/>
                <w:szCs w:val="18"/>
                <w:b w:val="1"/>
                <w:bCs w:val="1"/>
                <w:color w:val="auto"/>
              </w:rPr>
              <w:t>Exercised</w:t>
            </w:r>
          </w:p>
        </w:tc>
        <w:tc>
          <w:tcPr>
            <w:tcW w:w="17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(6,132,176)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19.43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grants, December 31, 2005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537,979</w:t>
            </w:r>
          </w:p>
        </w:tc>
        <w:tc>
          <w:tcPr>
            <w:tcW w:w="8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27.82</w:t>
            </w:r>
          </w:p>
        </w:tc>
      </w:tr>
      <w:tr>
        <w:trPr>
          <w:trHeight w:val="20"/>
        </w:trPr>
        <w:tc>
          <w:tcPr>
            <w:tcW w:w="6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Excludes options offered but not granted.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2005, the total intrinsic value of options exercised under these plans was $59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Shares Outstanding and Treasury Shares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Stock option plan exercises include previously unissued shares of 53,855; 416,961 and 113,939 for 2005, 2004 and 2003. They also include treasury shares of 31,997,416; 15,488,357 and 18,258,205 for 2005, 2004 and 2003.</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Previously unissued common shares issued for RSUs in 2005, 2004 and 2003 were 570,042 shares, 402,009 shares and 108,619 shares. No treasury shares were issued upon vesting of RSUs in 2005, 2004 and 2003.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 and reserved for issuance are summarized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00" w:type="dxa"/>
            <w:vAlign w:val="bottom"/>
            <w:tcBorders>
              <w:bottom w:val="single" w:sz="8" w:color="auto"/>
            </w:tcBorders>
            <w:gridSpan w:val="3"/>
          </w:tcPr>
          <w:p>
            <w:pPr>
              <w:jc w:val="right"/>
              <w:ind w:right="772"/>
              <w:spacing w:after="0"/>
              <w:rPr>
                <w:sz w:val="20"/>
                <w:szCs w:val="20"/>
                <w:color w:val="auto"/>
              </w:rPr>
            </w:pPr>
            <w:r>
              <w:rPr>
                <w:rFonts w:ascii="Arial" w:cs="Arial" w:eastAsia="Arial" w:hAnsi="Arial"/>
                <w:sz w:val="14"/>
                <w:szCs w:val="14"/>
                <w:b w:val="1"/>
                <w:bCs w:val="1"/>
                <w:color w:val="auto"/>
              </w:rPr>
              <w:t>As of December 31, 2005</w:t>
            </w:r>
          </w:p>
        </w:tc>
        <w:tc>
          <w:tcPr>
            <w:tcW w:w="0" w:type="dxa"/>
            <w:vAlign w:val="bottom"/>
          </w:tcPr>
          <w:p>
            <w:pPr>
              <w:spacing w:after="0"/>
              <w:rPr>
                <w:sz w:val="1"/>
                <w:szCs w:val="1"/>
                <w:color w:val="auto"/>
              </w:rPr>
            </w:pPr>
          </w:p>
        </w:tc>
      </w:tr>
      <w:tr>
        <w:trPr>
          <w:trHeight w:val="129"/>
        </w:trPr>
        <w:tc>
          <w:tcPr>
            <w:tcW w:w="5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Long-term Incentive</w:t>
            </w: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Shares</w:t>
            </w:r>
          </w:p>
        </w:tc>
        <w:tc>
          <w:tcPr>
            <w:tcW w:w="700" w:type="dxa"/>
            <w:vAlign w:val="bottom"/>
            <w:vMerge w:val="restart"/>
          </w:tcPr>
          <w:p>
            <w:pPr>
              <w:spacing w:after="0"/>
              <w:rPr>
                <w:sz w:val="12"/>
                <w:szCs w:val="12"/>
                <w:color w:val="auto"/>
              </w:rPr>
            </w:pPr>
          </w:p>
        </w:tc>
        <w:tc>
          <w:tcPr>
            <w:tcW w:w="1220" w:type="dxa"/>
            <w:vAlign w:val="bottom"/>
          </w:tcPr>
          <w:p>
            <w:pPr>
              <w:jc w:val="right"/>
              <w:ind w:right="166"/>
              <w:spacing w:after="0" w:line="149" w:lineRule="exact"/>
              <w:rPr>
                <w:sz w:val="20"/>
                <w:szCs w:val="20"/>
                <w:color w:val="auto"/>
              </w:rPr>
            </w:pPr>
            <w:r>
              <w:rPr>
                <w:rFonts w:ascii="Arial" w:cs="Arial" w:eastAsia="Arial" w:hAnsi="Arial"/>
                <w:sz w:val="14"/>
                <w:szCs w:val="14"/>
                <w:b w:val="1"/>
                <w:bCs w:val="1"/>
                <w:color w:val="auto"/>
              </w:rPr>
              <w:t>and Director</w:t>
            </w:r>
          </w:p>
        </w:tc>
        <w:tc>
          <w:tcPr>
            <w:tcW w:w="7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TI Employees 2005</w:t>
            </w:r>
          </w:p>
        </w:tc>
        <w:tc>
          <w:tcPr>
            <w:tcW w:w="0" w:type="dxa"/>
            <w:vAlign w:val="bottom"/>
          </w:tcPr>
          <w:p>
            <w:pPr>
              <w:spacing w:after="0"/>
              <w:rPr>
                <w:sz w:val="1"/>
                <w:szCs w:val="1"/>
                <w:color w:val="auto"/>
              </w:rPr>
            </w:pPr>
          </w:p>
        </w:tc>
      </w:tr>
      <w:tr>
        <w:trPr>
          <w:trHeight w:val="155"/>
        </w:trPr>
        <w:tc>
          <w:tcPr>
            <w:tcW w:w="5780" w:type="dxa"/>
            <w:vAlign w:val="bottom"/>
            <w:tcBorders>
              <w:bottom w:val="single" w:sz="8" w:color="auto"/>
            </w:tcBorders>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2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Compensation Plans</w:t>
            </w:r>
          </w:p>
        </w:tc>
        <w:tc>
          <w:tcPr>
            <w:tcW w:w="70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3"/>
              </w:rPr>
              <w:t>Stock Purchase Plan</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Available for future grant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241,100,560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42,385,119</w:t>
            </w:r>
          </w:p>
        </w:tc>
        <w:tc>
          <w:tcPr>
            <w:tcW w:w="0" w:type="dxa"/>
            <w:vAlign w:val="bottom"/>
          </w:tcPr>
          <w:p>
            <w:pPr>
              <w:spacing w:after="0"/>
              <w:rPr>
                <w:sz w:val="1"/>
                <w:szCs w:val="1"/>
                <w:color w:val="auto"/>
              </w:rPr>
            </w:pPr>
          </w:p>
        </w:tc>
      </w:tr>
      <w:tr>
        <w:trPr>
          <w:trHeight w:val="228"/>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Reserved for issuance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472,972,379</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42,923,098</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Cash Flows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total amount of cash received from exercise of options was $461 million (which includes $119 million from TI Employees 2002 and 2005 Stock Purchase Plans) and the related net tax benefit realized from the exercise of those stock options was $132 million (which includes $59 million of excess tax benefits realized since July 1,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Related Policies</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issue awards of stock options generally with graded vesting provisions (e.g., 25 percent per year for four years). In such cases, we recognize the related compensation cost on a straight-line basis over the expected term of the award.</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awards to employees who are retirement eligible or nearing retirement eligibility, we recognize compensation cost on a straight-line basis over the service period required to be performed by the employee in order to earn the award.</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 has been our practice to issue shares of common stock upon exercise of stock options generally from treasury shares and from previously unissued shares on a limited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Post-employment Benefit Plans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provide various retirement plans for employees including defined benefit, defined contribution and retiree health care benefit plans, as well as deferred compensation arrangements for qualifying employees.</w:t>
      </w:r>
    </w:p>
    <w:p>
      <w:pPr>
        <w:sectPr>
          <w:pgSz w:w="11900" w:h="16838" w:orient="portrait"/>
          <w:cols w:equalWidth="0" w:num="1">
            <w:col w:w="11280"/>
          </w:cols>
          <w:pgMar w:left="240" w:top="280" w:right="3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27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Retirement Plans</w:t>
      </w:r>
    </w:p>
    <w:p>
      <w:pPr>
        <w:spacing w:after="0" w:line="9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principal retirement plans in the U.S include a qualified defined benefit pension plan (which is closed to new participants hired after November 1997), a defined contribution plan and an enhanced defined contribution plan. Both defined contribution plans offer an employer-matching savings option that allows employees to make pre-tax contributions to various investment choices, including a TI common stock fund. Employees who remain in the qualified defined benefit pension plan may also participate in the defined contribution plan, where employer-matching contributions are provided for up to 2 percent of the employee’s annual eligible earnings. Employees who elected not to remain in the defined benefit pension plan, and new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may participate in the enhanced defined contribution plan, where employer-matching contributions are provided for up to 4 percent of the employee’s annual eligible earnings.</w:t>
      </w:r>
    </w:p>
    <w:p>
      <w:pPr>
        <w:spacing w:after="0" w:line="12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At December 31, 2005 and 2004, in accordance with the election of employees, TI’s U.S. defined contribution plans held shares of TI common stock totaling 53 million shares and 61 million shares valued at $1.70 billion and $1.51 billion. Dividends paid on these shares for 2005 and 2004 totaled $6 million in each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aggregate expense for U.S. employees under the defined contribution plans was $55 million in 2005 and 2004 and $50 million in 2003.</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benefits under the qualified defined benefit pension plan are determined using a formula based upon years of service and the highest five consecutive years of compensation. We intend to contribute amounts to this plan to meet the minimum funding requirements of federal laws and regulations plus such additional amounts as we deem appropriate. During 2005, no contributions were made to the qualified defined benefit plan. We also sponsor a number of small defined benefit plans including a non-qualified plan. These plans are closed to new participants and are unfunded.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Retiree Health Care Benefit Plan</w:t>
      </w:r>
    </w:p>
    <w:p>
      <w:pPr>
        <w:spacing w:after="0" w:line="90"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We offer access to group medical coverage during retirement to most of our U.S. employees. We make a contribution toward the cost of those retiree medical benefits for certain retirees and their dependents. The contribution rates are based upon varying factors, the most important of which are an employee’s date of hire, date of retirement, years of service and eligibility for Medicare benefits. The balance of the cost is borne by the participants in the plan. Employees hired after January 1, 2001, are responsible for the full cost of their medical benefits during retirement.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Non-U.S. Retirement Plans</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Retirement coverage for non-U.S. employees is provided, to the extent deemed appropriate, through separate defined benefit and defined contribution plans. Retirement benefits are generally based on an employee’s years of service and compensation. Funding requirements are determined on an individual country and plan basis and subject to local country practices and market circumstances. During the fourth quarter of 2005, we contributed approximately $210 million into a qualified contractual trust arrangement in Germany. The contribution was enough to fully fund the accumulated benefit obligation of the primary Germany defined benefit plan at September 30, 2005. There are significantly smaller defined benefit plans in Germany, which remain unfunded.</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 substantial majority of the non-U.S. pension obligations and assets are associated with the defined benefit plan in Japan. During the latter part of 2004, a retirement plan change was approved by the employees in Japan and the Japanese Ministry of Health, Labour and Welfare. This change, implemented in 2005, resulted in a $64 million reduction in the projected benefit obligation.</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2005 and 2004, in accordance with the election of employees, TI’s non-U.S. defined contribution plans held shares of TI common stock totaling 0.7 million shares and 0.9 million shares valued at $22 million and $21 million. Dividends paid on these shares for 2005 and 2004 totaled $70 thousand and $105 thousand.</w:t>
      </w:r>
    </w:p>
    <w:p>
      <w:pPr>
        <w:sectPr>
          <w:pgSz w:w="11900" w:h="16838" w:orient="portrait"/>
          <w:cols w:equalWidth="0" w:num="1">
            <w:col w:w="11420"/>
          </w:cols>
          <w:pgMar w:left="240" w:top="274" w:right="239" w:bottom="1440" w:gutter="0" w:footer="0" w:header="0"/>
        </w:sectPr>
      </w:pPr>
    </w:p>
    <w:bookmarkStart w:id="48" w:name="page49"/>
    <w:bookmarkEnd w:id="48"/>
    <w:p>
      <w:pPr>
        <w:ind w:left="280" w:hanging="272"/>
        <w:spacing w:after="0"/>
        <w:tabs>
          <w:tab w:leader="none" w:pos="2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the Statements of Income and Balance Sheets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 of the defined benefit and retiree health care benefit plans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rPr>
              <w:t>U.S.</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Non-U.S.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7"/>
          </w:tcPr>
          <w:p>
            <w:pPr>
              <w:jc w:val="center"/>
              <w:ind w:left="94"/>
              <w:spacing w:after="0" w:line="142" w:lineRule="exact"/>
              <w:rPr>
                <w:sz w:val="20"/>
                <w:szCs w:val="20"/>
                <w:color w:val="auto"/>
              </w:rPr>
            </w:pPr>
            <w:r>
              <w:rPr>
                <w:rFonts w:ascii="Arial" w:cs="Arial" w:eastAsia="Arial" w:hAnsi="Arial"/>
                <w:sz w:val="14"/>
                <w:szCs w:val="14"/>
                <w:b w:val="1"/>
                <w:bCs w:val="1"/>
                <w:color w:val="auto"/>
                <w:w w:val="87"/>
              </w:rPr>
              <w:t>Defined Benefit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8"/>
          </w:tcPr>
          <w:p>
            <w:pPr>
              <w:jc w:val="center"/>
              <w:spacing w:after="0" w:line="142" w:lineRule="exact"/>
              <w:rPr>
                <w:sz w:val="20"/>
                <w:szCs w:val="20"/>
                <w:color w:val="auto"/>
              </w:rPr>
            </w:pPr>
            <w:r>
              <w:rPr>
                <w:rFonts w:ascii="Arial" w:cs="Arial" w:eastAsia="Arial" w:hAnsi="Arial"/>
                <w:sz w:val="14"/>
                <w:szCs w:val="14"/>
                <w:b w:val="1"/>
                <w:bCs w:val="1"/>
                <w:color w:val="auto"/>
                <w:w w:val="89"/>
              </w:rPr>
              <w:t>Retiree Health Care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8"/>
          </w:tcPr>
          <w:p>
            <w:pPr>
              <w:jc w:val="center"/>
              <w:ind w:right="140"/>
              <w:spacing w:after="0" w:line="142" w:lineRule="exact"/>
              <w:rPr>
                <w:sz w:val="20"/>
                <w:szCs w:val="20"/>
                <w:color w:val="auto"/>
              </w:rPr>
            </w:pPr>
            <w:r>
              <w:rPr>
                <w:rFonts w:ascii="Arial" w:cs="Arial" w:eastAsia="Arial" w:hAnsi="Arial"/>
                <w:sz w:val="14"/>
                <w:szCs w:val="14"/>
                <w:b w:val="1"/>
                <w:bCs w:val="1"/>
                <w:color w:val="auto"/>
                <w:w w:val="87"/>
              </w:rPr>
              <w:t>Defined Benefit</w:t>
            </w: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2004</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(47)</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(40)</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(20)</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Pr>
          <w:p>
            <w:pPr>
              <w:spacing w:after="0"/>
              <w:rPr>
                <w:sz w:val="18"/>
                <w:szCs w:val="18"/>
                <w:color w:val="auto"/>
              </w:rPr>
            </w:pPr>
          </w:p>
        </w:tc>
        <w:tc>
          <w:tcPr>
            <w:tcW w:w="4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 obligation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8"/>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8"/>
              </w:rPr>
              <w:t>—</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Settlement, curtailment, and special termination benefit charges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including charges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$ 92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U.S. plans, the expected return on plan assets component of net periodic benefit expense is based upon the market-related value of assets. In accordance with U.S. GAAP, the market-related value of assets utilizes a smoothing technique whereby investment gains and losses that differ from plan assumptions are phased into the value over a period of three years.</w:t>
      </w:r>
    </w:p>
    <w:p>
      <w:pPr>
        <w:sectPr>
          <w:pgSz w:w="11900" w:h="16838" w:orient="portrait"/>
          <w:cols w:equalWidth="0" w:num="1">
            <w:col w:w="11420"/>
          </w:cols>
          <w:pgMar w:left="240" w:top="280" w:right="239" w:bottom="1440" w:gutter="0" w:footer="0" w:header="0"/>
        </w:sectPr>
      </w:pPr>
    </w:p>
    <w:bookmarkStart w:id="49" w:name="page50"/>
    <w:bookmarkEnd w:id="49"/>
    <w:p>
      <w:pPr>
        <w:ind w:left="7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6"/>
          <w:szCs w:val="16"/>
          <w:b w:val="1"/>
          <w:bCs w:val="1"/>
          <w:color w:val="auto"/>
        </w:rPr>
        <w:t>29</w:t>
      </w:r>
    </w:p>
    <w:p>
      <w:pPr>
        <w:spacing w:after="0" w:line="18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measurement date for the U.S. plans is December 31. The measurement date for the non-U.S. plans is September 30. Obligation and asset data for the defined benefit and retiree health care benefit plans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U.S.</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60" w:type="dxa"/>
            <w:vAlign w:val="bottom"/>
            <w:gridSpan w:val="7"/>
          </w:tcPr>
          <w:p>
            <w:pPr>
              <w:jc w:val="right"/>
              <w:ind w:right="180"/>
              <w:spacing w:after="0" w:line="142" w:lineRule="exact"/>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2"/>
                <w:szCs w:val="12"/>
                <w:color w:val="auto"/>
              </w:rPr>
            </w:pPr>
          </w:p>
        </w:tc>
        <w:tc>
          <w:tcPr>
            <w:tcW w:w="132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94"/>
              </w:rPr>
              <w:t>Retiree Health Care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jc w:val="right"/>
              <w:ind w:right="240"/>
              <w:spacing w:after="0" w:line="142" w:lineRule="exact"/>
              <w:rPr>
                <w:sz w:val="20"/>
                <w:szCs w:val="20"/>
                <w:color w:val="auto"/>
              </w:rPr>
            </w:pPr>
            <w:r>
              <w:rPr>
                <w:rFonts w:ascii="Arial" w:cs="Arial" w:eastAsia="Arial" w:hAnsi="Arial"/>
                <w:sz w:val="14"/>
                <w:szCs w:val="14"/>
                <w:b w:val="1"/>
                <w:bCs w:val="1"/>
                <w:color w:val="auto"/>
                <w:w w:val="93"/>
              </w:rPr>
              <w:t>Defined Benefit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2005</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Obligation and funded status of plans:</w:t>
            </w:r>
          </w:p>
        </w:tc>
        <w:tc>
          <w:tcPr>
            <w:tcW w:w="1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Projected benefit obligation at beginning of year</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788</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742</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430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w w:val="84"/>
              </w:rPr>
              <w:t>1,609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47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Participant contributions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Benefits paid</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Plan amendments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(64)</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Actuarial (gain)/loss</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41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Curtailments</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Special termination benefits</w:t>
            </w: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4"/>
          </w:tcPr>
          <w:p>
            <w:pPr>
              <w:spacing w:after="0"/>
              <w:rPr>
                <w:sz w:val="20"/>
                <w:szCs w:val="20"/>
                <w:color w:val="auto"/>
              </w:rPr>
            </w:pPr>
            <w:r>
              <w:rPr>
                <w:rFonts w:ascii="Arial" w:cs="Arial" w:eastAsia="Arial" w:hAnsi="Arial"/>
                <w:sz w:val="18"/>
                <w:szCs w:val="18"/>
                <w:color w:val="auto"/>
              </w:rPr>
              <w:t>Projected benefit obligation at end of year (PBO)</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856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20"/>
              <w:spacing w:after="0"/>
              <w:rPr>
                <w:sz w:val="20"/>
                <w:szCs w:val="20"/>
                <w:color w:val="auto"/>
              </w:rPr>
            </w:pPr>
            <w:r>
              <w:rPr>
                <w:rFonts w:ascii="Arial" w:cs="Arial" w:eastAsia="Arial" w:hAnsi="Arial"/>
                <w:sz w:val="18"/>
                <w:szCs w:val="18"/>
                <w:b w:val="1"/>
                <w:bCs w:val="1"/>
                <w:color w:val="auto"/>
                <w:w w:val="79"/>
              </w:rPr>
              <w:t>453</w:t>
            </w:r>
          </w:p>
        </w:tc>
        <w:tc>
          <w:tcPr>
            <w:tcW w:w="18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1,639</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748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704</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w w:val="84"/>
              </w:rPr>
              <w:t>1,411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4"/>
            <w:vMerge w:val="restart"/>
          </w:tcPr>
          <w:p>
            <w:pPr>
              <w:spacing w:after="0"/>
              <w:rPr>
                <w:sz w:val="20"/>
                <w:szCs w:val="20"/>
                <w:color w:val="auto"/>
              </w:rPr>
            </w:pPr>
            <w:r>
              <w:rPr>
                <w:rFonts w:ascii="Arial" w:cs="Arial" w:eastAsia="Arial" w:hAnsi="Arial"/>
                <w:sz w:val="18"/>
                <w:szCs w:val="18"/>
                <w:color w:val="auto"/>
              </w:rPr>
              <w:t>Change in plan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0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785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652</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323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848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Actual return on plan assets</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181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112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Participant contributions</w:t>
            </w:r>
          </w:p>
        </w:tc>
        <w:tc>
          <w:tcPr>
            <w:tcW w:w="120" w:type="dxa"/>
            <w:vAlign w:val="bottom"/>
          </w:tcPr>
          <w:p>
            <w:pPr>
              <w:spacing w:after="0"/>
              <w:rPr>
                <w:sz w:val="18"/>
                <w:szCs w:val="18"/>
                <w:color w:val="auto"/>
              </w:rPr>
            </w:pPr>
          </w:p>
        </w:tc>
        <w:tc>
          <w:tcPr>
            <w:tcW w:w="440" w:type="dxa"/>
            <w:vAlign w:val="bottom"/>
            <w:gridSpan w:val="2"/>
          </w:tcPr>
          <w:p>
            <w:pPr>
              <w:jc w:val="right"/>
              <w:ind w:right="158"/>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(43)</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Benefits payable</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Actuarial (gains)/losses</w:t>
            </w:r>
          </w:p>
        </w:tc>
        <w:tc>
          <w:tcPr>
            <w:tcW w:w="120" w:type="dxa"/>
            <w:vAlign w:val="bottom"/>
          </w:tcPr>
          <w:p>
            <w:pPr>
              <w:spacing w:after="0"/>
              <w:rPr>
                <w:sz w:val="18"/>
                <w:szCs w:val="18"/>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plan assets at end of year (FVPA)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311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w w:val="84"/>
              </w:rPr>
              <w:t>1,082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4"/>
            <w:vMerge w:val="restart"/>
          </w:tcPr>
          <w:p>
            <w:pPr>
              <w:spacing w:after="0"/>
              <w:rPr>
                <w:sz w:val="20"/>
                <w:szCs w:val="20"/>
                <w:color w:val="auto"/>
              </w:rPr>
            </w:pPr>
            <w:r>
              <w:rPr>
                <w:rFonts w:ascii="Arial" w:cs="Arial" w:eastAsia="Arial" w:hAnsi="Arial"/>
                <w:sz w:val="18"/>
                <w:szCs w:val="18"/>
                <w:color w:val="auto"/>
              </w:rPr>
              <w:t>Funded status (FVPA–PBO)</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4"/>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9"/>
              </w:rPr>
              <w:t>(142</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(557</w:t>
            </w:r>
          </w:p>
        </w:tc>
        <w:tc>
          <w:tcPr>
            <w:tcW w:w="260" w:type="dxa"/>
            <w:vAlign w:val="bottom"/>
          </w:tcPr>
          <w:p>
            <w:pPr>
              <w:jc w:val="right"/>
              <w:ind w:right="118"/>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6"/>
              </w:rPr>
              <w:t>Recognition on TI balance sheets:</w:t>
            </w:r>
          </w:p>
        </w:tc>
        <w:tc>
          <w:tcPr>
            <w:tcW w:w="480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Funded status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w w:val="99"/>
              </w:rPr>
              <w:t>(142)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(557)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Unrecognized net actuarial loss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147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390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Unrecognized prior service cost/(benefit)</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(48)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Adjustments from Sept. 30 to Dec. 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200" w:type="dxa"/>
            <w:vAlign w:val="bottom"/>
            <w:gridSpan w:val="4"/>
            <w:vMerge w:val="restart"/>
          </w:tcPr>
          <w:p>
            <w:pPr>
              <w:spacing w:after="0"/>
              <w:rPr>
                <w:sz w:val="20"/>
                <w:szCs w:val="20"/>
                <w:color w:val="auto"/>
              </w:rPr>
            </w:pPr>
            <w:r>
              <w:rPr>
                <w:rFonts w:ascii="Arial" w:cs="Arial" w:eastAsia="Arial" w:hAnsi="Arial"/>
                <w:sz w:val="18"/>
                <w:szCs w:val="18"/>
                <w:color w:val="auto"/>
              </w:rPr>
              <w:t>Accrued retirement costs at end of year</w:t>
            </w: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gridSpan w:val="4"/>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134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188</w:t>
            </w: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80" w:type="dxa"/>
            <w:vAlign w:val="bottom"/>
            <w:vMerge w:val="continue"/>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recognized in the balance sheets consist of:</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Accrued retirement, current liability</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jc w:val="right"/>
              <w:ind w:right="158"/>
              <w:spacing w:after="0"/>
              <w:rPr>
                <w:sz w:val="20"/>
                <w:szCs w:val="20"/>
                <w:color w:val="auto"/>
              </w:rPr>
            </w:pPr>
            <w:r>
              <w:rPr>
                <w:rFonts w:ascii="Arial" w:cs="Arial" w:eastAsia="Arial" w:hAnsi="Arial"/>
                <w:sz w:val="18"/>
                <w:szCs w:val="18"/>
                <w:b w:val="1"/>
                <w:bCs w:val="1"/>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Accrued retirement, noncurrent liability</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(110)</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Prepaid retirement asset</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28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Intangible asset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134</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29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2005 adjustments from the September 30 measurement date to the December 31 reporting date include the approximate $210 million contribution to the Germany defined benefit pension plan, which was previously unfunded.</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Also during 2005, the retirement plan in Japan experienced significantly better-than-expected investment returns. These returns, plus additional company contributions to other plans, helped to improve the funded status of the non-U.S. plans, shown in the preceding table. Overall, better-than-expected investment returns generally offset actuarial losses generated by reductions in the discount rate assumption.</w:t>
      </w:r>
    </w:p>
    <w:p>
      <w:pPr>
        <w:sectPr>
          <w:pgSz w:w="11900" w:h="16838" w:orient="portrait"/>
          <w:cols w:equalWidth="0" w:num="1">
            <w:col w:w="11420"/>
          </w:cols>
          <w:pgMar w:left="240" w:top="274" w:right="239" w:bottom="1440" w:gutter="0" w:footer="0" w:header="0"/>
        </w:sectPr>
      </w:pPr>
    </w:p>
    <w:bookmarkStart w:id="50" w:name="page51"/>
    <w:bookmarkEnd w:id="50"/>
    <w:p>
      <w:pPr>
        <w:ind w:left="280" w:hanging="272"/>
        <w:spacing w:after="0"/>
        <w:tabs>
          <w:tab w:leader="none" w:pos="2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preceding table presents aggregate information for all plans reported. The following table presents the obligation and asset information for only those plans that have projected benefit obligations in excess of plan assets or plans that have accumulated benefit obligations in excess of plan assets.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Non-U.S.</w:t>
            </w:r>
          </w:p>
        </w:tc>
      </w:tr>
      <w:tr>
        <w:trPr>
          <w:trHeight w:val="175"/>
        </w:trPr>
        <w:tc>
          <w:tcPr>
            <w:tcW w:w="6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5"/>
          </w:tcPr>
          <w:p>
            <w:pPr>
              <w:ind w:left="20"/>
              <w:spacing w:after="0"/>
              <w:rPr>
                <w:sz w:val="20"/>
                <w:szCs w:val="20"/>
                <w:color w:val="auto"/>
              </w:rPr>
            </w:pPr>
            <w:r>
              <w:rPr>
                <w:rFonts w:ascii="Arial" w:cs="Arial" w:eastAsia="Arial" w:hAnsi="Arial"/>
                <w:sz w:val="14"/>
                <w:szCs w:val="14"/>
                <w:b w:val="1"/>
                <w:bCs w:val="1"/>
                <w:color w:val="auto"/>
              </w:rPr>
              <w:t>Defined Benefit</w:t>
            </w:r>
          </w:p>
        </w:tc>
        <w:tc>
          <w:tcPr>
            <w:tcW w:w="160" w:type="dxa"/>
            <w:vAlign w:val="bottom"/>
          </w:tcPr>
          <w:p>
            <w:pPr>
              <w:spacing w:after="0"/>
              <w:rPr>
                <w:sz w:val="15"/>
                <w:szCs w:val="15"/>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Defined Benefit</w:t>
            </w:r>
          </w:p>
        </w:tc>
      </w:tr>
      <w:tr>
        <w:trPr>
          <w:trHeight w:val="142"/>
        </w:trPr>
        <w:tc>
          <w:tcPr>
            <w:tcW w:w="6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w w:val="96"/>
              </w:rPr>
              <w:t>2005</w:t>
            </w:r>
          </w:p>
        </w:tc>
        <w:tc>
          <w:tcPr>
            <w:tcW w:w="760" w:type="dxa"/>
            <w:vAlign w:val="bottom"/>
            <w:tcBorders>
              <w:top w:val="single" w:sz="8" w:color="auto"/>
            </w:tcBorders>
            <w:gridSpan w:val="3"/>
          </w:tcPr>
          <w:p>
            <w:pPr>
              <w:jc w:val="right"/>
              <w:spacing w:after="0" w:line="143"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3"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2004</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Plans with projected benefit obligations greater than assets:</w:t>
            </w:r>
          </w:p>
        </w:tc>
        <w:tc>
          <w:tcPr>
            <w:tcW w:w="2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Projected benefit obligations</w:t>
            </w: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856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$1,639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$1,609</w:t>
            </w: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Plan assets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322"/>
        </w:trPr>
        <w:tc>
          <w:tcPr>
            <w:tcW w:w="6520" w:type="dxa"/>
            <w:vAlign w:val="bottom"/>
          </w:tcPr>
          <w:p>
            <w:pPr>
              <w:spacing w:after="0"/>
              <w:rPr>
                <w:sz w:val="20"/>
                <w:szCs w:val="20"/>
                <w:color w:val="auto"/>
              </w:rPr>
            </w:pPr>
            <w:r>
              <w:rPr>
                <w:rFonts w:ascii="Arial" w:cs="Arial" w:eastAsia="Arial" w:hAnsi="Arial"/>
                <w:sz w:val="18"/>
                <w:szCs w:val="18"/>
                <w:color w:val="auto"/>
              </w:rPr>
              <w:t>Plans with accumulated benefit obligations greater than assets:</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8"/>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benefit obligations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$1,197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28"/>
        </w:trPr>
        <w:tc>
          <w:tcPr>
            <w:tcW w:w="6520" w:type="dxa"/>
            <w:vAlign w:val="bottom"/>
          </w:tcPr>
          <w:p>
            <w:pPr>
              <w:ind w:left="440"/>
              <w:spacing w:after="0"/>
              <w:rPr>
                <w:sz w:val="20"/>
                <w:szCs w:val="20"/>
                <w:color w:val="auto"/>
              </w:rPr>
            </w:pPr>
            <w:r>
              <w:rPr>
                <w:rFonts w:ascii="Arial" w:cs="Arial" w:eastAsia="Arial" w:hAnsi="Arial"/>
                <w:sz w:val="18"/>
                <w:szCs w:val="18"/>
                <w:color w:val="auto"/>
              </w:rPr>
              <w:t>Plan assets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859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649</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Assumptions and Investment Policies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order to select a discount rate for purposes of valuing the plan obligations and fiscal year-end disclosure, an analysis is performed in which the duration of projected cash flows from significant defined benefit and retiree health care plans are matched with a yield curve based on an appropriate universe of high-quality corporate bonds that are available in each country. Additionally, in the U.S. we also consider a bond matching analysis on the projected payment streams of the defined benefit and retiree health care plans. We use the results of the yield curve and bond matching analysis to select the discount rate that matches the duration and payment stream of the benefits in each plan. Each rate is rounded to the nearest quarter of a percent.</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range of assumptions used for the non-U.S. defined benefit plans reflect the different economic environments within the various countries. The assumptions for the non-U.S plans were determined at September 30 and the assumptions for the U.S. plans were determined at December 31. The significant plans in the U.S. were remeasured during the year due to a significant event (employee terminations) related to the restructuring action associated with the Sensors &amp; Controls segment (see Note 16 for a discussion of restructuring actions).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Retiree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8520" w:type="dxa"/>
            <w:vAlign w:val="bottom"/>
          </w:tcPr>
          <w:p>
            <w:pPr>
              <w:spacing w:after="0"/>
              <w:rPr>
                <w:sz w:val="14"/>
                <w:szCs w:val="14"/>
                <w:color w:val="auto"/>
              </w:rPr>
            </w:pPr>
          </w:p>
        </w:tc>
        <w:tc>
          <w:tcPr>
            <w:tcW w:w="1640" w:type="dxa"/>
            <w:vAlign w:val="bottom"/>
            <w:gridSpan w:val="4"/>
          </w:tcPr>
          <w:p>
            <w:pPr>
              <w:ind w:left="140"/>
              <w:spacing w:after="0"/>
              <w:rPr>
                <w:sz w:val="20"/>
                <w:szCs w:val="20"/>
                <w:color w:val="auto"/>
              </w:rPr>
            </w:pPr>
            <w:r>
              <w:rPr>
                <w:rFonts w:ascii="Arial" w:cs="Arial" w:eastAsia="Arial" w:hAnsi="Arial"/>
                <w:sz w:val="14"/>
                <w:szCs w:val="14"/>
                <w:b w:val="1"/>
                <w:bCs w:val="1"/>
                <w:color w:val="auto"/>
              </w:rPr>
              <w:t>Defined Benefit</w:t>
            </w: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Health Care</w:t>
            </w:r>
          </w:p>
        </w:tc>
      </w:tr>
      <w:tr>
        <w:trPr>
          <w:trHeight w:val="142"/>
        </w:trPr>
        <w:tc>
          <w:tcPr>
            <w:tcW w:w="8520" w:type="dxa"/>
            <w:vAlign w:val="bottom"/>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2005</w:t>
            </w: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2004</w:t>
            </w:r>
          </w:p>
        </w:tc>
        <w:tc>
          <w:tcPr>
            <w:tcW w:w="460" w:type="dxa"/>
            <w:vAlign w:val="bottom"/>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2005</w:t>
            </w: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U.S. assumed discount rate</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5.50%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5.75%</w:t>
            </w: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5.50%</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5.50%</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Non-U.S. assumed discount rate:</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High</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5.00%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5.50%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2.25%</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U.S. average long-term pay progression</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4.00%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Non-U.S. average long-term pay progression:</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High</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4.00%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3.00%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22"/>
        </w:trPr>
        <w:tc>
          <w:tcPr>
            <w:tcW w:w="8520" w:type="dxa"/>
            <w:vAlign w:val="bottom"/>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U.S. assumed discount rate</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5.38%</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5.98%</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5.25%</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5.94%</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Non-U.S. assumed discount rate:</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5.50%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Low</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2.25%</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U.S. assumed long-term rate of return on plan assets</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7.00%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8.00%</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7.00%</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7.56%</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Non-U.S. assumed long-term rate of return on plan assets: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6.00%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Low</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3.00%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U.S. average long-term pay progression</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4.00%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Non-U.S. average long-term pay progression:</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4.50%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8"/>
        </w:trPr>
        <w:tc>
          <w:tcPr>
            <w:tcW w:w="8520" w:type="dxa"/>
            <w:vAlign w:val="bottom"/>
          </w:tcPr>
          <w:p>
            <w:pPr>
              <w:ind w:left="440"/>
              <w:spacing w:after="0"/>
              <w:rPr>
                <w:sz w:val="20"/>
                <w:szCs w:val="20"/>
                <w:color w:val="auto"/>
              </w:rPr>
            </w:pPr>
            <w:r>
              <w:rPr>
                <w:rFonts w:ascii="Arial" w:cs="Arial" w:eastAsia="Arial" w:hAnsi="Arial"/>
                <w:sz w:val="18"/>
                <w:szCs w:val="18"/>
                <w:color w:val="auto"/>
              </w:rPr>
              <w:t>Low</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3.00%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51" w:name="page52"/>
    <w:bookmarkEnd w:id="51"/>
    <w:p>
      <w:pPr>
        <w:ind w:left="7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6"/>
          <w:szCs w:val="16"/>
          <w:b w:val="1"/>
          <w:bCs w:val="1"/>
          <w:color w:val="auto"/>
        </w:rPr>
        <w:t>31</w:t>
      </w:r>
    </w:p>
    <w:p>
      <w:pPr>
        <w:spacing w:after="0" w:line="18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expected long-term rate of return on plan assets assumptions are based upon actual historical returns, future expectations for returns for each asset class and the effect of periodic target asset allocation rebalancing. The results are adjusted for the payment of reasonable expenses of the plan from plan assets. The historical long-term return on the plans’ assets has exceeded the selected rates and we believe these assumptions are appropriate based upon the mix of the investments and the long-term nature of the plans’ investments.</w:t>
      </w:r>
    </w:p>
    <w:p>
      <w:pPr>
        <w:spacing w:after="0" w:line="14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For 2005, we reduced the rate of return assumption for both the U.S. defined benefit and retiree health care benefit plans to 7.0 percent, based upon revised expectations for returns for each asset class and reflecting a decision to move gradually over several years to an asset allocation policy for the U.S. defined benefit plan with less emphasis on equity investments. This allocation move is designed to better match the plan’s assets with the liability structure as the plan matures.</w:t>
      </w:r>
    </w:p>
    <w:p>
      <w:pPr>
        <w:spacing w:after="0" w:line="8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table below shows target allocation ranges for the plans that hold a substantial majority of the defined benefit assets. The asset allocations for the retiree health care benefit plan are intended to represent the long-term targeted mix rather than a current mix.</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4"/>
                <w:szCs w:val="14"/>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Defined</w:t>
            </w:r>
          </w:p>
        </w:tc>
        <w:tc>
          <w:tcPr>
            <w:tcW w:w="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Retiree</w:t>
            </w:r>
          </w:p>
        </w:tc>
        <w:tc>
          <w:tcPr>
            <w:tcW w:w="32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Defined</w:t>
            </w:r>
          </w:p>
        </w:tc>
        <w:tc>
          <w:tcPr>
            <w:tcW w:w="0" w:type="dxa"/>
            <w:vAlign w:val="bottom"/>
          </w:tcPr>
          <w:p>
            <w:pPr>
              <w:spacing w:after="0"/>
              <w:rPr>
                <w:sz w:val="1"/>
                <w:szCs w:val="1"/>
                <w:color w:val="auto"/>
              </w:rPr>
            </w:pPr>
          </w:p>
        </w:tc>
      </w:tr>
      <w:tr>
        <w:trPr>
          <w:trHeight w:val="148"/>
        </w:trPr>
        <w:tc>
          <w:tcPr>
            <w:tcW w:w="8600" w:type="dxa"/>
            <w:vAlign w:val="bottom"/>
            <w:gridSpan w:val="3"/>
            <w:vMerge w:val="continue"/>
          </w:tcPr>
          <w:p>
            <w:pPr>
              <w:spacing w:after="0"/>
              <w:rPr>
                <w:sz w:val="12"/>
                <w:szCs w:val="12"/>
                <w:color w:val="auto"/>
              </w:rPr>
            </w:pPr>
          </w:p>
        </w:tc>
        <w:tc>
          <w:tcPr>
            <w:tcW w:w="7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Health Care</w:t>
            </w:r>
          </w:p>
        </w:tc>
        <w:tc>
          <w:tcPr>
            <w:tcW w:w="320" w:type="dxa"/>
            <w:vAlign w:val="bottom"/>
          </w:tcPr>
          <w:p>
            <w:pPr>
              <w:spacing w:after="0"/>
              <w:rPr>
                <w:sz w:val="12"/>
                <w:szCs w:val="12"/>
                <w:color w:val="auto"/>
              </w:rPr>
            </w:pPr>
          </w:p>
        </w:tc>
        <w:tc>
          <w:tcPr>
            <w:tcW w:w="7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50%–75%</w:t>
            </w:r>
          </w:p>
        </w:tc>
        <w:tc>
          <w:tcPr>
            <w:tcW w:w="1020" w:type="dxa"/>
            <w:vAlign w:val="bottom"/>
            <w:gridSpan w:val="2"/>
            <w:shd w:val="clear" w:color="auto" w:fill="CCEEFF"/>
          </w:tcPr>
          <w:p>
            <w:pPr>
              <w:jc w:val="center"/>
              <w:ind w:left="219"/>
              <w:spacing w:after="0"/>
              <w:rPr>
                <w:sz w:val="20"/>
                <w:szCs w:val="20"/>
                <w:color w:val="auto"/>
              </w:rPr>
            </w:pPr>
            <w:r>
              <w:rPr>
                <w:rFonts w:ascii="Arial" w:cs="Arial" w:eastAsia="Arial" w:hAnsi="Arial"/>
                <w:sz w:val="18"/>
                <w:szCs w:val="18"/>
                <w:color w:val="auto"/>
                <w:w w:val="88"/>
              </w:rPr>
              <w:t>75%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40%–90%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Fixed income securities and cash</w:t>
            </w:r>
          </w:p>
        </w:tc>
        <w:tc>
          <w:tcPr>
            <w:tcW w:w="740" w:type="dxa"/>
            <w:vAlign w:val="bottom"/>
            <w:gridSpan w:val="2"/>
          </w:tcPr>
          <w:p>
            <w:pPr>
              <w:spacing w:after="0"/>
              <w:rPr>
                <w:sz w:val="20"/>
                <w:szCs w:val="20"/>
                <w:color w:val="auto"/>
              </w:rPr>
            </w:pPr>
            <w:r>
              <w:rPr>
                <w:rFonts w:ascii="Arial" w:cs="Arial" w:eastAsia="Arial" w:hAnsi="Arial"/>
                <w:sz w:val="18"/>
                <w:szCs w:val="18"/>
                <w:color w:val="auto"/>
                <w:w w:val="87"/>
              </w:rPr>
              <w:t>25%–50%</w:t>
            </w:r>
          </w:p>
        </w:tc>
        <w:tc>
          <w:tcPr>
            <w:tcW w:w="1020" w:type="dxa"/>
            <w:vAlign w:val="bottom"/>
            <w:gridSpan w:val="2"/>
          </w:tcPr>
          <w:p>
            <w:pPr>
              <w:jc w:val="center"/>
              <w:ind w:left="219"/>
              <w:spacing w:after="0"/>
              <w:rPr>
                <w:sz w:val="20"/>
                <w:szCs w:val="20"/>
                <w:color w:val="auto"/>
              </w:rPr>
            </w:pPr>
            <w:r>
              <w:rPr>
                <w:rFonts w:ascii="Arial" w:cs="Arial" w:eastAsia="Arial" w:hAnsi="Arial"/>
                <w:sz w:val="18"/>
                <w:szCs w:val="18"/>
                <w:color w:val="auto"/>
                <w:w w:val="88"/>
              </w:rPr>
              <w:t>25%</w:t>
            </w:r>
          </w:p>
        </w:tc>
        <w:tc>
          <w:tcPr>
            <w:tcW w:w="32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87"/>
              </w:rPr>
              <w:t>10%–60%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the defined benefit plans, it is intended that the investments will be rebalanced when the allocation is not within the target range. Additional contributions are invested consistent with the target ranges and may be used to rebalance the portfolio. The investment allocations and individual investments are chosen with regard to the duration of the obligations of the plan. A small portion of the retiree health care benefit plan assets are invested in an account within the pension trust and are invested in a like manner as the other pension assets. The majority of the assets in the retiree health care benefit plan are invested in a series of Voluntary Employee Benefit Association (VEBA) trusts. For tax efficiency, the investments in the VEBA trusts are not rebalanced but additional contributions to the trusts may be used to reallocate the portfolio.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for U.S. plans at December 31 and non-U.S. plans at September 30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87"/>
              </w:rPr>
              <w:t>Non-U.S.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4"/>
          </w:tcPr>
          <w:p>
            <w:pPr>
              <w:jc w:val="right"/>
              <w:ind w:right="472"/>
              <w:spacing w:after="0" w:line="149" w:lineRule="exact"/>
              <w:rPr>
                <w:sz w:val="20"/>
                <w:szCs w:val="20"/>
                <w:color w:val="auto"/>
              </w:rPr>
            </w:pPr>
            <w:r>
              <w:rPr>
                <w:rFonts w:ascii="Arial" w:cs="Arial" w:eastAsia="Arial" w:hAnsi="Arial"/>
                <w:sz w:val="14"/>
                <w:szCs w:val="14"/>
                <w:b w:val="1"/>
                <w:bCs w:val="1"/>
                <w:color w:val="auto"/>
              </w:rPr>
              <w:t>Defined</w:t>
            </w:r>
          </w:p>
        </w:tc>
        <w:tc>
          <w:tcPr>
            <w:tcW w:w="20" w:type="dxa"/>
            <w:vAlign w:val="bottom"/>
          </w:tcPr>
          <w:p>
            <w:pPr>
              <w:spacing w:after="0"/>
              <w:rPr>
                <w:sz w:val="12"/>
                <w:szCs w:val="12"/>
                <w:color w:val="auto"/>
              </w:rPr>
            </w:pPr>
          </w:p>
        </w:tc>
        <w:tc>
          <w:tcPr>
            <w:tcW w:w="12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Retiree</w:t>
            </w:r>
          </w:p>
        </w:tc>
        <w:tc>
          <w:tcPr>
            <w:tcW w:w="106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Defined</w:t>
            </w:r>
          </w:p>
        </w:tc>
        <w:tc>
          <w:tcPr>
            <w:tcW w:w="0" w:type="dxa"/>
            <w:vAlign w:val="bottom"/>
          </w:tcPr>
          <w:p>
            <w:pPr>
              <w:spacing w:after="0"/>
              <w:rPr>
                <w:sz w:val="1"/>
                <w:szCs w:val="1"/>
                <w:color w:val="auto"/>
              </w:rPr>
            </w:pPr>
          </w:p>
        </w:tc>
      </w:tr>
      <w:tr>
        <w:trPr>
          <w:trHeight w:val="161"/>
        </w:trPr>
        <w:tc>
          <w:tcPr>
            <w:tcW w:w="7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9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Health Care</w:t>
            </w:r>
          </w:p>
        </w:tc>
        <w:tc>
          <w:tcPr>
            <w:tcW w:w="340" w:type="dxa"/>
            <w:vAlign w:val="bottom"/>
          </w:tcPr>
          <w:p>
            <w:pPr>
              <w:spacing w:after="0"/>
              <w:rPr>
                <w:sz w:val="14"/>
                <w:szCs w:val="14"/>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Benefit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80" w:type="dxa"/>
            <w:vAlign w:val="bottom"/>
            <w:gridSpan w:val="3"/>
            <w:vMerge w:val="continue"/>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36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2004</w:t>
            </w:r>
          </w:p>
        </w:tc>
        <w:tc>
          <w:tcPr>
            <w:tcW w:w="320" w:type="dxa"/>
            <w:vAlign w:val="bottom"/>
          </w:tcPr>
          <w:p>
            <w:pPr>
              <w:spacing w:after="0"/>
              <w:rPr>
                <w:sz w:val="12"/>
                <w:szCs w:val="12"/>
                <w:color w:val="auto"/>
              </w:rPr>
            </w:pPr>
          </w:p>
        </w:tc>
        <w:tc>
          <w:tcPr>
            <w:tcW w:w="5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2005</w:t>
            </w:r>
          </w:p>
        </w:tc>
        <w:tc>
          <w:tcPr>
            <w:tcW w:w="70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12"/>
                <w:szCs w:val="12"/>
                <w:color w:val="auto"/>
              </w:rPr>
            </w:pPr>
          </w:p>
        </w:tc>
        <w:tc>
          <w:tcPr>
            <w:tcW w:w="5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w:t>
            </w:r>
          </w:p>
        </w:tc>
        <w:tc>
          <w:tcPr>
            <w:tcW w:w="5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69%</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Fixed income securities and cash</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w:t>
            </w:r>
          </w:p>
        </w:tc>
        <w:tc>
          <w:tcPr>
            <w:tcW w:w="580" w:type="dxa"/>
            <w:vAlign w:val="bottom"/>
            <w:gridSpan w:val="2"/>
          </w:tcPr>
          <w:p>
            <w:pPr>
              <w:jc w:val="right"/>
              <w:ind w:right="92"/>
              <w:spacing w:after="0"/>
              <w:rPr>
                <w:sz w:val="20"/>
                <w:szCs w:val="20"/>
                <w:color w:val="auto"/>
              </w:rPr>
            </w:pPr>
            <w:r>
              <w:rPr>
                <w:rFonts w:ascii="Arial" w:cs="Arial" w:eastAsia="Arial" w:hAnsi="Arial"/>
                <w:sz w:val="18"/>
                <w:szCs w:val="18"/>
                <w:color w:val="auto"/>
              </w:rPr>
              <w:t>31%</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36%</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35%</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There are no significant restrictions on the amount or nature of the investments that may be acquired or held by the plans. In addition, none of the plan assets related to the defined benefit pension plans and retiree health care benefit plan are directly invested in TI common stock.</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did not make any contributions to the trusts for the U.S. defined benefit pension plan or the retiree health care benefit plan in 2005. We contributed $127 million and $95 million to the pension and retiree health care trusts in 2004. Our objective is to, at a minimum, fully fund the accumulated benefit obligation of the U.S. defined benefit pension plan subject to tax deductibility limits. Contributions meet or exceed all minimum funding requirements. We expect to contribute approximately $50 million to U.S. retirement plans and approximately $90 million to non-U.S. retirement plans in 2006.</w:t>
      </w:r>
    </w:p>
    <w:p>
      <w:pPr>
        <w:sectPr>
          <w:pgSz w:w="11900" w:h="16838" w:orient="portrait"/>
          <w:cols w:equalWidth="0" w:num="1">
            <w:col w:w="11420"/>
          </w:cols>
          <w:pgMar w:left="240" w:top="274" w:right="239" w:bottom="1440" w:gutter="0" w:footer="0" w:header="0"/>
        </w:sectPr>
      </w:pPr>
    </w:p>
    <w:bookmarkStart w:id="52" w:name="page53"/>
    <w:bookmarkEnd w:id="52"/>
    <w:p>
      <w:pPr>
        <w:ind w:left="280" w:hanging="272"/>
        <w:spacing w:after="0"/>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projects the benefits expected to be paid to participants from the plans in each of the following years. The majority of the payments will be paid from plan assets and not company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7"/>
              </w:rPr>
              <w:t>U.S. Defined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Retiree</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Medicare</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Expected Benefit Payments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Benefit</w:t>
            </w:r>
          </w:p>
        </w:tc>
        <w:tc>
          <w:tcPr>
            <w:tcW w:w="6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Health Care</w:t>
            </w:r>
          </w:p>
        </w:tc>
        <w:tc>
          <w:tcPr>
            <w:tcW w:w="12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1"/>
              </w:rPr>
              <w:t>Subsidy</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87"/>
              </w:rPr>
              <w:t>Defined Benefit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2011–2015</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9"/>
                <w:szCs w:val="19"/>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Assumed health care cost trend rates for the U.S. retiree health care plan at December 31: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Retiree Health Care</w:t>
            </w:r>
          </w:p>
        </w:tc>
      </w:tr>
      <w:tr>
        <w:trPr>
          <w:trHeight w:val="142"/>
        </w:trPr>
        <w:tc>
          <w:tcPr>
            <w:tcW w:w="78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trend rate for next year</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Attributed to less than age 65</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Attributed to age 65 or greater</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Ultimate trend rate</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Year in which ultimate trend rate is reached</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Attributed to less than age 65</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Attributed to age 65 or greater</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2012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Increasing or decreasing health care cost trend rates by one percentage point would have increased (decreased) the accumulated postretirement benefit obligation at December 31, 2005, by $13 million/$(12) million and the service cost and interest cost components of 2005 plan expense by $1 million/$(1)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Arrangements</w:t>
      </w:r>
    </w:p>
    <w:p>
      <w:pPr>
        <w:spacing w:after="0" w:line="90"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We have a non-qualified deferred compensation plan, which allows certain highly compensated employees the option to defer the receipt of a portion of their salary, bonus and profit sharing. Employees who participate in the deferred compensation plan can select one of eight distribution options offered by the plan. Payments are made after the employee terminates, based on their distribution election and plan balance. Participants can earn a return on their deferred compensation that is based on hypothetical investments in the same mutual funds and TI common stock offered in our defined contribution plans. Changes in the market value of these participant investments are reflected as an adjustment to the liability for deferred compensation with an offset to compensation expense.</w:t>
      </w:r>
    </w:p>
    <w:p>
      <w:pPr>
        <w:spacing w:after="0" w:line="10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As of December 31, 2005, the liability to the participants of the deferred compensation plan was $179 million and is recorded in noncurrent liabilities. This amount reflects the accumulated participant deferrals and earnings thereon as of that date. We make no contributions to the deferred compensation plan and so remain contingently liable to the participants. However, to serve as an economic hedge of the financial impact of changes in market values of these hypothetical investments, we invest in similar mutual funds and have entered into a forward purchase contract (explained below). Changes in the fair value of these mutual fund investments are recognized as an offset to compensation expense (see Note 5 for a discussion of investments).</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no shares of TI common stock are actually held for the account of participants, as of December 31, 2005, we have a forward purchase contract with a commercial bank to acquire 1,000,000 shares of TI common stock at a fixed price of $31.38 per share at the end of the contract term or, at our option, to settle in cash with the bank. We are also able, at our discretion, to unwind all or part of this contract prior to the end of the contract term. The contract is intended to be an economic hedge to minimize the earnings impact from the effect of fluctuations in stock market prices on the portion of the deferred compensation plan obligations that are denominated in TI stock. The forward contract is marked-to-market with any changes reflected in compensation expense. As of December 31, 2005, participants are prohibited from directing any further transfers to the TI common stock portion of the hypothetical investments, so this hedge will remain at or below 1,000,000 shares of TI common stock in the future.</w:t>
      </w:r>
    </w:p>
    <w:p>
      <w:pPr>
        <w:sectPr>
          <w:pgSz w:w="11900" w:h="16838" w:orient="portrait"/>
          <w:cols w:equalWidth="0" w:num="1">
            <w:col w:w="11420"/>
          </w:cols>
          <w:pgMar w:left="240" w:top="280" w:right="239" w:bottom="1440" w:gutter="0" w:footer="0" w:header="0"/>
        </w:sectPr>
      </w:pPr>
    </w:p>
    <w:bookmarkStart w:id="53" w:name="page54"/>
    <w:bookmarkEnd w:id="53"/>
    <w:p>
      <w:pPr>
        <w:ind w:left="7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6"/>
          <w:szCs w:val="16"/>
          <w:b w:val="1"/>
          <w:bCs w:val="1"/>
          <w:color w:val="auto"/>
        </w:rPr>
        <w:t>33</w:t>
      </w:r>
    </w:p>
    <w:p>
      <w:pPr>
        <w:spacing w:after="0" w:line="18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December 2004, as a result of certain provisions within the AJCA, the existing deferred compensation plan was closed to deferral elections for compensation earned after 2004. For compensation earned after 2004, we have allowed deferral elections in accordance with the provisions of the AJCA.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Profit Sharing Plans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also sponsor various profit sharing plans, the largest of which is the TI Employee Profit Sharing Plan. Profit sharing benefits are generally formulaic and determined by one or more business or company-wide financial metrics. Beginning in 2005, profit sharing expense is determined based on a different formula than was used in 2004. The current plan provides for profit sharing to be paid based solely upon TI’s operating margin for the full calendar year. Under this plan, a minimum threshold of 10 percent operating margin must be achieved before any profit sharing is paid. Profit sharing at 10 percent operating margin will be 2 percent of eligible payroll. The maximum amount of profit sharing available under the plan is 20 percent of eligible payroll, and would only be paid when TI’s operating margin meets or exceeds 35 percent for a full calendar year.</w:t>
      </w:r>
    </w:p>
    <w:p>
      <w:pPr>
        <w:spacing w:after="0" w:line="120"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recognized $115 million and $243 million of profit sharing expense under the TI Employee Profit Sharing Plan in 2005 and 2004 but no expenses under this plan were recognized in 2003.</w:t>
      </w:r>
    </w:p>
    <w:p>
      <w:pPr>
        <w:spacing w:after="0" w:line="132"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Certain profit sharing plans worldwide provide that, depending upon the individual plan, a portion of the profit sharing earned by employees may be contributed to a deferred plan. Several investment options are made available to employees for deferred amounts, including TI common stock. The TI board of directors has authorized the issuance of 36.9 million shares of previously unissued TI common shares for deferred profit sharing and savings plans worldwide. None has been issued in the three years ended December 31, 2005. Instead, the trustees of these plans worldwide have purchased outstanding TI common shares from the open market to fund the requirements of these plans: 2.1 million shares in 2005, 3.0 million shares in 2004 and 12.3 million shares in 2003.</w:t>
      </w:r>
    </w:p>
    <w:p>
      <w:pPr>
        <w:spacing w:after="0" w:line="191" w:lineRule="exact"/>
        <w:rPr>
          <w:sz w:val="20"/>
          <w:szCs w:val="20"/>
          <w:color w:val="auto"/>
        </w:rPr>
      </w:pPr>
    </w:p>
    <w:p>
      <w:pPr>
        <w:jc w:val="both"/>
        <w:ind w:right="9480" w:firstLine="8"/>
        <w:spacing w:after="0" w:line="417" w:lineRule="auto"/>
        <w:tabs>
          <w:tab w:leader="none" w:pos="263"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Restructuring Actions </w:t>
      </w:r>
      <w:r>
        <w:rPr>
          <w:rFonts w:ascii="Arial" w:cs="Arial" w:eastAsia="Arial" w:hAnsi="Arial"/>
          <w:sz w:val="15"/>
          <w:szCs w:val="15"/>
          <w:u w:val="single" w:color="auto"/>
          <w:color w:val="auto"/>
        </w:rPr>
        <w:t>2003 Restructuring Actions</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Sensors &amp; Controls Restructuring Action: </w:t>
      </w:r>
      <w:r>
        <w:rPr>
          <w:rFonts w:ascii="Arial" w:cs="Arial" w:eastAsia="Arial" w:hAnsi="Arial"/>
          <w:sz w:val="16"/>
          <w:szCs w:val="16"/>
          <w:color w:val="auto"/>
        </w:rPr>
        <w:t>In 2003, we announced a plan to move certain production lines from Attleboro, Massachusetts, to other TI sites in order</w:t>
      </w:r>
      <w:r>
        <w:rPr>
          <w:rFonts w:ascii="Arial" w:cs="Arial" w:eastAsia="Arial" w:hAnsi="Arial"/>
          <w:sz w:val="16"/>
          <w:szCs w:val="16"/>
          <w:i w:val="1"/>
          <w:iCs w:val="1"/>
          <w:color w:val="auto"/>
        </w:rPr>
        <w:t xml:space="preserve"> </w:t>
      </w:r>
      <w:r>
        <w:rPr>
          <w:rFonts w:ascii="Arial" w:cs="Arial" w:eastAsia="Arial" w:hAnsi="Arial"/>
          <w:sz w:val="16"/>
          <w:szCs w:val="16"/>
          <w:color w:val="auto"/>
        </w:rPr>
        <w:t>to be geographically closer to customers and their markets and to reduce manufacturing costs. This restructuring action is expected to affect about 930 jobs through 2006, primarily in manufacturing operations. The total cost of this restructuring action is expected to be about $72 million. As of December 31, 2005, a total of 911 employees have been terminated. The remaining payments are expected to be completed by the end of 2006.</w:t>
      </w:r>
    </w:p>
    <w:p>
      <w:pPr>
        <w:spacing w:after="0" w:line="1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Semiconductor Restructuring Action: </w:t>
      </w:r>
      <w:r>
        <w:rPr>
          <w:rFonts w:ascii="Arial" w:cs="Arial" w:eastAsia="Arial" w:hAnsi="Arial"/>
          <w:sz w:val="16"/>
          <w:szCs w:val="16"/>
          <w:color w:val="auto"/>
        </w:rPr>
        <w:t>In 2003, we announced a restructuring action that affected 897 jobs in Semiconductor manufacturing operations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and international locations, as those operations became more productive with fewer people. The total cost of this restructuring action was $82 million. As of December 31, 2005, all employees affected had been terminated, and a balance of $4 million of severance and benefit costs remains to be paid through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Actions</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Prior to 2003, we conducted various restructuring actions, primarily in Semiconductor operations. All charges were complete prior to 2003. As of December 31, 2005, all employees affected had been terminated, and a balance of $10 million of severance and benefit costs remains to be paid through 2008.</w:t>
      </w:r>
    </w:p>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34 </w:t>
      </w:r>
      <w:r>
        <w:rPr>
          <w:rFonts w:ascii="Arial" w:cs="Arial" w:eastAsia="Arial" w:hAnsi="Arial"/>
          <w:sz w:val="18"/>
          <w:szCs w:val="18"/>
          <w:color w:val="auto"/>
        </w:rPr>
        <w:t>TEXAS INSTRUMENTS 2005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above-mentioned restructuring accruals: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2003</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2003</w:t>
            </w:r>
          </w:p>
        </w:tc>
        <w:tc>
          <w:tcPr>
            <w:tcW w:w="680" w:type="dxa"/>
            <w:vAlign w:val="bottom"/>
          </w:tcPr>
          <w:p>
            <w:pPr>
              <w:spacing w:after="0"/>
              <w:rPr>
                <w:sz w:val="14"/>
                <w:szCs w:val="14"/>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Sensors &amp; Controls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Semiconductor</w:t>
            </w:r>
          </w:p>
        </w:tc>
        <w:tc>
          <w:tcPr>
            <w:tcW w:w="68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00" w:type="dxa"/>
            <w:vAlign w:val="bottom"/>
          </w:tcPr>
          <w:p>
            <w:pPr>
              <w:spacing w:after="0"/>
              <w:rPr>
                <w:sz w:val="12"/>
                <w:szCs w:val="12"/>
                <w:color w:val="auto"/>
              </w:rPr>
            </w:pPr>
          </w:p>
        </w:tc>
        <w:tc>
          <w:tcPr>
            <w:tcW w:w="15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8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Prior</w:t>
            </w:r>
          </w:p>
        </w:tc>
        <w:tc>
          <w:tcPr>
            <w:tcW w:w="0" w:type="dxa"/>
            <w:vAlign w:val="bottom"/>
          </w:tcPr>
          <w:p>
            <w:pPr>
              <w:spacing w:after="0"/>
              <w:rPr>
                <w:sz w:val="1"/>
                <w:szCs w:val="1"/>
                <w:color w:val="auto"/>
              </w:rPr>
            </w:pPr>
          </w:p>
        </w:tc>
      </w:tr>
      <w:tr>
        <w:trPr>
          <w:trHeight w:val="148"/>
        </w:trPr>
        <w:tc>
          <w:tcPr>
            <w:tcW w:w="57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3"/>
          </w:tcPr>
          <w:p>
            <w:pPr>
              <w:jc w:val="right"/>
              <w:ind w:right="740"/>
              <w:spacing w:after="0" w:line="148"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38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Action</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7"/>
              </w:rPr>
              <w:t>Action</w:t>
            </w:r>
          </w:p>
        </w:tc>
        <w:tc>
          <w:tcPr>
            <w:tcW w:w="5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Actions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Charges: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Severance charges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w w:val="96"/>
              </w:rPr>
              <w:t>Non-cash acceleration of depreciation and write-down of fixed assets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Severance payments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Non-cash transfer to accumulated depreciation and write-down of fixed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2003</w:t>
            </w: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Severance charges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acceleration of depreciation</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Dispositions: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Severance payments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Non-cash transfer to accumulated depreciation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760" w:type="dxa"/>
            <w:vAlign w:val="bottom"/>
          </w:tcPr>
          <w:p>
            <w:pPr>
              <w:ind w:left="420"/>
              <w:spacing w:after="0"/>
              <w:rPr>
                <w:sz w:val="20"/>
                <w:szCs w:val="20"/>
                <w:color w:val="auto"/>
              </w:rPr>
            </w:pPr>
            <w:r>
              <w:rPr>
                <w:rFonts w:ascii="Arial" w:cs="Arial" w:eastAsia="Arial" w:hAnsi="Arial"/>
                <w:sz w:val="18"/>
                <w:szCs w:val="18"/>
                <w:b w:val="1"/>
                <w:bCs w:val="1"/>
                <w:color w:val="auto"/>
              </w:rPr>
              <w:t>Charges: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Severance charges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b w:val="1"/>
                <w:bCs w:val="1"/>
                <w:color w:val="auto"/>
              </w:rPr>
              <w:t>Dispositions: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Severance payments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(33)</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2005</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2003 charges classified to:</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102</w:t>
            </w:r>
          </w:p>
        </w:tc>
        <w:tc>
          <w:tcPr>
            <w:tcW w:w="6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R&amp;D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SG&amp;A</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2004 charges classified to:</w:t>
            </w: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SG&amp;A</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2005 charges classified to:</w:t>
            </w: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Cost of 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b w:val="1"/>
                <w:bCs w:val="1"/>
                <w:color w:val="auto"/>
              </w:rPr>
              <w:t>SG&amp;A</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All charges/dispositions are cash items unless otherwise noted.</w:t>
      </w:r>
    </w:p>
    <w:p>
      <w:pPr>
        <w:sectPr>
          <w:pgSz w:w="11900" w:h="16838" w:orient="portrait"/>
          <w:cols w:equalWidth="0" w:num="1">
            <w:col w:w="11420"/>
          </w:cols>
          <w:pgMar w:left="240" w:top="27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35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 and Geographic Area Data</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Semiconductor segment designs, manufactures and sells integrated circuits. Our core products include analog integrated circuits and digital signal processors, which are used in a broad range of electronic systems. These systems include cellular telephones, personal computers, servers, communications infrastructure equipment, motor controls, automotive equipment and digital imaging systems such as front projectors and high-definition digital televisions. Semiconductor products are sold to original-equipment manufacturers (OEMs), original-design manufacturers (ODMs), contract manufacturers and distributors. An OEM designs and sells products under its own brand that it manufactures in-house or has contracted to other manufacturers. An ODM designs and manufactures products for other companies to sell under their brands. Distributors sell TI products directly to a wide range of customers. The semiconductor market is intensely competitive and is subject to rapid technological change, pricing pressures, and the requirement of high rates of investment for R&amp;D and for the manufacturing factories and equipment needed to produce advanced semiconductors. We face significant competition in this segment. This business segment represented 87 percent of revenue in 2005.</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Sensors &amp; Controls segment designs and manufactures sensors, electrical and electronic controls, and radio frequency identification (RFID) systems. Our sensors operations are the market leader in pressure sensing for the heating/ventilation/air conditioning, automotive and industrial markets. Our products improve operating performance, for example, by making a car’s heating and air-conditioning systems work more efficiently. Our pressure sensors for fuel injection and vehicle stability improve safety and performance and help the environment by reducing vehicle emissions and improving gas mileage. Our controls operations include controls, motor protectors, circuit breakers, arc-fault circuit protectors and thermostats. These products help prevent damage from overheating and fires in a wide variety of applications, including aircraft, commercial heating and air-conditioning systems, refrigerators, cars, lighting and industrial applications. RFID technology uses wireless radio communications to uniquely identify objects or people. It is used in a broad range of applications including access control to buildings, pay-at-the-pump gasoline sales, vehicle security, document tracking, livestock tracking and identification, product authentication, retail, sports timing, supply chain, ticketing and wireless payment. Our RFID systems consist of a transponder, receiver and other components such as antennas. Sensors &amp; Controls is typically the top supplier in its targeted product areas, although we do have strong multinational and regional competitors. The primary competitive factors in this business are product reliability, manufacturing costs and engineering expertise. Sensors &amp; Controls products are sold to OEMs and distributors. This business segment represented 9 percent of our revenue in 2005.</w:t>
      </w:r>
    </w:p>
    <w:p>
      <w:pPr>
        <w:spacing w:after="0" w:line="124"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 xml:space="preserve">We have entered into an agreement to sell to an affiliate of Bain Capital, LLC, for $3 billion, substantially all of our Sensors &amp; Controls segment. The RFID operations, which are not included in the sale, will become part of our Semiconductor segment (see Note 21 for a discussion of </w:t>
      </w:r>
      <w:r>
        <w:rPr>
          <w:rFonts w:ascii="Arial" w:cs="Arial" w:eastAsia="Arial" w:hAnsi="Arial"/>
          <w:sz w:val="16"/>
          <w:szCs w:val="16"/>
          <w:i w:val="1"/>
          <w:iCs w:val="1"/>
          <w:color w:val="auto"/>
        </w:rPr>
        <w:t>Discontinued Business</w:t>
      </w:r>
      <w:r>
        <w:rPr>
          <w:rFonts w:ascii="Arial" w:cs="Arial" w:eastAsia="Arial" w:hAnsi="Arial"/>
          <w:sz w:val="16"/>
          <w:szCs w:val="16"/>
          <w:color w:val="auto"/>
        </w:rPr>
        <w:t>).</w:t>
      </w:r>
    </w:p>
    <w:p>
      <w:pPr>
        <w:spacing w:after="0" w:line="8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Our Educational &amp; Productivity Solutions segment is a leading supplier of graphing handheld calculators. This business segment also provides customers with business and scientific calculators and a wide range of advanced classroom tools and professional development resources to help students and teachers interactively explore math and science. E&amp;PS relies on third-party manufacturers to build its products. Our principal competitors in this business are U.S.- and Japan-based companies. The principal competitive factors are an understanding of the education market, technology expertise and price. E&amp;PS sells products primarily through retailers and instructional dealers. This business segment represented 4 percent of our 2005 revenue.</w:t>
      </w:r>
    </w:p>
    <w:p>
      <w:pPr>
        <w:spacing w:after="0" w:line="1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Operating profits of the three principal businesses exclude the effects of stock-based compensation expense, special charges and gains, and acquisition-related amortization, which are included in corporate activities. The results for Semiconductor include the effects of all royalty revenue from semiconductor-related license agreements. Business assets are the owned or allocated assets used by each business.</w:t>
      </w:r>
    </w:p>
    <w:p>
      <w:pPr>
        <w:spacing w:after="0" w:line="10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Also included in corporate activities are general corporate expenses, elimination of intersegment transactions (which are generally intended to approximate market prices) and royalty revenue from computer-related license agreements. Assets of corporate activities include unallocated cash, short-term investments, noncurrent investments and deferred income taxes.</w:t>
      </w:r>
    </w:p>
    <w:p>
      <w:pPr>
        <w:sectPr>
          <w:pgSz w:w="11900" w:h="16838" w:orient="portrait"/>
          <w:cols w:equalWidth="0" w:num="1">
            <w:col w:w="11420"/>
          </w:cols>
          <w:pgMar w:left="240" w:top="274" w:right="239" w:bottom="1440" w:gutter="0" w:footer="0" w:header="0"/>
        </w:sectPr>
      </w:pPr>
    </w:p>
    <w:bookmarkStart w:id="56" w:name="page57"/>
    <w:bookmarkEnd w:id="56"/>
    <w:p>
      <w:pPr>
        <w:ind w:right="7420" w:firstLine="8"/>
        <w:spacing w:after="0" w:line="440" w:lineRule="auto"/>
        <w:tabs>
          <w:tab w:leader="none" w:pos="27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u w:val="single" w:color="auto"/>
          <w:color w:val="auto"/>
        </w:rPr>
        <w:t>Business Segment Information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0"/>
              </w:rPr>
              <w:t>Sensors &amp;</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Corporate</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1"/>
        </w:trPr>
        <w:tc>
          <w:tcPr>
            <w:tcW w:w="70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4"/>
              </w:rPr>
              <w:t>Semiconductor</w:t>
            </w: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Controls</w:t>
            </w:r>
          </w:p>
        </w:tc>
        <w:tc>
          <w:tcPr>
            <w:tcW w:w="32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E&amp;PS</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Activities</w:t>
            </w:r>
          </w:p>
        </w:tc>
        <w:tc>
          <w:tcPr>
            <w:tcW w:w="16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Total</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Revenue</w:t>
            </w: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11,719</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$ 1,167</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$506</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$13,392</w:t>
            </w:r>
          </w:p>
        </w:tc>
      </w:tr>
      <w:tr>
        <w:trPr>
          <w:trHeight w:val="216"/>
        </w:trPr>
        <w:tc>
          <w:tcPr>
            <w:tcW w:w="7080" w:type="dxa"/>
            <w:vAlign w:val="bottom"/>
            <w:shd w:val="clear" w:color="auto" w:fill="CCEEFF"/>
          </w:tcPr>
          <w:p>
            <w:pPr>
              <w:jc w:val="right"/>
              <w:ind w:right="6192"/>
              <w:spacing w:after="0"/>
              <w:rPr>
                <w:sz w:val="20"/>
                <w:szCs w:val="20"/>
                <w:color w:val="auto"/>
              </w:rPr>
            </w:pPr>
            <w:r>
              <w:rPr>
                <w:rFonts w:ascii="Arial" w:cs="Arial" w:eastAsia="Arial" w:hAnsi="Arial"/>
                <w:sz w:val="18"/>
                <w:szCs w:val="18"/>
                <w:color w:val="auto"/>
              </w:rPr>
              <w:t>2004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12,580</w:t>
            </w: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color w:val="auto"/>
              </w:rPr>
              <w:t>2003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8,345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1,004</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485</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9,834</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7080" w:type="dxa"/>
            <w:vAlign w:val="bottom"/>
            <w:shd w:val="clear" w:color="auto" w:fill="CCEEFF"/>
          </w:tcPr>
          <w:p>
            <w:pPr>
              <w:jc w:val="right"/>
              <w:ind w:right="6192"/>
              <w:spacing w:after="0"/>
              <w:rPr>
                <w:sz w:val="20"/>
                <w:szCs w:val="20"/>
                <w:color w:val="auto"/>
              </w:rPr>
            </w:pPr>
            <w:r>
              <w:rPr>
                <w:rFonts w:ascii="Arial" w:cs="Arial" w:eastAsia="Arial" w:hAnsi="Arial"/>
                <w:sz w:val="18"/>
                <w:szCs w:val="18"/>
                <w:color w:val="auto"/>
              </w:rPr>
              <w:t>2004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color w:val="auto"/>
              </w:rPr>
              <w:t>2003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11,722</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1,172</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506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13,392</w:t>
            </w:r>
          </w:p>
        </w:tc>
      </w:tr>
      <w:tr>
        <w:trPr>
          <w:trHeight w:val="216"/>
        </w:trPr>
        <w:tc>
          <w:tcPr>
            <w:tcW w:w="7080" w:type="dxa"/>
            <w:vAlign w:val="bottom"/>
            <w:shd w:val="clear" w:color="auto" w:fill="CCEEFF"/>
          </w:tcPr>
          <w:p>
            <w:pPr>
              <w:jc w:val="right"/>
              <w:ind w:right="6192"/>
              <w:spacing w:after="0"/>
              <w:rPr>
                <w:sz w:val="20"/>
                <w:szCs w:val="20"/>
                <w:color w:val="auto"/>
              </w:rPr>
            </w:pPr>
            <w:r>
              <w:rPr>
                <w:rFonts w:ascii="Arial" w:cs="Arial" w:eastAsia="Arial" w:hAnsi="Arial"/>
                <w:sz w:val="18"/>
                <w:szCs w:val="18"/>
                <w:color w:val="auto"/>
              </w:rPr>
              <w:t>2004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12,580</w:t>
            </w: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color w:val="auto"/>
              </w:rPr>
              <w:t>2003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8,360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485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9,834</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from Operations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2,797</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266</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188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(460)</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2,791</w:t>
            </w:r>
          </w:p>
        </w:tc>
      </w:tr>
      <w:tr>
        <w:trPr>
          <w:trHeight w:val="216"/>
        </w:trPr>
        <w:tc>
          <w:tcPr>
            <w:tcW w:w="7080" w:type="dxa"/>
            <w:vAlign w:val="bottom"/>
            <w:shd w:val="clear" w:color="auto" w:fill="CCEEFF"/>
          </w:tcPr>
          <w:p>
            <w:pPr>
              <w:jc w:val="right"/>
              <w:ind w:right="6192"/>
              <w:spacing w:after="0"/>
              <w:rPr>
                <w:sz w:val="20"/>
                <w:szCs w:val="20"/>
                <w:color w:val="auto"/>
              </w:rPr>
            </w:pPr>
            <w:r>
              <w:rPr>
                <w:rFonts w:ascii="Arial" w:cs="Arial" w:eastAsia="Arial" w:hAnsi="Arial"/>
                <w:sz w:val="18"/>
                <w:szCs w:val="18"/>
                <w:color w:val="auto"/>
              </w:rPr>
              <w:t>2004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color w:val="auto"/>
              </w:rPr>
              <w:t>2003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157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965</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6,472</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479</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90</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8,022</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15,063</w:t>
            </w:r>
          </w:p>
        </w:tc>
      </w:tr>
      <w:tr>
        <w:trPr>
          <w:trHeight w:val="216"/>
        </w:trPr>
        <w:tc>
          <w:tcPr>
            <w:tcW w:w="7080" w:type="dxa"/>
            <w:vAlign w:val="bottom"/>
            <w:shd w:val="clear" w:color="auto" w:fill="CCEEFF"/>
          </w:tcPr>
          <w:p>
            <w:pPr>
              <w:jc w:val="right"/>
              <w:ind w:right="6192"/>
              <w:spacing w:after="0"/>
              <w:rPr>
                <w:sz w:val="20"/>
                <w:szCs w:val="20"/>
                <w:color w:val="auto"/>
              </w:rPr>
            </w:pPr>
            <w:r>
              <w:rPr>
                <w:rFonts w:ascii="Arial" w:cs="Arial" w:eastAsia="Arial" w:hAnsi="Arial"/>
                <w:sz w:val="18"/>
                <w:szCs w:val="18"/>
                <w:color w:val="auto"/>
              </w:rPr>
              <w:t>2004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16,299</w:t>
            </w: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color w:val="auto"/>
              </w:rPr>
              <w:t>2003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6,197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97</w:t>
            </w:r>
          </w:p>
        </w:tc>
        <w:tc>
          <w:tcPr>
            <w:tcW w:w="600" w:type="dxa"/>
            <w:vAlign w:val="bottom"/>
          </w:tcPr>
          <w:p>
            <w:pPr>
              <w:jc w:val="right"/>
              <w:spacing w:after="0"/>
              <w:rPr>
                <w:sz w:val="20"/>
                <w:szCs w:val="20"/>
                <w:color w:val="auto"/>
              </w:rPr>
            </w:pPr>
            <w:r>
              <w:rPr>
                <w:rFonts w:ascii="Arial" w:cs="Arial" w:eastAsia="Arial" w:hAnsi="Arial"/>
                <w:sz w:val="18"/>
                <w:szCs w:val="18"/>
                <w:color w:val="auto"/>
              </w:rPr>
              <w:t>8,844</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15,510</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Additions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1,240</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1,330</w:t>
            </w:r>
          </w:p>
        </w:tc>
      </w:tr>
      <w:tr>
        <w:trPr>
          <w:trHeight w:val="216"/>
        </w:trPr>
        <w:tc>
          <w:tcPr>
            <w:tcW w:w="7080" w:type="dxa"/>
            <w:vAlign w:val="bottom"/>
            <w:shd w:val="clear" w:color="auto" w:fill="CCEEFF"/>
          </w:tcPr>
          <w:p>
            <w:pPr>
              <w:jc w:val="right"/>
              <w:ind w:right="6192"/>
              <w:spacing w:after="0"/>
              <w:rPr>
                <w:sz w:val="20"/>
                <w:szCs w:val="20"/>
                <w:color w:val="auto"/>
              </w:rPr>
            </w:pPr>
            <w:r>
              <w:rPr>
                <w:rFonts w:ascii="Arial" w:cs="Arial" w:eastAsia="Arial" w:hAnsi="Arial"/>
                <w:sz w:val="18"/>
                <w:szCs w:val="18"/>
                <w:color w:val="auto"/>
              </w:rPr>
              <w:t>2004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color w:val="auto"/>
              </w:rPr>
              <w:t>2003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080" w:type="dxa"/>
            <w:vAlign w:val="bottom"/>
          </w:tcPr>
          <w:p>
            <w:pPr>
              <w:jc w:val="right"/>
              <w:ind w:right="6192"/>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1,290</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1,375</w:t>
            </w:r>
          </w:p>
        </w:tc>
      </w:tr>
      <w:tr>
        <w:trPr>
          <w:trHeight w:val="216"/>
        </w:trPr>
        <w:tc>
          <w:tcPr>
            <w:tcW w:w="7080" w:type="dxa"/>
            <w:vAlign w:val="bottom"/>
            <w:shd w:val="clear" w:color="auto" w:fill="CCEEFF"/>
          </w:tcPr>
          <w:p>
            <w:pPr>
              <w:jc w:val="right"/>
              <w:ind w:right="6192"/>
              <w:spacing w:after="0"/>
              <w:rPr>
                <w:sz w:val="20"/>
                <w:szCs w:val="20"/>
                <w:color w:val="auto"/>
              </w:rPr>
            </w:pPr>
            <w:r>
              <w:rPr>
                <w:rFonts w:ascii="Arial" w:cs="Arial" w:eastAsia="Arial" w:hAnsi="Arial"/>
                <w:sz w:val="18"/>
                <w:szCs w:val="18"/>
                <w:color w:val="auto"/>
              </w:rPr>
              <w:t>2004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222"/>
        </w:trPr>
        <w:tc>
          <w:tcPr>
            <w:tcW w:w="7080" w:type="dxa"/>
            <w:vAlign w:val="bottom"/>
          </w:tcPr>
          <w:p>
            <w:pPr>
              <w:jc w:val="right"/>
              <w:ind w:right="6192"/>
              <w:spacing w:after="0"/>
              <w:rPr>
                <w:sz w:val="20"/>
                <w:szCs w:val="20"/>
                <w:color w:val="auto"/>
              </w:rPr>
            </w:pPr>
            <w:r>
              <w:rPr>
                <w:rFonts w:ascii="Arial" w:cs="Arial" w:eastAsia="Arial" w:hAnsi="Arial"/>
                <w:sz w:val="18"/>
                <w:szCs w:val="18"/>
                <w:color w:val="auto"/>
              </w:rPr>
              <w:t>2003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1,429</w:t>
            </w:r>
          </w:p>
        </w:tc>
      </w:tr>
    </w:tbl>
    <w:p>
      <w:pPr>
        <w:spacing w:after="0" w:line="14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geographic area data includes trade revenue, based on product shipment destination and royalty payor location, and property, plant and equipment based on physical location: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Geographic Area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Asia-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Rest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1"/>
        </w:trPr>
        <w:tc>
          <w:tcPr>
            <w:tcW w:w="5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States</w:t>
            </w:r>
          </w:p>
        </w:tc>
        <w:tc>
          <w:tcPr>
            <w:tcW w:w="12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Pacific</w:t>
            </w:r>
          </w:p>
        </w:tc>
        <w:tc>
          <w:tcPr>
            <w:tcW w:w="10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Europe</w:t>
            </w:r>
          </w:p>
        </w:tc>
        <w:tc>
          <w:tcPr>
            <w:tcW w:w="10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Japan</w:t>
            </w: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Revenue</w:t>
            </w:r>
          </w:p>
        </w:tc>
        <w:tc>
          <w:tcPr>
            <w:tcW w:w="2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jc w:val="right"/>
              <w:ind w:right="4132"/>
              <w:spacing w:after="0"/>
              <w:rPr>
                <w:sz w:val="20"/>
                <w:szCs w:val="20"/>
                <w:color w:val="auto"/>
              </w:rPr>
            </w:pPr>
            <w:r>
              <w:rPr>
                <w:rFonts w:ascii="Arial" w:cs="Arial" w:eastAsia="Arial" w:hAnsi="Arial"/>
                <w:sz w:val="18"/>
                <w:szCs w:val="18"/>
                <w:b w:val="1"/>
                <w:bCs w:val="1"/>
                <w:color w:val="auto"/>
              </w:rPr>
              <w:t>2005</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$2,121</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6,423</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2,345</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1,916</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587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13,392</w:t>
            </w:r>
          </w:p>
        </w:tc>
      </w:tr>
      <w:tr>
        <w:trPr>
          <w:trHeight w:val="216"/>
        </w:trPr>
        <w:tc>
          <w:tcPr>
            <w:tcW w:w="5020" w:type="dxa"/>
            <w:vAlign w:val="bottom"/>
            <w:shd w:val="clear" w:color="auto" w:fill="CCEEFF"/>
          </w:tcPr>
          <w:p>
            <w:pPr>
              <w:jc w:val="right"/>
              <w:ind w:right="4132"/>
              <w:spacing w:after="0"/>
              <w:rPr>
                <w:sz w:val="20"/>
                <w:szCs w:val="20"/>
                <w:color w:val="auto"/>
              </w:rPr>
            </w:pPr>
            <w:r>
              <w:rPr>
                <w:rFonts w:ascii="Arial" w:cs="Arial" w:eastAsia="Arial" w:hAnsi="Arial"/>
                <w:sz w:val="18"/>
                <w:szCs w:val="18"/>
                <w:color w:val="auto"/>
              </w:rPr>
              <w:t>2004</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5,709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2,265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2,033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12,580</w:t>
            </w:r>
          </w:p>
        </w:tc>
      </w:tr>
      <w:tr>
        <w:trPr>
          <w:trHeight w:val="216"/>
        </w:trPr>
        <w:tc>
          <w:tcPr>
            <w:tcW w:w="5020" w:type="dxa"/>
            <w:vAlign w:val="bottom"/>
          </w:tcPr>
          <w:p>
            <w:pPr>
              <w:jc w:val="right"/>
              <w:ind w:right="4132"/>
              <w:spacing w:after="0"/>
              <w:rPr>
                <w:sz w:val="20"/>
                <w:szCs w:val="20"/>
                <w:color w:val="auto"/>
              </w:rPr>
            </w:pPr>
            <w:r>
              <w:rPr>
                <w:rFonts w:ascii="Arial" w:cs="Arial" w:eastAsia="Arial" w:hAnsi="Arial"/>
                <w:sz w:val="18"/>
                <w:szCs w:val="18"/>
                <w:color w:val="auto"/>
              </w:rPr>
              <w:t>2003</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3,885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1,962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1,658</w:t>
            </w: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9,834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20" w:type="dxa"/>
            <w:vAlign w:val="bottom"/>
          </w:tcPr>
          <w:p>
            <w:pPr>
              <w:jc w:val="right"/>
              <w:ind w:right="4132"/>
              <w:spacing w:after="0"/>
              <w:rPr>
                <w:sz w:val="20"/>
                <w:szCs w:val="20"/>
                <w:color w:val="auto"/>
              </w:rPr>
            </w:pPr>
            <w:r>
              <w:rPr>
                <w:rFonts w:ascii="Arial" w:cs="Arial" w:eastAsia="Arial" w:hAnsi="Arial"/>
                <w:sz w:val="18"/>
                <w:szCs w:val="18"/>
                <w:b w:val="1"/>
                <w:bCs w:val="1"/>
                <w:color w:val="auto"/>
              </w:rPr>
              <w:t>2005</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$2,596</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767</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222</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262</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3,899</w:t>
            </w:r>
          </w:p>
        </w:tc>
      </w:tr>
      <w:tr>
        <w:trPr>
          <w:trHeight w:val="216"/>
        </w:trPr>
        <w:tc>
          <w:tcPr>
            <w:tcW w:w="5020" w:type="dxa"/>
            <w:vAlign w:val="bottom"/>
            <w:shd w:val="clear" w:color="auto" w:fill="CCEEFF"/>
          </w:tcPr>
          <w:p>
            <w:pPr>
              <w:jc w:val="right"/>
              <w:ind w:right="4132"/>
              <w:spacing w:after="0"/>
              <w:rPr>
                <w:sz w:val="20"/>
                <w:szCs w:val="20"/>
                <w:color w:val="auto"/>
              </w:rPr>
            </w:pPr>
            <w:r>
              <w:rPr>
                <w:rFonts w:ascii="Arial" w:cs="Arial" w:eastAsia="Arial" w:hAnsi="Arial"/>
                <w:sz w:val="18"/>
                <w:szCs w:val="18"/>
                <w:color w:val="auto"/>
              </w:rPr>
              <w:t>2004</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r>
      <w:tr>
        <w:trPr>
          <w:trHeight w:val="222"/>
        </w:trPr>
        <w:tc>
          <w:tcPr>
            <w:tcW w:w="5020" w:type="dxa"/>
            <w:vAlign w:val="bottom"/>
          </w:tcPr>
          <w:p>
            <w:pPr>
              <w:jc w:val="right"/>
              <w:ind w:right="4132"/>
              <w:spacing w:after="0"/>
              <w:rPr>
                <w:sz w:val="20"/>
                <w:szCs w:val="20"/>
                <w:color w:val="auto"/>
              </w:rPr>
            </w:pPr>
            <w:r>
              <w:rPr>
                <w:rFonts w:ascii="Arial" w:cs="Arial" w:eastAsia="Arial" w:hAnsi="Arial"/>
                <w:sz w:val="18"/>
                <w:szCs w:val="18"/>
                <w:color w:val="auto"/>
              </w:rPr>
              <w:t>2003</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color w:val="auto"/>
              </w:rPr>
              <w:t>2,884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4,132</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Customer</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Direct sales to the Nokia group of companies were slightly less than 10 percent of our revenue in both 2004 and 2005, although if indirect sales such as to contract manufacturers are included, Nokia accounted for more than 10 percent of our 2004 and 2005 revenue. Overall, our sales to Nokia as a percent of revenue were slightly higher in 2005 than in 2004. In 2003, Nokia accounted for 14 percent of revenue.</w:t>
      </w:r>
    </w:p>
    <w:p>
      <w:pPr>
        <w:sectPr>
          <w:pgSz w:w="11900" w:h="16838" w:orient="portrait"/>
          <w:cols w:equalWidth="0" w:num="1">
            <w:col w:w="11420"/>
          </w:cols>
          <w:pgMar w:left="240" w:top="2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37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During 2005, we repatriated approximately $1.29 billion of non-U.S. subsidiary earnings that qualified under the AJCA and recognized a related tax expense of $55 million.</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Provision has previously been made for deferred taxes on undistributed earnings of non-U.S. subsidiaries to the extent that dividend payments from such companies are expected to result in additional tax liability. The remaining undistributed earnings (approximately $1.01 billion at December 31, 2005) have been indefinitely reinvested; therefore, no provision has been made for taxes due upon remittance of these earnings. Determination of the amount of unrecognized deferred tax liability on these unremitted earnings is not feasible.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before 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77"/>
              </w:rPr>
              <w:t>Non-U.S.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7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$1,840</w:t>
            </w:r>
          </w:p>
        </w:tc>
        <w:tc>
          <w:tcPr>
            <w:tcW w:w="7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$ 1,148</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$2,988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2004</w:t>
            </w:r>
          </w:p>
        </w:tc>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5"/>
          </w:tcPr>
          <w:p>
            <w:pPr>
              <w:jc w:val="right"/>
              <w:ind w:right="80"/>
              <w:spacing w:after="0"/>
              <w:rPr>
                <w:sz w:val="20"/>
                <w:szCs w:val="20"/>
                <w:color w:val="auto"/>
              </w:rPr>
            </w:pPr>
            <w:r>
              <w:rPr>
                <w:rFonts w:ascii="Arial" w:cs="Arial" w:eastAsia="Arial" w:hAnsi="Arial"/>
                <w:sz w:val="18"/>
                <w:szCs w:val="18"/>
                <w:color w:val="auto"/>
              </w:rPr>
              <w:t>1,469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7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U.S.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Federal</w:t>
            </w:r>
          </w:p>
        </w:tc>
        <w:tc>
          <w:tcPr>
            <w:tcW w:w="80" w:type="dxa"/>
            <w:vAlign w:val="bottom"/>
          </w:tcPr>
          <w:p>
            <w:pPr>
              <w:spacing w:after="0"/>
              <w:rPr>
                <w:sz w:val="14"/>
                <w:szCs w:val="14"/>
                <w:color w:val="auto"/>
              </w:rPr>
            </w:pPr>
          </w:p>
        </w:tc>
        <w:tc>
          <w:tcPr>
            <w:tcW w:w="720" w:type="dxa"/>
            <w:vAlign w:val="bottom"/>
            <w:gridSpan w:val="6"/>
          </w:tcPr>
          <w:p>
            <w:pPr>
              <w:spacing w:after="0"/>
              <w:rPr>
                <w:sz w:val="20"/>
                <w:szCs w:val="20"/>
                <w:color w:val="auto"/>
              </w:rPr>
            </w:pPr>
            <w:r>
              <w:rPr>
                <w:rFonts w:ascii="Arial" w:cs="Arial" w:eastAsia="Arial" w:hAnsi="Arial"/>
                <w:sz w:val="14"/>
                <w:szCs w:val="14"/>
                <w:b w:val="1"/>
                <w:bCs w:val="1"/>
                <w:color w:val="auto"/>
              </w:rPr>
              <w:t>Non-U.S.</w:t>
            </w:r>
          </w:p>
        </w:tc>
        <w:tc>
          <w:tcPr>
            <w:tcW w:w="180" w:type="dxa"/>
            <w:vAlign w:val="bottom"/>
          </w:tcPr>
          <w:p>
            <w:pPr>
              <w:spacing w:after="0"/>
              <w:rPr>
                <w:sz w:val="14"/>
                <w:szCs w:val="14"/>
                <w:color w:val="auto"/>
              </w:rPr>
            </w:pPr>
          </w:p>
        </w:tc>
        <w:tc>
          <w:tcPr>
            <w:tcW w:w="6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7"/>
              </w:rPr>
              <w:t>State</w:t>
            </w:r>
          </w:p>
        </w:tc>
        <w:tc>
          <w:tcPr>
            <w:tcW w:w="120" w:type="dxa"/>
            <w:vAlign w:val="bottom"/>
          </w:tcPr>
          <w:p>
            <w:pPr>
              <w:spacing w:after="0"/>
              <w:rPr>
                <w:sz w:val="14"/>
                <w:szCs w:val="14"/>
                <w:color w:val="auto"/>
              </w:rPr>
            </w:pPr>
          </w:p>
        </w:tc>
        <w:tc>
          <w:tcPr>
            <w:tcW w:w="50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7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505</w:t>
            </w:r>
          </w:p>
        </w:tc>
        <w:tc>
          <w:tcPr>
            <w:tcW w:w="160" w:type="dxa"/>
            <w:vAlign w:val="bottom"/>
            <w:gridSpan w:val="2"/>
          </w:tcPr>
          <w:p>
            <w:pPr>
              <w:ind w:left="80"/>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349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b w:val="1"/>
                <w:bCs w:val="1"/>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$ 858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(176)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$ 664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7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227</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$ 492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347</w:t>
            </w:r>
          </w:p>
        </w:tc>
        <w:tc>
          <w:tcPr>
            <w:tcW w:w="300" w:type="dxa"/>
            <w:vAlign w:val="bottom"/>
          </w:tcPr>
          <w:p>
            <w:pPr>
              <w:spacing w:after="0"/>
              <w:rPr>
                <w:sz w:val="19"/>
                <w:szCs w:val="19"/>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$ 560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7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(260)</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8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(178)</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Principal reconciling items from income tax coputed at the statutory federal rate follow:</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4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 at statutory rate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$ 847</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$ 438</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Effect of non-U.S. rates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0"/>
              </w:rPr>
              <w:t>(146)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AJCA repatriation tax</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Research and experimentation tax credits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87"/>
              </w:rPr>
              <w:t>(59)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 for Micron investment (a)</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8"/>
              </w:rPr>
              <w:t>—</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Favorable proposed audit adjustments (b)</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0"/>
              </w:rPr>
              <w:t>(147)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tax benefits for manufacturing and foreign sales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(79)</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74"/>
              </w:rPr>
              <w:t>$ 560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a result of the sale of Micron Technology, Inc. stock in 2003, a valuation allowance recorded in 2002 was reversed.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includes favorable adjustments primarily associated with audit adjustments communicated by tax authorities.</w:t>
      </w:r>
    </w:p>
    <w:p>
      <w:pPr>
        <w:sectPr>
          <w:pgSz w:w="11900" w:h="16838" w:orient="portrait"/>
          <w:cols w:equalWidth="0" w:num="1">
            <w:col w:w="11420"/>
          </w:cols>
          <w:pgMar w:left="240" w:top="27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38 </w:t>
      </w:r>
      <w:r>
        <w:rPr>
          <w:rFonts w:ascii="Arial" w:cs="Arial" w:eastAsia="Arial" w:hAnsi="Arial"/>
          <w:sz w:val="18"/>
          <w:szCs w:val="18"/>
          <w:color w:val="auto"/>
        </w:rPr>
        <w:t>TEXAS INSTRUMENTS 2005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deferred income tax assets and liabilities at December 31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2"/>
                <w:szCs w:val="12"/>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Accrued retirement costs (defined benefit and retiree health care)</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Inventories and related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Deferred loss and tax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r>
      <w:tr>
        <w:trPr>
          <w:trHeight w:val="216"/>
        </w:trPr>
        <w:tc>
          <w:tcPr>
            <w:tcW w:w="7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1,217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1,374</w:t>
            </w:r>
          </w:p>
        </w:tc>
        <w:tc>
          <w:tcPr>
            <w:tcW w:w="60" w:type="dxa"/>
            <w:vAlign w:val="bottom"/>
            <w:shd w:val="clear" w:color="auto" w:fill="CCEEFF"/>
          </w:tcPr>
          <w:p>
            <w:pPr>
              <w:spacing w:after="0"/>
              <w:rPr>
                <w:sz w:val="18"/>
                <w:szCs w:val="18"/>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1,181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1,322</w:t>
            </w:r>
          </w:p>
        </w:tc>
        <w:tc>
          <w:tcPr>
            <w:tcW w:w="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(172)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Non-U.S.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(192)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deferred income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of December 31, 2005 and 2004, the net deferred income tax assets of $989 million and $963 million were presented in the balance sheet, based on tax jurisdiction, as deferred income tax assets of $1.01 billion and $1.00 billion and deferred income tax liabilities of $23 million and $40 million. We make an ongoing assessment regarding the realization of U.S. and non-U.S. deferred tax assets. While these assets are not assured of realization, our assessment is that a valuation allowance is not required for the remaining balance of the deferred tax assets. This assessment is based on our evaluation of relevant criteria including the existence of (i) deferred tax liabilities that can be used to absorb deferred tax assets, (ii) taxable income in prior carryback years, and (iii) future taxable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aggregate U.S. and non-U.S. tax loss carryforwards of approximately $96 million of which $90 million expire through the year 2023.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Italian Grants</w:t>
      </w:r>
      <w:r>
        <w:rPr>
          <w:rFonts w:ascii="Arial" w:cs="Arial" w:eastAsia="Arial" w:hAnsi="Arial"/>
          <w:sz w:val="16"/>
          <w:szCs w:val="16"/>
          <w:color w:val="auto"/>
        </w:rPr>
        <w:t>: Italian government auditors have substantially completed a review, conducted in the ordinary course, of approximately $250 million of grants from the Italian government to TI’s former memory operations in Italy for 13 separate projects. The auditors have raised a number of issues relating to compliance with grant requirements and the eligibility of specific expenses for the grants. As of December 31, 2005, the auditors have issued audit reports on 12 of the 13 projects. The Ministry of Industry is responsible for reviewing the auditors’ findings. Depending on the Ministry’s decision, the review may result in a demand from the Italian government that we repay a portion of the grants. We believe that the grants were obtained and used in compliance with applicable law and contractual obligations. As of December 31, 2005, the Ministry has published final decrees on 12 of the projects representing approximately $175 million of grants. We do not expect the outcome to have a material adverse impact on our financial condition, results of operations or liquidity.</w:t>
      </w:r>
    </w:p>
    <w:p>
      <w:pPr>
        <w:spacing w:after="0" w:line="118"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u w:val="single" w:color="auto"/>
          <w:color w:val="auto"/>
        </w:rPr>
        <w:t>Venture Capital Commitments</w:t>
      </w:r>
      <w:r>
        <w:rPr>
          <w:rFonts w:ascii="Arial" w:cs="Arial" w:eastAsia="Arial" w:hAnsi="Arial"/>
          <w:sz w:val="16"/>
          <w:szCs w:val="16"/>
          <w:color w:val="auto"/>
        </w:rPr>
        <w:t>: We have investments in certain venture capital funds and have committed to provide additional capital to those funds. As appropriate investments are entered into, the venture capital general partners may draw upon those committed additional funds. As of December 31, 2005, we may be required to provide an additional $44 million when the committed funds are called by the venture capital funds’ general partners.</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 We conduct certain operations in leased facilities and also lease a portion of our data processing and other equipment. The lease agreements frequently include purchase and renewal provisions and require us to pay taxes,</w:t>
      </w:r>
    </w:p>
    <w:p>
      <w:pPr>
        <w:sectPr>
          <w:pgSz w:w="11900" w:h="16838" w:orient="portrait"/>
          <w:cols w:equalWidth="0" w:num="1">
            <w:col w:w="11400"/>
          </w:cols>
          <w:pgMar w:left="240" w:top="274" w:right="2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39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insurance and maintenance costs. Rental and lease expense incurred was $129 million in 2005, $127 million in 2004 and $136 million in 2003.</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mid-2004, we entered into a long-term supply agreement to purchase industrial gases. This agreement is accounted for as an operating lease.</w:t>
      </w:r>
    </w:p>
    <w:p>
      <w:pPr>
        <w:spacing w:after="0" w:line="19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December 2004, we completed a sale-leaseback of our facilities in Attleboro, Massachusetts, headquarters of the Sensors &amp; Controls segment. The terms included a 20-year lease agreement for a new facility at the site to be used to consolidate the operations remaining there. In the fourth quarter of 2005, upon the completion of the new facility, we began to account for this as a capital lease, recording both the capital asset and lease obligation at a fair value of $31 million. Minimum lease payments are $3 million per year through 2009, $4 million in 2010, and total $70 million over the life of the lease.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Software Licenses</w:t>
      </w:r>
      <w:r>
        <w:rPr>
          <w:rFonts w:ascii="Arial" w:cs="Arial" w:eastAsia="Arial" w:hAnsi="Arial"/>
          <w:sz w:val="15"/>
          <w:szCs w:val="15"/>
          <w:color w:val="auto"/>
        </w:rPr>
        <w:t>: We have licenses for certain electronic design automation (EDA) software that are accounted for in accordance with Statement of Position 98-</w:t>
      </w:r>
    </w:p>
    <w:p>
      <w:pPr>
        <w:spacing w:after="0" w:line="50" w:lineRule="exact"/>
        <w:rPr>
          <w:sz w:val="20"/>
          <w:szCs w:val="20"/>
          <w:color w:val="auto"/>
        </w:rPr>
      </w:pPr>
    </w:p>
    <w:p>
      <w:pPr>
        <w:jc w:val="both"/>
        <w:ind w:right="860" w:firstLine="8"/>
        <w:spacing w:after="0" w:line="521" w:lineRule="auto"/>
        <w:tabs>
          <w:tab w:leader="none" w:pos="176" w:val="left"/>
        </w:tabs>
        <w:numPr>
          <w:ilvl w:val="0"/>
          <w:numId w:val="34"/>
        </w:numPr>
        <w:rPr>
          <w:rFonts w:ascii="Arial" w:cs="Arial" w:eastAsia="Arial" w:hAnsi="Arial"/>
          <w:sz w:val="15"/>
          <w:szCs w:val="15"/>
          <w:color w:val="auto"/>
        </w:rPr>
      </w:pPr>
      <w:r>
        <w:rPr>
          <w:rFonts w:ascii="Arial" w:cs="Arial" w:eastAsia="Arial" w:hAnsi="Arial"/>
          <w:sz w:val="15"/>
          <w:szCs w:val="15"/>
          <w:color w:val="auto"/>
        </w:rPr>
        <w:t xml:space="preserve">The related liabilities are apportioned between current liabilities (accounts payable) and long-term liabilities (other liabilities) on the balance sheet. </w:t>
      </w:r>
      <w:r>
        <w:rPr>
          <w:rFonts w:ascii="Arial" w:cs="Arial" w:eastAsia="Arial" w:hAnsi="Arial"/>
          <w:sz w:val="15"/>
          <w:szCs w:val="15"/>
          <w:u w:val="single" w:color="auto"/>
          <w:color w:val="auto"/>
        </w:rPr>
        <w:t>Purchase Commitments</w:t>
      </w:r>
      <w:r>
        <w:rPr>
          <w:rFonts w:ascii="Arial" w:cs="Arial" w:eastAsia="Arial" w:hAnsi="Arial"/>
          <w:sz w:val="15"/>
          <w:szCs w:val="15"/>
          <w:color w:val="auto"/>
        </w:rPr>
        <w:t>: We have certain purchase commitments that are for normal usage, some of which contain provisions for minimum payments.</w:t>
      </w:r>
    </w:p>
    <w:p>
      <w:pPr>
        <w:spacing w:after="0" w:line="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u w:val="single" w:color="auto"/>
          <w:color w:val="auto"/>
        </w:rPr>
        <w:t>Summary</w:t>
      </w:r>
      <w:r>
        <w:rPr>
          <w:rFonts w:ascii="Arial" w:cs="Arial" w:eastAsia="Arial" w:hAnsi="Arial"/>
          <w:sz w:val="18"/>
          <w:szCs w:val="18"/>
          <w:color w:val="auto"/>
        </w:rPr>
        <w:t>: At December 31, 2005, we were committed to make the following minimum payments under operating leases, capitalized software licenses and purchase commitments: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6"/>
              </w:rPr>
              <w:t>Capitalized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Software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Purchase</w:t>
            </w:r>
          </w:p>
        </w:tc>
      </w:tr>
      <w:tr>
        <w:trPr>
          <w:trHeight w:val="175"/>
        </w:trPr>
        <w:tc>
          <w:tcPr>
            <w:tcW w:w="38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9"/>
              </w:rPr>
              <w:t>Leases</w:t>
            </w: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Licenses</w:t>
            </w:r>
          </w:p>
        </w:tc>
        <w:tc>
          <w:tcPr>
            <w:tcW w:w="740" w:type="dxa"/>
            <w:vAlign w:val="bottom"/>
          </w:tcPr>
          <w:p>
            <w:pPr>
              <w:spacing w:after="0"/>
              <w:rPr>
                <w:sz w:val="15"/>
                <w:szCs w:val="15"/>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20" w:type="dxa"/>
            <w:vAlign w:val="bottom"/>
          </w:tcPr>
          <w:p>
            <w:pPr>
              <w:spacing w:after="0"/>
              <w:rPr>
                <w:sz w:val="15"/>
                <w:szCs w:val="15"/>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2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2007</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2009</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Thereafter</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At December 31, 2005, we had $86 million of unused documentary letters of credit to enable manufacturers of certain products for the E&amp;PS segment to receive payment upon shipment to us.</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u w:val="single" w:color="auto"/>
          <w:color w:val="auto"/>
        </w:rPr>
        <w:t>Indemnification Guarantees</w:t>
      </w:r>
      <w:r>
        <w:rPr>
          <w:rFonts w:ascii="Arial" w:cs="Arial" w:eastAsia="Arial" w:hAnsi="Arial"/>
          <w:sz w:val="18"/>
          <w:szCs w:val="18"/>
          <w:color w:val="auto"/>
        </w:rPr>
        <w:t>: We routinely sell products with a limited intellectual property indemnification included in the terms of sale. Historically, we have had only minimal and infrequent losses associated with these indemnities. Consequently, any future liabilities brought about by the intellectual property indemnities cannot reasonably be estimated or accrued.</w:t>
      </w:r>
    </w:p>
    <w:p>
      <w:pPr>
        <w:spacing w:after="0" w:line="14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u w:val="single" w:color="auto"/>
          <w:color w:val="auto"/>
        </w:rPr>
        <w:t>Warranty Costs/Product Liabilities</w:t>
      </w:r>
      <w:r>
        <w:rPr>
          <w:rFonts w:ascii="Arial" w:cs="Arial" w:eastAsia="Arial" w:hAnsi="Arial"/>
          <w:sz w:val="16"/>
          <w:szCs w:val="16"/>
          <w:color w:val="auto"/>
        </w:rPr>
        <w:t>: 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formal contracts with certain customers in which the parties define warranty remedies. Typically,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1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We are subject to various legal and administrative proceedings. Although it is not possible to predict the outcome of these matters, we believe that the results of these proceedings will not have a material adverse effect upon our financial condition, results of operations or liquidity.</w:t>
      </w:r>
    </w:p>
    <w:p>
      <w:pPr>
        <w:sectPr>
          <w:pgSz w:w="11900" w:h="16838" w:orient="portrait"/>
          <w:cols w:equalWidth="0" w:num="1">
            <w:col w:w="11420"/>
          </w:cols>
          <w:pgMar w:left="240" w:top="274" w:right="239" w:bottom="1440" w:gutter="0" w:footer="0" w:header="0"/>
        </w:sectPr>
      </w:pPr>
    </w:p>
    <w:bookmarkStart w:id="60" w:name="page61"/>
    <w:bookmarkEnd w:id="60"/>
    <w:p>
      <w:pPr>
        <w:ind w:left="280" w:hanging="272"/>
        <w:spacing w:after="0"/>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Supplemental Cash Flow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2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Payments:</w:t>
            </w: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Interest (net of amounts capitalized)</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  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$ 21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$ 39</w:t>
            </w: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(net of refunds)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(asset and obligation)</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Discontinued Business</w:t>
      </w:r>
      <w:r>
        <w:rPr>
          <w:rFonts w:ascii="Arial" w:cs="Arial" w:eastAsia="Arial" w:hAnsi="Arial"/>
          <w:sz w:val="18"/>
          <w:szCs w:val="18"/>
          <w:color w:val="auto"/>
        </w:rPr>
        <w:t>: On January 9, 2006, we announced a definitive agreement to sell substantially all of the Sensors &amp; Controls segment, excluding the RFID systems operations which had been operated as a part of that segment, to an affiliate of Bain Capital, LLC, a leading global private equity investment firm, for $3 billion in cash. The sale is expected to be completed in the first half of 2006.</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Beginning in the first quarter of 2006, the Sensors &amp; Controls business to be sold will be presented as discontinued operations and the RFID operations retained will be included within the Semiconductor business segment. Prior period financial statements will be restated when presented.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140" w:type="dxa"/>
            <w:vAlign w:val="bottom"/>
            <w:gridSpan w:val="2"/>
          </w:tcPr>
          <w:p>
            <w:pPr>
              <w:spacing w:after="0"/>
              <w:rPr>
                <w:sz w:val="20"/>
                <w:szCs w:val="20"/>
                <w:color w:val="auto"/>
              </w:rPr>
            </w:pPr>
            <w:r>
              <w:rPr>
                <w:rFonts w:ascii="Arial" w:cs="Arial" w:eastAsia="Arial" w:hAnsi="Arial"/>
                <w:sz w:val="18"/>
                <w:szCs w:val="18"/>
                <w:color w:val="auto"/>
              </w:rPr>
              <w:t>As of December 31, 2005, assets and liabilities of the Sensors &amp; Controls business to be sold are summarized as follows: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9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$271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476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2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75"/>
              </w:rPr>
              <w:t>$ 115</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922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134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On February 6, 2006, a jury in the U.S. District Court for the District of New Jersey determined that GlobespanVirata, a subsidiary of Conexant Systems, Inc., (Globespan) had infringed two TI patents and one Stanford University (Stanford) patent relating to asymmetric digital subscriber line (ADSL) technology. The jury awarded $112 million in damages to TI, which amount may be increased up to treble damages by the district court based on the jury finding that the infringement was willful. Globespan has announced its intent to appeal the verdict. In June 2003, before Globespan’s merger with Conexant Systems, Inc., Globespan had sued TI and Stanford claiming that the TI and Stanford patents were invalid and not being infringed by Globespan, and alleging violations of antitrust law. In response, TI and Stanford brought counterclaims of patent infringement against Globespan. The jury verdict described above relates only to the patent infringement counterclaims and Globespan’s allegations that the patents are invalid and not being infringed. Globespan’s antitrust claims are still pending in the U.S. District Court for the District of New Jersey and are scheduled for trial in October 2006. Payment of the damage award noted above is contingent on the outcome of Globespan’s antitrust claims, which if decided unfavorably to TI, could result in a significant reduction or elimination of the damage award or possible payments by TI to Globespan. The ultimate outcome of these matters is uncertain, and accordingly, no amounts have been or will be recorded in the financial statements related to this matter until such time as the ultimate outcome is determined to be probable and reasonably estimable.</w:t>
      </w:r>
    </w:p>
    <w:p>
      <w:pPr>
        <w:sectPr>
          <w:pgSz w:w="11900" w:h="16838" w:orient="portrait"/>
          <w:cols w:equalWidth="0" w:num="1">
            <w:col w:w="11380"/>
          </w:cols>
          <w:pgMar w:left="240" w:top="280" w:right="2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41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Texas Instruments Incorporated</w:t>
      </w:r>
    </w:p>
    <w:p>
      <w:pPr>
        <w:spacing w:after="0" w:line="1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2005 and 2004, and the related consolidated statements of income, comprehensive income,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2005 and 2004, and the consolidated results of their operations and their cash flows for each of the three years in the period ended December 31, 2005, in conformity with U.S. generally accepted accounting principles.</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stock-based compensation effective July 1, 2005.</w:t>
      </w:r>
    </w:p>
    <w:p>
      <w:pPr>
        <w:spacing w:after="0" w:line="132"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 xml:space="preserve">We have also audited, in accordance with the standards of the Public Company Accounting Oversight Board (United States), the effectiveness of the Company’s internal control over financial reporting as of December 31, 2005,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by the Committee of Sponsoring Organizations of the Treadway Commission and our report dated February 23, 2006,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112395</wp:posOffset>
            </wp:positionV>
            <wp:extent cx="1998345" cy="548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983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2006</w:t>
      </w:r>
    </w:p>
    <w:p>
      <w:pPr>
        <w:sectPr>
          <w:pgSz w:w="11900" w:h="16838" w:orient="portrait"/>
          <w:cols w:equalWidth="0" w:num="1">
            <w:col w:w="11420"/>
          </w:cols>
          <w:pgMar w:left="240" w:top="274" w:right="239" w:bottom="1440" w:gutter="0" w:footer="0" w:header="0"/>
        </w:sectPr>
      </w:pPr>
    </w:p>
    <w:bookmarkStart w:id="62" w:name="page63"/>
    <w:bookmarkEnd w:id="62"/>
    <w:p>
      <w:pPr>
        <w:ind w:left="280" w:hanging="272"/>
        <w:spacing w:after="0"/>
        <w:tabs>
          <w:tab w:leader="none" w:pos="2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by Management on Internal Control over Financial Reporting</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management of TI is responsible for establishing and maintaining adequate internal control over financial reporting. TI’s internal control system was designed to provide reasonable assurance to our management and board of directors regarding the reliability of financial reporting and the preparation and fair presentation of financial statements issued for external purposes in accordance with generally accepted accounting principles.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Therefore, even those systems determined to be effective can only provide reasonable assurance with respect to financial reporting reliability and financial statement preparation and presentation.</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TI management assessed the effectiveness of internal control over financial reporting as of December 31, 2005. In making this assessment, we used the criteria set forth by the Committee of Sponsoring Organizations of the Treadway Commission (the COSO criteria)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Based on our assessment we believe that, as of December 31, 2005, our internal control over financial reporting is effective based on the COSO criteria.</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our assessment of internal control over financial reporting, which immediately follows this report.</w:t>
      </w:r>
    </w:p>
    <w:p>
      <w:pPr>
        <w:sectPr>
          <w:pgSz w:w="11900" w:h="16838" w:orient="portrait"/>
          <w:cols w:equalWidth="0" w:num="1">
            <w:col w:w="11420"/>
          </w:cols>
          <w:pgMar w:left="240" w:top="2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43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Texas Instruments Incorporated</w:t>
      </w:r>
    </w:p>
    <w:p>
      <w:pPr>
        <w:spacing w:after="0" w:line="16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We have audited management’s assessment, included in the accompanying Report by Management on Internal Control over Financial Reporting, that Texas Instruments Incorporated and subsidiaries maintained effective internal control over financial reporting as of December 31, 2005,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 (the COSO criteria). Texas</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Incorporated’s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our opinion, management’s assessment that Texas Instruments Incorporated maintained effective internal control over financial reporting as of December 31, 2005, is fairly stated, in all material respects, based on the COSO criteria. Also, in our opinion, Texas Instruments Incorporated maintained, in all material respects, effective internal control over financial reporting as of December 31, 2005, based on the COSO criteria.</w:t>
      </w:r>
    </w:p>
    <w:p>
      <w:pPr>
        <w:spacing w:after="0" w:line="107"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Texas Instruments Incorporated and subsidiaries as of December 31, 2005 and 2004, and the related consolidated statements of income, comprehensive income, stockholders’ equity, and cash flows for each of the three years in the period ended December 31, 2005, of Texas Instruments Incorporated and our report dated February 23, 2006,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128270</wp:posOffset>
            </wp:positionV>
            <wp:extent cx="1998345" cy="548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983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2006</w:t>
      </w:r>
    </w:p>
    <w:p>
      <w:pPr>
        <w:sectPr>
          <w:pgSz w:w="11900" w:h="16838" w:orient="portrait"/>
          <w:cols w:equalWidth="0" w:num="1">
            <w:col w:w="11420"/>
          </w:cols>
          <w:pgMar w:left="240" w:top="27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44 </w:t>
      </w:r>
      <w:r>
        <w:rPr>
          <w:rFonts w:ascii="Arial" w:cs="Arial" w:eastAsia="Arial" w:hAnsi="Arial"/>
          <w:sz w:val="18"/>
          <w:szCs w:val="18"/>
          <w:color w:val="auto"/>
        </w:rPr>
        <w:t>TEXAS INSTRUMENTS 2005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Selected Financial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13,392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10,601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8,869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(loss) from operations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Income (loss) before provision for income taxes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2,988</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Net income (loss)</w:t>
            </w: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gridSpan w:val="3"/>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2,324</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w w:val="90"/>
              </w:rPr>
              <w:t>Average common and dilutive potential common shares outstanding during</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2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w w:val="84"/>
              </w:rPr>
              <w:t>1,670,916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year, in thousands*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1,768,073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1,766,400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1,733,343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1,734,506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  For the years ended December 31, 2002 and 2001, dilutive potential common shares outstanding have been excluded due to the net loss for these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9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4"/>
                <w:szCs w:val="14"/>
                <w:color w:val="auto"/>
              </w:rPr>
            </w:pPr>
          </w:p>
        </w:tc>
        <w:tc>
          <w:tcPr>
            <w:tcW w:w="7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$ 6,839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$ 5,469</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$ 4,192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3,899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4,132</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4,794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15,063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14,679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Long-term debt</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833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11,937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10,734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35,207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35,472</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34,154</w:t>
            </w: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of record</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29,848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28,058</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26,884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 and Management’s Discussion and Analysis of Financial Condition and Results of Operations.</w:t>
      </w:r>
    </w:p>
    <w:p>
      <w:pPr>
        <w:sectPr>
          <w:pgSz w:w="11900" w:h="16838" w:orient="portrait"/>
          <w:cols w:equalWidth="0" w:num="1">
            <w:col w:w="11420"/>
          </w:cols>
          <w:pgMar w:left="240" w:top="27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45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Texas Instruments makes, markets and sells high-technology components; more than 50,000 customers all over the world buy our products. We had three separate business segments in 2005: 1) Semiconductor; 2) Sensors &amp; Controls; and 3) Educational &amp; Productivity Solutions. Semiconductor is by far the largest of these business segments. It accounted for 87 percent of our revenue in 2005, and historically it averages a higher growth rate than the other two business segments, although the semiconductor market is characterized by wide swings in growth rates from year to year. We were the world’s third-largest semiconductor company in 2005 as measured by revenue, according to preliminary estimates from iSuppli Corporation, an industry analyst.</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digital electronic equipment requires some form of analog or digital signal processing.</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Standard analog products tend to have long life spans. Many custom and standard products are proprietary and difficult for competitors to imitate. Analog products also include commodity products, which are sold in high volume and into a broad range of applications, and generally are differentiated by price and availability. We are the world’s largest supplier of analog semiconductors.</w:t>
      </w:r>
    </w:p>
    <w:p>
      <w:pPr>
        <w:spacing w:after="0" w:line="12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DSPs use complex algorithms and compression techniques to alter and improve a data stream. These products are ideal for applications that require precise, real-time processing of real-world signals that have been converted into digital form. Their power efficiency is important for battery-powered devices.</w:t>
      </w:r>
    </w:p>
    <w:p>
      <w:pPr>
        <w:spacing w:after="0" w:line="8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DSP portfolio includes custom, application-specific and standard products. Custom products are designed for specific customers with very high volumes in established markets. Application-specific products are implementations crafted for specific applications like wireless infrastructure, VoIP (Voice over Internet Protocol) gateways, digital still cameras and residential gateways, to name a few. Our standard DSP products are sold into a broad range of applications and seed the next generation of signal-processing innovation. We are the world’s largest supplier of DSPs.</w:t>
      </w:r>
    </w:p>
    <w:p>
      <w:pPr>
        <w:spacing w:after="0" w:line="113"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We own and operate semiconductor manufacturing sites in the Americas, Japan, Europe and Asia. During 2005, we continued building a new semiconductor wafer manufacturing complex in Texas. We are constructing the building and infrastructure ahead of market demand, to be followed by stages of equipment installation as demand increases. When completed, the new facility will build some of the world’s most advanced semiconductor devices on 300-millimeter wafers.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facilities require substantial investment to construct and are largely fixed-cost assets once in operation. Because we own most of our manufacturing capacity, a significant portion of our operating costs is fixed. In general, these costs do</w:t>
      </w:r>
    </w:p>
    <w:p>
      <w:pPr>
        <w:sectPr>
          <w:pgSz w:w="11900" w:h="16838" w:orient="portrait"/>
          <w:cols w:equalWidth="0" w:num="1">
            <w:col w:w="11420"/>
          </w:cols>
          <w:pgMar w:left="240" w:top="274" w:right="239" w:bottom="1440" w:gutter="0" w:footer="0" w:header="0"/>
        </w:sectPr>
      </w:pPr>
    </w:p>
    <w:bookmarkStart w:id="66" w:name="page67"/>
    <w:bookmarkEnd w:id="66"/>
    <w:p>
      <w:pPr>
        <w:ind w:left="280" w:hanging="272"/>
        <w:spacing w:after="0"/>
        <w:tabs>
          <w:tab w:leader="none" w:pos="2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part of our manufacturing strategy, we outsource a portion of our product manufacturing to outside suppliers (foundries and assembly/test subcontractors), which reduces both the amount of capital expenditures and subsequent depreciation required to meet customer demands, and fluctuations in profit margins. Outside foundries provided about 20 percent of our total wafers produced in 2005. (A wafer is a thin slice of silicon on which an array of semiconductor devices has been fabricated.)</w:t>
      </w:r>
    </w:p>
    <w:p>
      <w:pPr>
        <w:spacing w:after="0" w:line="14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semiconductor market is characterized by constant and typically incremental innovation in product design and manufacturing technologies. We make significant investments in research and development (R&amp;D). Typically, products resulting from our R&amp;D investments in the current period do not contribute materially to revenue in that period, but should benefit us in future years. In general, new semiconductor products are shipped in limited quantities initially and will then ramp into high volumes over time. Prices and manufacturing costs tend to decline over time.</w:t>
      </w:r>
    </w:p>
    <w:p>
      <w:pPr>
        <w:spacing w:after="0" w:line="11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our Sensors &amp; Controls segment, products include sensors, electrical and electronic controls, and radio frequency identification (RFID) systems. Our primary markets are automotive and industrial. Other targeted markets include heating, ventilation, air conditioning, refrigeration and industrial control systems. This business segment represented 9 percent of our revenue in 2005. Prices of Sensors &amp; Controls products tend to decline over time.</w:t>
      </w:r>
    </w:p>
    <w:p>
      <w:pPr>
        <w:spacing w:after="0" w:line="10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 early 2006, we entered into an agreement to sell to an affiliate of Bain Capital, LLC, for $3 billion, substantially all of our Sensors &amp; Controls segment. We expect to complete this sale in the first half of 2006. The financial results of this business will be accounted for as a discontinued operation beginning with the first quarter of 2006. The RFID operations, which are not included in the sale, will become part of our Semiconductor segment.</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Educational &amp; Productivity Solutions (E&amp;PS) segment is a leading supplier of graphing handheld calculators. It also provides our customers with business and scientific calculators and a wide range of advanced classroom tools and professional development that enables students and teachers to interactively explore math and science. Our products are marketed primarily through retailers and to schools through instructional dealers. This business segment represented 4 percent of our revenue in 2005. Prices of E&amp;PS products tend to be stable.</w:t>
      </w:r>
    </w:p>
    <w:p>
      <w:pPr>
        <w:spacing w:after="0" w:line="143"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color w:val="auto"/>
        </w:rPr>
        <w:t>Profit sharing expense in 2005 was $115 million compared with $243 million in 2004. Beginning in 2005, expenses under the TI employee profit sharing plan are determined using a different formula than was used in 2004. The plan now provides for profit sharing to be calculated based solely upon our operating margin for the calendar year, whereas in 2004 profit sharing was calculated based upon operating margin and revenue growth. Under the current plan, a minimum threshold of 10 percent operating margin must be achieved before any profit sharing is paid. Profit sharing at 10 percent operating margin is 2 percent of eligible payroll.</w:t>
      </w:r>
    </w:p>
    <w:p>
      <w:pPr>
        <w:spacing w:after="0" w:line="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maximum amount of profit sharing available under the plan is 20 percent of eligible payroll, and is paid only when our operating margin meets or exceeds 35 percent for a full calendar year. We accrue profit sharing based on how we expect to perform for the year in total. The accrual in a given quarter is based on our expectations at that time as to annual performance. The profit sharing accrual is included in cost of revenue, R&amp;D expense, and selling, general and administrative (SG&amp;A) expense. As a result of the change in our profit sharing formula we expect profit sharing expenses to be more stable over time.</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the third quarter of 2005, we implemented the Financial Accounting Standards Board’s Statement of Financial Accounting Standard (SFAS) No. 123(R),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The financial results of 2005 include the effects of adopting this new accounting rule for stock options effective July 1, 2005. Before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July 1, 2005, our financial results include the expense of restricted stock units, but not stock options. As a result our 2005 financial results are not fully comparable to our prior financial results. For the year, the total stock-based compensation expense was $178 million, or 1.3 percent of revenue. The distribution of this expense was $92 million to SG&amp;A expense, $53 million to R&amp;D expense and $33 million to cost of revenue. See </w:t>
      </w:r>
      <w:r>
        <w:rPr>
          <w:rFonts w:ascii="Arial" w:cs="Arial" w:eastAsia="Arial" w:hAnsi="Arial"/>
          <w:sz w:val="18"/>
          <w:szCs w:val="18"/>
          <w:i w:val="1"/>
          <w:iCs w:val="1"/>
          <w:color w:val="auto"/>
        </w:rPr>
        <w:t>Changes in Accounting Standards</w:t>
      </w:r>
      <w:r>
        <w:rPr>
          <w:rFonts w:ascii="Arial" w:cs="Arial" w:eastAsia="Arial" w:hAnsi="Arial"/>
          <w:sz w:val="18"/>
          <w:szCs w:val="18"/>
          <w:color w:val="auto"/>
        </w:rPr>
        <w:t xml:space="preserve"> below and Note 1 to the Financial Statements for additional information.</w:t>
      </w:r>
    </w:p>
    <w:p>
      <w:pPr>
        <w:spacing w:after="0" w:line="144"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 xml:space="preserve">As a result of a study of the pattern of usage of long-lived depreciable assets, effective January 1, 2006, we will adopt the straight-line method of depreciation for all property, plant and equipment on a prospective basis as allowed for under new SFAS No. 154, </w:t>
      </w:r>
      <w:r>
        <w:rPr>
          <w:rFonts w:ascii="Arial" w:cs="Arial" w:eastAsia="Arial" w:hAnsi="Arial"/>
          <w:sz w:val="15"/>
          <w:szCs w:val="15"/>
          <w:i w:val="1"/>
          <w:iCs w:val="1"/>
          <w:color w:val="auto"/>
        </w:rPr>
        <w:t>“Accounting Changes and Error Corrections, a replacement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APB Opinion No. 20 and FASB Statement No. 3.” </w:t>
      </w:r>
      <w:r>
        <w:rPr>
          <w:rFonts w:ascii="Arial" w:cs="Arial" w:eastAsia="Arial" w:hAnsi="Arial"/>
          <w:sz w:val="15"/>
          <w:szCs w:val="15"/>
          <w:color w:val="auto"/>
        </w:rPr>
        <w:t>See</w:t>
      </w:r>
      <w:r>
        <w:rPr>
          <w:rFonts w:ascii="Arial" w:cs="Arial" w:eastAsia="Arial" w:hAnsi="Arial"/>
          <w:sz w:val="15"/>
          <w:szCs w:val="15"/>
          <w:i w:val="1"/>
          <w:iCs w:val="1"/>
          <w:color w:val="auto"/>
        </w:rPr>
        <w:t xml:space="preserve"> Financial Condition </w:t>
      </w:r>
      <w:r>
        <w:rPr>
          <w:rFonts w:ascii="Arial" w:cs="Arial" w:eastAsia="Arial" w:hAnsi="Arial"/>
          <w:sz w:val="15"/>
          <w:szCs w:val="15"/>
          <w:color w:val="auto"/>
        </w:rPr>
        <w:t>below and Note 1 to the Financial Statements for additional information.</w:t>
      </w:r>
    </w:p>
    <w:p>
      <w:pPr>
        <w:sectPr>
          <w:pgSz w:w="11900" w:h="16838" w:orient="portrait"/>
          <w:cols w:equalWidth="0" w:num="1">
            <w:col w:w="11400"/>
          </w:cols>
          <w:pgMar w:left="240" w:top="280" w:right="259" w:bottom="1440" w:gutter="0" w:footer="0" w:header="0"/>
        </w:sectPr>
      </w:pPr>
    </w:p>
    <w:bookmarkStart w:id="67" w:name="page68"/>
    <w:bookmarkEnd w:id="67"/>
    <w:p>
      <w:pPr>
        <w:ind w:left="7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6"/>
          <w:szCs w:val="16"/>
          <w:b w:val="1"/>
          <w:bCs w:val="1"/>
          <w:color w:val="auto"/>
        </w:rPr>
        <w:t>47</w:t>
      </w:r>
    </w:p>
    <w:p>
      <w:pPr>
        <w:spacing w:after="0" w:line="18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operate in a number of tax jurisdictions and are subject to several types of taxes including taxes based on income, capital, property and payroll, and sales and other transactional taxes. The timing of the final determination of our tax liabilities varies among these jurisdictions and their taxing authorities. As a result, during any particular reporting period, we might reflect (in either income before income taxes, the provision for income taxes or both) one or more tax refunds or assessments, or changes to tax liabilities, involving one or more taxing authorities.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2005 Compared with 2004</w:t>
      </w:r>
    </w:p>
    <w:p>
      <w:pPr>
        <w:spacing w:after="0" w:line="9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2005 was our 75th year in operation, and as we crossed that milestone we delivered record annual results for revenue, operating profit, operating margin and operating cash flow. We also gained market share in our core semiconductor technologies of DSP and analog for the fourth consecutive year.</w:t>
      </w:r>
    </w:p>
    <w:p>
      <w:pPr>
        <w:spacing w:after="0" w:line="8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Highlights for 2005 include a reinforced leadership position in semiconductors for wireless cell phones. We exceeded $1 billion of semiconductor revenue in the newest cell-phone generation, known as 3G, by doubling our shipments of OMAP™ application processors and almost tripling our shipments of baseband modems. (OMAP processors are high-performance processors that enable multimedia applications in cell phones and other electronic devices.) Other highlights include initial shipments of a new family of DSPs for digital video known as DaVinci™, our agreement to acquire radio frequency expert Chipcon Group ASA for high-performance analog, customer sampling of our multi-mode Universal Mobile Telecommunications System (UMTS) chipset for wireless cell phones, and strong consumer acceptance of our DLP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technology in 1080p high-definition televisions (HDTVs).</w:t>
      </w:r>
    </w:p>
    <w:p>
      <w:pPr>
        <w:spacing w:after="0" w:line="40"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We enter 2006 in excellent health. Customer and channel inventories appear lean, and demand is solid. Overall, we expect the combination of our customers, products and manufacturing abilities will enable us to keep evolving into a company that produces superior revenue and earnings growth on a sustained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Selected Items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8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12"/>
                <w:szCs w:val="12"/>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 by segment: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880" w:type="dxa"/>
            <w:vAlign w:val="bottom"/>
          </w:tcPr>
          <w:p>
            <w:pPr>
              <w:ind w:left="440"/>
              <w:spacing w:after="0"/>
              <w:rPr>
                <w:sz w:val="20"/>
                <w:szCs w:val="20"/>
                <w:color w:val="auto"/>
              </w:rPr>
            </w:pPr>
            <w:r>
              <w:rPr>
                <w:rFonts w:ascii="Arial" w:cs="Arial" w:eastAsia="Arial" w:hAnsi="Arial"/>
                <w:sz w:val="18"/>
                <w:szCs w:val="18"/>
                <w:color w:val="auto"/>
              </w:rPr>
              <w:t>Semiconductor</w:t>
            </w:r>
          </w:p>
        </w:tc>
        <w:tc>
          <w:tcPr>
            <w:tcW w:w="2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11,722</w:t>
            </w:r>
          </w:p>
        </w:tc>
        <w:tc>
          <w:tcPr>
            <w:tcW w:w="3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10,941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8,360</w:t>
            </w:r>
          </w:p>
        </w:tc>
      </w:tr>
      <w:tr>
        <w:trPr>
          <w:trHeight w:val="216"/>
        </w:trPr>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Sensors &amp; Controls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1,009</w:t>
            </w:r>
          </w:p>
        </w:tc>
      </w:tr>
      <w:tr>
        <w:trPr>
          <w:trHeight w:val="216"/>
        </w:trPr>
        <w:tc>
          <w:tcPr>
            <w:tcW w:w="5880" w:type="dxa"/>
            <w:vAlign w:val="bottom"/>
          </w:tcPr>
          <w:p>
            <w:pPr>
              <w:ind w:left="440"/>
              <w:spacing w:after="0"/>
              <w:rPr>
                <w:sz w:val="20"/>
                <w:szCs w:val="20"/>
                <w:color w:val="auto"/>
              </w:rPr>
            </w:pPr>
            <w:r>
              <w:rPr>
                <w:rFonts w:ascii="Arial" w:cs="Arial" w:eastAsia="Arial" w:hAnsi="Arial"/>
                <w:sz w:val="18"/>
                <w:szCs w:val="18"/>
                <w:color w:val="auto"/>
              </w:rPr>
              <w:t>Educational &amp; Productivity Solutions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506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485</w:t>
            </w:r>
          </w:p>
        </w:tc>
      </w:tr>
      <w:tr>
        <w:trPr>
          <w:trHeight w:val="216"/>
        </w:trPr>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elimination and other</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22"/>
        </w:trPr>
        <w:tc>
          <w:tcPr>
            <w:tcW w:w="588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2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13,392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12,580</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9,834</w:t>
            </w:r>
          </w:p>
        </w:tc>
        <w:tc>
          <w:tcPr>
            <w:tcW w:w="140" w:type="dxa"/>
            <w:vAlign w:val="bottom"/>
          </w:tcPr>
          <w:p>
            <w:pPr>
              <w:spacing w:after="0"/>
              <w:rPr>
                <w:sz w:val="19"/>
                <w:szCs w:val="19"/>
                <w:color w:val="auto"/>
              </w:rPr>
            </w:pPr>
          </w:p>
        </w:tc>
      </w:tr>
      <w:tr>
        <w:trPr>
          <w:trHeight w:val="217"/>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5,872</w:t>
            </w:r>
          </w:p>
        </w:tc>
        <w:tc>
          <w:tcPr>
            <w:tcW w:w="140" w:type="dxa"/>
            <w:vAlign w:val="bottom"/>
            <w:shd w:val="clear" w:color="auto" w:fill="CCEEFF"/>
          </w:tcPr>
          <w:p>
            <w:pPr>
              <w:spacing w:after="0"/>
              <w:rPr>
                <w:sz w:val="18"/>
                <w:szCs w:val="18"/>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Gross profit</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6,363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5,626</w:t>
            </w:r>
          </w:p>
        </w:tc>
        <w:tc>
          <w:tcPr>
            <w:tcW w:w="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3,962</w:t>
            </w:r>
          </w:p>
        </w:tc>
      </w:tr>
      <w:tr>
        <w:trPr>
          <w:trHeight w:val="217"/>
        </w:trPr>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 % of revenue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1,978</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1,748</w:t>
            </w:r>
          </w:p>
        </w:tc>
      </w:tr>
      <w:tr>
        <w:trPr>
          <w:trHeight w:val="216"/>
        </w:trPr>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R&amp;D % of revenue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1,557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1,441</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1,249</w:t>
            </w:r>
          </w:p>
        </w:tc>
      </w:tr>
      <w:tr>
        <w:trPr>
          <w:trHeight w:val="216"/>
        </w:trPr>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SG&amp;A % of revenue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Profit from operations</w:t>
            </w:r>
          </w:p>
        </w:tc>
        <w:tc>
          <w:tcPr>
            <w:tcW w:w="2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2,791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40" w:type="dxa"/>
            <w:vAlign w:val="bottom"/>
          </w:tcPr>
          <w:p>
            <w:pPr>
              <w:spacing w:after="0"/>
              <w:rPr>
                <w:sz w:val="19"/>
                <w:szCs w:val="19"/>
                <w:color w:val="auto"/>
              </w:rPr>
            </w:pPr>
          </w:p>
        </w:tc>
      </w:tr>
      <w:tr>
        <w:trPr>
          <w:trHeight w:val="217"/>
        </w:trPr>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 % of revenue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2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2,988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2,421</w:t>
            </w:r>
          </w:p>
        </w:tc>
        <w:tc>
          <w:tcPr>
            <w:tcW w:w="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1,250</w:t>
            </w:r>
          </w:p>
        </w:tc>
      </w:tr>
      <w:tr>
        <w:trPr>
          <w:trHeight w:val="217"/>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income</w:t>
            </w:r>
          </w:p>
        </w:tc>
        <w:tc>
          <w:tcPr>
            <w:tcW w:w="2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2,324</w:t>
            </w:r>
          </w:p>
        </w:tc>
        <w:tc>
          <w:tcPr>
            <w:tcW w:w="3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1,861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1,198</w:t>
            </w:r>
          </w:p>
        </w:tc>
      </w:tr>
      <w:tr>
        <w:trPr>
          <w:trHeight w:val="20"/>
        </w:trPr>
        <w:tc>
          <w:tcPr>
            <w:tcW w:w="5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(EPS)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r>
      <w:tr>
        <w:trPr>
          <w:trHeight w:val="20"/>
        </w:trPr>
        <w:tc>
          <w:tcPr>
            <w:tcW w:w="5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68" w:name="page69"/>
    <w:bookmarkEnd w:id="68"/>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year, our revenue reached a record $13.39 billion, an increase of 6 percent. We also set a new high for operating margin of 20.8 percent.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were $1.39 for the year. Earnings per share include stock-based compensation expense of $0.07 for the year.</w:t>
      </w:r>
    </w:p>
    <w:p>
      <w:pPr>
        <w:spacing w:after="0" w:line="17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Gross profit of $6.36 billion, or 47.5 percent of revenue, increased 13 percent from 2004 primarily due to higher gross margin in our Semiconductor business segment. Stock-based compensation expense included in cost of revenue was $33 million in 2005 compared with zero in 2004.</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R&amp;D expense of $2.02 billion, or 15.0 percent of revenue, increased $37 million, or 2 percent from 2004, primarily due to stock-based compensation expense, which was $53 million in 2005 compared with zero in 2004.</w:t>
      </w:r>
    </w:p>
    <w:p>
      <w:pPr>
        <w:spacing w:after="0" w:line="13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SG&amp;A expense of $1.56 billion, or 11.6 percent of revenue, increased 8 percent primarily due to higher stock-based compensation and, to a lesser extent, expenses for DLP product advertising. Stock-based compensation expense included in SG&amp;A was $92 million in 2005 compared with $18 million in 2004.</w:t>
      </w:r>
    </w:p>
    <w:p>
      <w:pPr>
        <w:spacing w:after="0" w:line="8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Operating profit for the year was a record $2.79 billion. Operating margin was also a record at 20.8 percent of revenue, increasing 26 percent from 2004 due to higher operating margin in Semiconductor. Total stock-based compensation expense for 2005 was $178 million, or 1.3 percent of revenue, compared with $18 million in 2004.</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OI&amp;E decreased $29 million in 2005 to $206 million. Interest income was $165 million, an increase of $29 million, due to higher average interest rates earned on short-term investments. This was offset by lower income in 2005 than in 2004 from settlements related to grants from the Italian government regarding our former memory business operations, and the 2004 favorable settlement with the State of Texas over claims for refund of state sales taxes relating to our former defense electronics business.</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2005, we recognized net discrete tax items of $92 million, consisting of $147 million primarily associated with favorable developments on certain outstanding income tax matters, partially offset by a $55 million accrual for taxes on dividends from earnings repatriated from our non-U.S. subsidiaries under the American Jobs Creation Act of 2004 (AJCA). Excluding the effect of the discrete tax items, the effective tax rate for 2005 was 25 percent. This compares with the effective tax rate in 2004 of 23 percent. This difference was primarily due to an increase in income before income taxes in 2005. The effective tax rate for 2005 of 25 percent differs from the 35 percent corporate statutory rate due to the effect of non-U.S. tax rates and, to a lesser extent, various tax benefits such as for export sales and research activities.</w:t>
      </w:r>
    </w:p>
    <w:p>
      <w:pPr>
        <w:spacing w:after="0" w:line="14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Including the effect of the discrete tax items recognized during 2005, the overall tax rate was 22 percent compared with 23 percent in 2004. The lower tax rate in 2005 was the result of the discrete tax items recognized during the year, partially offset by the impact of the increase in income before income taxes.</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year, net income was $2.32 billion, or $1.39 per share, an increase of 25 percent compared with 2004 net income of $1.86 billion, or $1.05 per share. Earnings per share growth of 32 percent in 2005 exceeded net income growth, reflecting a net decline of about 100 million shares in the average diluted shares outstanding primarily resulting from our stock repurchase program.</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the year, our orders of $13.92 billion increased 12 percent as demand grew for our Semiconductor products. Semiconductor orders increased 13 percent to $12.23 billion due to broad-based demand for our DSP and analog products.</w:t>
      </w:r>
    </w:p>
    <w:p>
      <w:pPr>
        <w:sectPr>
          <w:pgSz w:w="11900" w:h="16838" w:orient="portrait"/>
          <w:cols w:equalWidth="0" w:num="1">
            <w:col w:w="11360"/>
          </w:cols>
          <w:pgMar w:left="240" w:top="280" w:right="2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49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 Segment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Semiconductor</w:t>
      </w:r>
    </w:p>
    <w:p>
      <w:pPr>
        <w:spacing w:after="0" w:line="213"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years ended</w:t>
      </w:r>
    </w:p>
    <w:p>
      <w:pPr>
        <w:spacing w:after="0" w:line="1"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3"/>
        </w:trPr>
        <w:tc>
          <w:tcPr>
            <w:tcW w:w="5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3" w:lineRule="exact"/>
              <w:rPr>
                <w:sz w:val="20"/>
                <w:szCs w:val="20"/>
                <w:color w:val="auto"/>
              </w:rPr>
            </w:pPr>
            <w:r>
              <w:rPr>
                <w:rFonts w:ascii="Arial" w:cs="Arial" w:eastAsia="Arial" w:hAnsi="Arial"/>
                <w:sz w:val="14"/>
                <w:szCs w:val="14"/>
                <w:b w:val="1"/>
                <w:bCs w:val="1"/>
                <w:color w:val="auto"/>
              </w:rPr>
              <w:t>2005</w:t>
            </w:r>
          </w:p>
        </w:tc>
        <w:tc>
          <w:tcPr>
            <w:tcW w:w="6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3"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$ 11,722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$10,941</w:t>
            </w:r>
          </w:p>
        </w:tc>
        <w:tc>
          <w:tcPr>
            <w:tcW w:w="14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Cost of revenue</w:t>
            </w:r>
          </w:p>
        </w:tc>
        <w:tc>
          <w:tcPr>
            <w:tcW w:w="25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5,988</w:t>
            </w:r>
          </w:p>
        </w:tc>
        <w:tc>
          <w:tcPr>
            <w:tcW w:w="580" w:type="dxa"/>
            <w:vAlign w:val="bottom"/>
          </w:tcPr>
          <w:p>
            <w:pPr>
              <w:jc w:val="right"/>
              <w:spacing w:after="0"/>
              <w:rPr>
                <w:sz w:val="20"/>
                <w:szCs w:val="20"/>
                <w:color w:val="auto"/>
              </w:rPr>
            </w:pPr>
            <w:r>
              <w:rPr>
                <w:rFonts w:ascii="Arial" w:cs="Arial" w:eastAsia="Arial" w:hAnsi="Arial"/>
                <w:sz w:val="18"/>
                <w:szCs w:val="18"/>
                <w:color w:val="auto"/>
              </w:rPr>
              <w:t>5,974</w:t>
            </w:r>
          </w:p>
        </w:tc>
        <w:tc>
          <w:tcPr>
            <w:tcW w:w="140" w:type="dxa"/>
            <w:vAlign w:val="bottom"/>
          </w:tcPr>
          <w:p>
            <w:pPr>
              <w:spacing w:after="0"/>
              <w:rPr>
                <w:sz w:val="18"/>
                <w:szCs w:val="18"/>
                <w:color w:val="auto"/>
              </w:rPr>
            </w:pPr>
          </w:p>
        </w:tc>
      </w:tr>
      <w:tr>
        <w:trPr>
          <w:trHeight w:val="27"/>
        </w:trPr>
        <w:tc>
          <w:tcPr>
            <w:tcW w:w="5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5,734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40" w:type="dxa"/>
            <w:vAlign w:val="bottom"/>
            <w:shd w:val="clear" w:color="auto" w:fill="CCEEFF"/>
          </w:tcPr>
          <w:p>
            <w:pPr>
              <w:spacing w:after="0"/>
              <w:rPr>
                <w:sz w:val="18"/>
                <w:szCs w:val="18"/>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Gross profit % of revenue</w:t>
            </w:r>
          </w:p>
        </w:tc>
        <w:tc>
          <w:tcPr>
            <w:tcW w:w="37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48.9%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3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2,797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40" w:type="dxa"/>
            <w:vAlign w:val="bottom"/>
            <w:shd w:val="clear" w:color="auto" w:fill="CCEEFF"/>
          </w:tcPr>
          <w:p>
            <w:pPr>
              <w:spacing w:after="0"/>
              <w:rPr>
                <w:sz w:val="18"/>
                <w:szCs w:val="18"/>
                <w:color w:val="auto"/>
              </w:rPr>
            </w:pPr>
          </w:p>
        </w:tc>
      </w:tr>
      <w:tr>
        <w:trPr>
          <w:trHeight w:val="228"/>
        </w:trPr>
        <w:tc>
          <w:tcPr>
            <w:tcW w:w="5100" w:type="dxa"/>
            <w:vAlign w:val="bottom"/>
          </w:tcPr>
          <w:p>
            <w:pPr>
              <w:ind w:left="440"/>
              <w:spacing w:after="0"/>
              <w:rPr>
                <w:sz w:val="20"/>
                <w:szCs w:val="20"/>
                <w:color w:val="auto"/>
              </w:rPr>
            </w:pPr>
            <w:r>
              <w:rPr>
                <w:rFonts w:ascii="Arial" w:cs="Arial" w:eastAsia="Arial" w:hAnsi="Arial"/>
                <w:sz w:val="18"/>
                <w:szCs w:val="18"/>
                <w:color w:val="auto"/>
              </w:rPr>
              <w:t>Operating profit % of revenue</w:t>
            </w:r>
          </w:p>
        </w:tc>
        <w:tc>
          <w:tcPr>
            <w:tcW w:w="37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23.9%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18.7%</w:t>
            </w:r>
          </w:p>
        </w:tc>
      </w:tr>
    </w:tbl>
    <w:p>
      <w:pPr>
        <w:spacing w:after="0" w:line="14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Semiconductor revenue in 2005 of $11.72 billion increased 7 percent from 2004 primarily due to increased shipments resulting from higher demand for wireless products and, to a lesser extent, increased shipments from higher demand for high-performance analog products.</w:t>
      </w:r>
    </w:p>
    <w:p>
      <w:pPr>
        <w:spacing w:after="0" w:line="132" w:lineRule="exact"/>
        <w:rPr>
          <w:sz w:val="20"/>
          <w:szCs w:val="20"/>
          <w:color w:val="auto"/>
        </w:rPr>
      </w:pPr>
    </w:p>
    <w:p>
      <w:pPr>
        <w:jc w:val="both"/>
        <w:ind w:right="600"/>
        <w:spacing w:after="0" w:line="306" w:lineRule="auto"/>
        <w:rPr>
          <w:sz w:val="20"/>
          <w:szCs w:val="20"/>
          <w:color w:val="auto"/>
        </w:rPr>
      </w:pPr>
      <w:r>
        <w:rPr>
          <w:rFonts w:ascii="Arial" w:cs="Arial" w:eastAsia="Arial" w:hAnsi="Arial"/>
          <w:sz w:val="16"/>
          <w:szCs w:val="16"/>
          <w:color w:val="auto"/>
        </w:rPr>
        <w:t>For the year, wireless revenue grew 14 percent, with success in both the fast-growing 3G WCDMA market, and in supplying chips to the rapidly growing emerging market for low-price cell phones. We believe industry shipments of WCDMA cell-phones doubled in 2005. In 2005, about 55 percent of our 3G revenue came from sales of OMAP application processors and about 45 percent from sales of digital baseband modems.</w:t>
      </w:r>
    </w:p>
    <w:p>
      <w:pPr>
        <w:spacing w:after="0" w:line="10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year, high-performance analog revenue grew 13 percent, reflecting the combination of four consecutive quarters of solid growth and the inventory correction that was underway at our distributors at the end of 2004. We exited 2005 with distribution inventory levels of our high-performance analog products lower than they were at the end of 2004, despite resales that were significantly higher.</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Gross profit of $5.73 billion, or 48.9 percent of revenue, increased $767 million from 2004, primarily due to manufacturing cost reductions and, to a lesser extent, higher revenue.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$2.80 billion, or 23.9 percent of revenue, up $747 million from 2004 due to higher gross profit.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Analog revenue increased 4 percent from 2004 primarily due to increased shipments resulting from growth in demand for high-performance analog products, which more than offset the loss of revenue from our commodity liquid crystal display (LCD) driver product line, which we divested in the first quarter of 2005. In 2005, about 40 percent of total Semiconductor revenue came from analog.</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DSP revenue increased 15 percent from 2004 primarily due to increased shipments resulting from growth in demand for wireless products. In 2005, about 40 percent of total Semiconductor revenue came from DSP.</w:t>
      </w:r>
    </w:p>
    <w:p>
      <w:pPr>
        <w:spacing w:after="0" w:line="13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For the year, remaining Semiconductor revenue increased 2 percent from 2004 primarily due to higher shipments resulting from increased demand for reduced instruction set computing (RISC) microprocessors (designed to provide very fast computing, typically for a specialized application such as servers), and microcontrollers (a microprocessor designed to control a very specific task for electronic equipment) that offset a decline in revenue from DLP products.</w:t>
      </w:r>
    </w:p>
    <w:p>
      <w:pPr>
        <w:spacing w:after="0" w:line="107"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We began 2005 with excess inventories of DLP products at both our customers and their channels. Overall DLP revenue declined 8 percent in 2005. We left the year in a much better position, with revenue in the fourth quarter up 10 percent from the year-ago quarter. In 2005, DLP was about 5 percent of Semiconductor revenue, while RISC microprocessors, standard logic, microcontrollers and royalties were under 5 percent each.</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total, we estimate that our 2005 Semiconductor product revenue came from the following broad markets: communications (including wireless and broadband communications) was about 50 percent; computing (including peripherals and computers) was about 30 percent; consumer electronics was about 10 percent; industrial was about 5 percent; and automotive was about 5 percent.</w:t>
      </w:r>
    </w:p>
    <w:p>
      <w:pPr>
        <w:sectPr>
          <w:pgSz w:w="11900" w:h="16838" w:orient="portrait"/>
          <w:cols w:equalWidth="0" w:num="1">
            <w:col w:w="11420"/>
          </w:cols>
          <w:pgMar w:left="240" w:top="274" w:right="239" w:bottom="1440" w:gutter="0" w:footer="0" w:header="0"/>
        </w:sectPr>
      </w:pPr>
    </w:p>
    <w:bookmarkStart w:id="70" w:name="page71"/>
    <w:bookmarkEnd w:id="70"/>
    <w:p>
      <w:pPr>
        <w:ind w:left="280" w:hanging="272"/>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year, Semiconductor orders increased 13 percent to $12.23 billion due to broad-based demand for our DSP and analog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Sensors &amp; Controls Segment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Sensors &amp; Controls</w:t>
      </w:r>
    </w:p>
    <w:p>
      <w:pPr>
        <w:spacing w:after="0" w:line="213"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For years ended</w:t>
      </w:r>
    </w:p>
    <w:p>
      <w:pPr>
        <w:spacing w:after="0" w:line="1"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3"/>
        </w:trPr>
        <w:tc>
          <w:tcPr>
            <w:tcW w:w="78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3" w:lineRule="exact"/>
              <w:rPr>
                <w:sz w:val="20"/>
                <w:szCs w:val="20"/>
                <w:color w:val="auto"/>
              </w:rPr>
            </w:pPr>
            <w:r>
              <w:rPr>
                <w:rFonts w:ascii="Arial" w:cs="Arial" w:eastAsia="Arial" w:hAnsi="Arial"/>
                <w:sz w:val="14"/>
                <w:szCs w:val="14"/>
                <w:b w:val="1"/>
                <w:bCs w:val="1"/>
                <w:color w:val="auto"/>
              </w:rPr>
              <w:t>2005</w:t>
            </w: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3"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$1,172</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$1,127</w:t>
            </w:r>
          </w:p>
        </w:tc>
        <w:tc>
          <w:tcPr>
            <w:tcW w:w="140" w:type="dxa"/>
            <w:vAlign w:val="bottom"/>
            <w:shd w:val="clear" w:color="auto" w:fill="CCEEFF"/>
          </w:tcPr>
          <w:p>
            <w:pPr>
              <w:spacing w:after="0"/>
              <w:rPr>
                <w:sz w:val="18"/>
                <w:szCs w:val="18"/>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Cost of revenue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w:t>
            </w:r>
          </w:p>
        </w:tc>
        <w:tc>
          <w:tcPr>
            <w:tcW w:w="6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9"/>
                <w:szCs w:val="19"/>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Gross profit % of revenue</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34.5%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r>
      <w:tr>
        <w:trPr>
          <w:trHeight w:val="228"/>
        </w:trPr>
        <w:tc>
          <w:tcPr>
            <w:tcW w:w="7820" w:type="dxa"/>
            <w:vAlign w:val="bottom"/>
          </w:tcPr>
          <w:p>
            <w:pPr>
              <w:ind w:left="440"/>
              <w:spacing w:after="0"/>
              <w:rPr>
                <w:sz w:val="20"/>
                <w:szCs w:val="20"/>
                <w:color w:val="auto"/>
              </w:rPr>
            </w:pPr>
            <w:r>
              <w:rPr>
                <w:rFonts w:ascii="Arial" w:cs="Arial" w:eastAsia="Arial" w:hAnsi="Arial"/>
                <w:sz w:val="18"/>
                <w:szCs w:val="18"/>
                <w:color w:val="auto"/>
              </w:rPr>
              <w:t>Operating profit % of revenue</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22.7%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24.9%</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Sensors &amp; Controls revenue for 2005 was $1.17 billion, up 4 percent from 2004 due to increased shipments resulting from growth in demand for sensor products.</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year, gross profit was $404 million, or 34.5 percent of revenue, a decrease of $19 million from the prior year primarily due to costs associated with new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$266 million, or 22.7 percent of revenue, a decrease of $15 million from the prior year due to lower gross profit.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Educational &amp; Productivity Solutions (E&amp;PS) Segment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E&amp;PS</w:t>
      </w:r>
    </w:p>
    <w:p>
      <w:pPr>
        <w:spacing w:after="0" w:line="213"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For years ended</w:t>
      </w:r>
    </w:p>
    <w:p>
      <w:pPr>
        <w:spacing w:after="0" w:line="1"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3"/>
        </w:trPr>
        <w:tc>
          <w:tcPr>
            <w:tcW w:w="80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2005</w:t>
            </w: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3"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4"/>
              </w:rPr>
              <w:t>$ 506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$ 518</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Cost of revenue</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r>
      <w:tr>
        <w:trPr>
          <w:trHeight w:val="27"/>
        </w:trPr>
        <w:tc>
          <w:tcPr>
            <w:tcW w:w="80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Gross profit % of revenue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56.4%</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188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r>
      <w:tr>
        <w:trPr>
          <w:trHeight w:val="228"/>
        </w:trPr>
        <w:tc>
          <w:tcPr>
            <w:tcW w:w="8020" w:type="dxa"/>
            <w:vAlign w:val="bottom"/>
          </w:tcPr>
          <w:p>
            <w:pPr>
              <w:ind w:left="440"/>
              <w:spacing w:after="0"/>
              <w:rPr>
                <w:sz w:val="20"/>
                <w:szCs w:val="20"/>
                <w:color w:val="auto"/>
              </w:rPr>
            </w:pPr>
            <w:r>
              <w:rPr>
                <w:rFonts w:ascii="Arial" w:cs="Arial" w:eastAsia="Arial" w:hAnsi="Arial"/>
                <w:sz w:val="18"/>
                <w:szCs w:val="18"/>
                <w:color w:val="auto"/>
              </w:rPr>
              <w:t>Operating profit % of revenue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34.0%</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E&amp;PS revenue for 2005 was $506 million, down 2 percent from 2004 primarily due to tighter inventory management at retail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Gross profit of $300 million, or a record 59.2 percent of revenue, increased $8 million from 2004 primarily due to lower manufacturing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a record $188 million, or 37.2 percent of revenue, an increase of $12 million from 2004 due to higher gross profit.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2004 Compared with 2003</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delivered excellent growth and improved profitability in 2004 despite a second half that was dampened by inventory adjustments. In the third and fourth quarters of 2004, distributors and other customers adjusted their semiconductor inventories. In response, we took action beginning in the third quarter to sharply reduce factory loadings, which resulted in exiting the year with $100 million lower inventory levels than in the third quarter.</w:t>
      </w:r>
    </w:p>
    <w:p>
      <w:pPr>
        <w:sectPr>
          <w:pgSz w:w="11900" w:h="16838" w:orient="portrait"/>
          <w:cols w:equalWidth="0" w:num="1">
            <w:col w:w="11360"/>
          </w:cols>
          <w:pgMar w:left="240" w:top="280" w:right="299" w:bottom="1440" w:gutter="0" w:footer="0" w:header="0"/>
        </w:sectPr>
      </w:pPr>
    </w:p>
    <w:bookmarkStart w:id="71" w:name="page72"/>
    <w:bookmarkEnd w:id="71"/>
    <w:p>
      <w:pPr>
        <w:ind w:left="7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6"/>
          <w:szCs w:val="16"/>
          <w:b w:val="1"/>
          <w:bCs w:val="1"/>
          <w:color w:val="auto"/>
        </w:rPr>
        <w:t>51</w:t>
      </w:r>
    </w:p>
    <w:p>
      <w:pPr>
        <w:spacing w:after="0" w:line="18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2004, our revenue was $12.58 billion, up $2.75 billion or 28 percent from 2003 due to broad-based growth in the Semiconductor segment. Semiconductor revenue increased 31 percent from 2003 due to increased shipments resulting from broad-based demand.</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Sensors &amp; Controls segment, revenue for 2004 increased 12 percent from 2003 due to higher broad-based demand. In the E&amp;PS segment, revenue for 2004 increased 7 percent from 2003 on the strength of higher shipments for new graphing calculator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year were $1.05 compared with $0.68 in 2003.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Gross profit of $5.63 billion, or 44.7 percent of revenue, increased 42 percent from 2003 primarily due to higher revenue.</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R&amp;D expense of $1.98 billion, or 15.7 percent of revenue, increased 13 percent from 2003 primarily due to increased product development in Semiconductor, especially for wireless.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SG&amp;A expense of $1.44 billion, or 11.5 percent of revenue, increased 15 percent due to increased levels of marketing, especially for Semiconductor products and, to a lesser degree, higher profit sharing accruals.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operating profit of $2.21 billion, or 17.5 percent of revenue, increased 129 percent due to higher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2004, $243 million was accrued for our employee profit sharing plan, including $90 million in cost of revenue, $81 million in SG&amp;A and $72 million in R&amp;D.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 profit sharing was accrued in 2003.</w:t>
      </w:r>
    </w:p>
    <w:p>
      <w:pPr>
        <w:spacing w:after="0" w:line="16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OI&amp;E of $235 million decreased by $89 million from 2003 due to lower investment gains that were partially offset, in decreasing order, by the partial settlement of matters related to grants from the Italian government regarding our former memory business operations, higher interest income generated from higher cash balances and higher interest rates, and the resolution of an open sales-tax item associated with our divested defense electronics business. In 2003, OI&amp;E included pre-tax investment gains of $203 million from the sale of our remaining 57 million shares of Micron Technologies, Inc. (Micron) common stock.</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year, interest expense of $21 million decreased $18 million due to our lower debt level, which primarily resulted from our redemption of $400 million of notes that matured in the third quarter of 2004.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net income was $1.86 billion, or $1.05 per share, as compared with $1.20 billion, or $0.68 per share for 2003.</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effective annual tax rate for 2004 of 23 percent differs from the 35 percent corporate statutory rate due to the effect of non-U.S. tax rates and, to a lesser extent, various tax benefits such as for export sales and research activities.</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effective annual tax rate in 2003 was 4 percent compared with 23 percent in 2004. This difference was primarily due to the reversal in 2003 of the $223 million valuation allowance on deferred tax assets generated in 2002 by the write-down of the investment in Micron stock. The tax rate impact of higher profit was primarily offset by increases in tax benefits and credits.</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the year, our orders of $12.45 billion increased 20 percent due to Semiconductor. Semiconductor orders of $10.79 billion increased 22 percent, reflecting broad-based demand.</w:t>
      </w:r>
    </w:p>
    <w:p>
      <w:pPr>
        <w:sectPr>
          <w:pgSz w:w="11900" w:h="16838" w:orient="portrait"/>
          <w:cols w:equalWidth="0" w:num="1">
            <w:col w:w="11420"/>
          </w:cols>
          <w:pgMar w:left="240" w:top="274" w:right="239" w:bottom="1440" w:gutter="0" w:footer="0" w:header="0"/>
        </w:sectPr>
      </w:pPr>
    </w:p>
    <w:bookmarkStart w:id="72" w:name="page73"/>
    <w:bookmarkEnd w:id="72"/>
    <w:p>
      <w:pPr>
        <w:ind w:left="280" w:hanging="272"/>
        <w:spacing w:after="0"/>
        <w:tabs>
          <w:tab w:leader="none" w:pos="2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 Segment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Semiconductor</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For years ended</w:t>
            </w:r>
          </w:p>
        </w:tc>
      </w:tr>
      <w:tr>
        <w:trPr>
          <w:trHeight w:val="175"/>
        </w:trPr>
        <w:tc>
          <w:tcPr>
            <w:tcW w:w="5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7"/>
              <w:spacing w:after="0" w:line="143" w:lineRule="exact"/>
              <w:rPr>
                <w:sz w:val="20"/>
                <w:szCs w:val="20"/>
                <w:color w:val="auto"/>
              </w:rPr>
            </w:pPr>
            <w:r>
              <w:rPr>
                <w:rFonts w:ascii="Arial" w:cs="Arial" w:eastAsia="Arial" w:hAnsi="Arial"/>
                <w:sz w:val="14"/>
                <w:szCs w:val="14"/>
                <w:b w:val="1"/>
                <w:bCs w:val="1"/>
                <w:color w:val="auto"/>
              </w:rPr>
              <w:t>2004</w:t>
            </w: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3"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$10,941</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$8,360</w:t>
            </w:r>
          </w:p>
        </w:tc>
        <w:tc>
          <w:tcPr>
            <w:tcW w:w="140" w:type="dxa"/>
            <w:vAlign w:val="bottom"/>
            <w:shd w:val="clear" w:color="auto" w:fill="CCEEFF"/>
          </w:tcPr>
          <w:p>
            <w:pPr>
              <w:spacing w:after="0"/>
              <w:rPr>
                <w:sz w:val="18"/>
                <w:szCs w:val="18"/>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Cost of revenue</w:t>
            </w:r>
          </w:p>
        </w:tc>
        <w:tc>
          <w:tcPr>
            <w:tcW w:w="2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5,974</w:t>
            </w:r>
          </w:p>
        </w:tc>
        <w:tc>
          <w:tcPr>
            <w:tcW w:w="6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w:t>
            </w:r>
          </w:p>
        </w:tc>
        <w:tc>
          <w:tcPr>
            <w:tcW w:w="140" w:type="dxa"/>
            <w:vAlign w:val="bottom"/>
          </w:tcPr>
          <w:p>
            <w:pPr>
              <w:spacing w:after="0"/>
              <w:rPr>
                <w:sz w:val="19"/>
                <w:szCs w:val="19"/>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4,967</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40" w:type="dxa"/>
            <w:vAlign w:val="bottom"/>
            <w:shd w:val="clear" w:color="auto" w:fill="CCEEFF"/>
          </w:tcPr>
          <w:p>
            <w:pPr>
              <w:spacing w:after="0"/>
              <w:rPr>
                <w:sz w:val="18"/>
                <w:szCs w:val="18"/>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Gross profit % of revenue</w:t>
            </w:r>
          </w:p>
        </w:tc>
        <w:tc>
          <w:tcPr>
            <w:tcW w:w="38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45.4%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41.5%</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2,050</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CEEFF"/>
          </w:tcPr>
          <w:p>
            <w:pPr>
              <w:spacing w:after="0"/>
              <w:rPr>
                <w:sz w:val="18"/>
                <w:szCs w:val="18"/>
                <w:color w:val="auto"/>
              </w:rPr>
            </w:pPr>
          </w:p>
        </w:tc>
      </w:tr>
      <w:tr>
        <w:trPr>
          <w:trHeight w:val="228"/>
        </w:trPr>
        <w:tc>
          <w:tcPr>
            <w:tcW w:w="5140" w:type="dxa"/>
            <w:vAlign w:val="bottom"/>
          </w:tcPr>
          <w:p>
            <w:pPr>
              <w:ind w:left="440"/>
              <w:spacing w:after="0"/>
              <w:rPr>
                <w:sz w:val="20"/>
                <w:szCs w:val="20"/>
                <w:color w:val="auto"/>
              </w:rPr>
            </w:pPr>
            <w:r>
              <w:rPr>
                <w:rFonts w:ascii="Arial" w:cs="Arial" w:eastAsia="Arial" w:hAnsi="Arial"/>
                <w:sz w:val="18"/>
                <w:szCs w:val="18"/>
                <w:color w:val="auto"/>
              </w:rPr>
              <w:t>Operating profit % of revenue</w:t>
            </w:r>
          </w:p>
        </w:tc>
        <w:tc>
          <w:tcPr>
            <w:tcW w:w="38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18.7%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11.6%</w:t>
            </w:r>
          </w:p>
        </w:tc>
      </w:tr>
    </w:tbl>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Semiconductor revenue of $10.94 billion increased 31 percent from 2003, due to increased shipments resulting from broad-based demand, led by 40 percent growth in wireless revenue, 40 percent growth in high-performance analog revenue and 79 percent growth in DLP product revenue. Revenue from analog products and DSPs represented 75 percent of total Semiconductor revenue for both 2004 and 2003. From an end-equipment perspective, higher shipments into the wireless market provided the most significant source of growth, as wireless revenue increased more than $1 billion to a record $3.84 billion for the year. Almost $500 million of the wireless revenue growth came from the emerging market for 3G cell phones. Higher DLP shipments reflect the significant share gains in both of its primary markets – front projectors and HDTVs. The higher shipments also reflect the building of excess inventories by both our front projector and HDTV customers and their channels.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Semiconductor gross profit of $4.97 billion, or 45.4 percent of revenue, increased $1.50 billion primarily due to higher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year, operating profit was $2.05 billion, or 18.7 percent of revenue, up $1.08 billion due to higher gross profit.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Analog revenue increased 28 percent from 2003 primarily due to higher shipments as a result of growth in demand for high-performance analog products and wireless products. High-performance analog revenue for the year grew 40 percent due to broad-based demand. In 2004, about 40 percent of total Semiconductor revenue came from analog.</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DSP revenue increased 35 percent from 2003 primarily due to strong demand for wireless products, and, to a lesser extent, catalog and broadband products. The emerging market for 3G handsets was a major contributor to the growth in demand for DSP products for wireless. In 2004, about 35 percent of total Semiconductor revenue came from DSP.</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remaining Semiconductor revenue increased 30 percent primarily due to demand for DLP products. Revenue from DLP products increased 79 percent for the year. In 2004, DLP products were more than 5 percent of Semiconductor revenue, while RISC microprocessors, standard logic, microcontrollers and royalties were under 5 percent each.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Results for our Semiconductor products sold into key end equipments were as follows:</w:t>
      </w:r>
    </w:p>
    <w:p>
      <w:pPr>
        <w:spacing w:after="0" w:line="90" w:lineRule="exact"/>
        <w:rPr>
          <w:sz w:val="20"/>
          <w:szCs w:val="20"/>
          <w:color w:val="auto"/>
        </w:rPr>
      </w:pPr>
    </w:p>
    <w:p>
      <w:pPr>
        <w:ind w:left="780" w:right="40" w:hanging="326"/>
        <w:spacing w:after="0" w:line="294"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Wireless revenue grew 40 percent primarily due to more than 40 percent growth in 2.5G products and almost 300 percent growth in 3G products. Growth in revenue was due to higher shipments reflecting increased demand from manufacturers of cell phones, primarily for advanced processors for both the modem function and applications processing. We have continued our leadership in the 3G UMTS market. UMTS is widely expected to be the prevalent global standard for 3G cell phones. We believe a strong majority of 3G cell phones using the UMTS standard are based on our DSPs and OMAP application processors. In 2004, about 35 percent of total Semiconductor revenue came from the wireless market.</w:t>
      </w:r>
    </w:p>
    <w:p>
      <w:pPr>
        <w:spacing w:after="0" w:line="34" w:lineRule="exact"/>
        <w:rPr>
          <w:rFonts w:ascii="Arial" w:cs="Arial" w:eastAsia="Arial" w:hAnsi="Arial"/>
          <w:sz w:val="16"/>
          <w:szCs w:val="16"/>
          <w:color w:val="auto"/>
        </w:rPr>
      </w:pPr>
    </w:p>
    <w:p>
      <w:pPr>
        <w:ind w:left="780" w:right="160" w:hanging="326"/>
        <w:spacing w:after="0" w:line="259"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Voice over Internet Protocol (VoIP) and wireless LAN (WLAN), grew 46 percent due to higher shipments from increased demand in all product areas. In 2004, about 5 percent of total Semiconductor revenue came from the broadband communications market.</w:t>
      </w:r>
    </w:p>
    <w:p>
      <w:pPr>
        <w:spacing w:after="0" w:line="14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In total, we estimate that our 2004 Semiconductor revenue came from the following broad markets: communications (including wireless and broadband communications) was about 50 percent of Semiconductor revenue; computing</w:t>
      </w:r>
    </w:p>
    <w:p>
      <w:pPr>
        <w:sectPr>
          <w:pgSz w:w="11900" w:h="16838" w:orient="portrait"/>
          <w:cols w:equalWidth="0" w:num="1">
            <w:col w:w="11400"/>
          </w:cols>
          <w:pgMar w:left="240" w:top="280" w:right="259" w:bottom="1440" w:gutter="0" w:footer="0" w:header="0"/>
        </w:sectPr>
      </w:pPr>
    </w:p>
    <w:bookmarkStart w:id="73" w:name="page74"/>
    <w:bookmarkEnd w:id="73"/>
    <w:p>
      <w:pPr>
        <w:ind w:left="7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6"/>
          <w:szCs w:val="16"/>
          <w:b w:val="1"/>
          <w:bCs w:val="1"/>
          <w:color w:val="auto"/>
        </w:rPr>
        <w:t>53</w:t>
      </w:r>
    </w:p>
    <w:p>
      <w:pPr>
        <w:spacing w:after="0" w:line="18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(including computers and peripherals) was about 30 percent; consumer electronics was about 10 percent; automotive was about 5 percent; and industrial and other was about 5 percent.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Semiconductor orders for 2004 increased 22 percent to $10.79 billion due to broad-based demand.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Sensors &amp; Controls Segment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Sensors &amp; Controls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7"/>
              </w:rPr>
              <w:t>For years ended</w:t>
            </w:r>
          </w:p>
        </w:tc>
      </w:tr>
      <w:tr>
        <w:trPr>
          <w:trHeight w:val="161"/>
        </w:trPr>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26"/>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$1,127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$1,009</w:t>
            </w:r>
          </w:p>
        </w:tc>
        <w:tc>
          <w:tcPr>
            <w:tcW w:w="14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Gross profit % of revenue</w:t>
            </w:r>
          </w:p>
        </w:tc>
        <w:tc>
          <w:tcPr>
            <w:tcW w:w="11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37.5%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37.0%</w:t>
            </w: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r>
      <w:tr>
        <w:trPr>
          <w:trHeight w:val="228"/>
        </w:trPr>
        <w:tc>
          <w:tcPr>
            <w:tcW w:w="920" w:type="dxa"/>
            <w:vAlign w:val="bottom"/>
          </w:tcPr>
          <w:p>
            <w:pPr>
              <w:spacing w:after="0"/>
              <w:rPr>
                <w:sz w:val="19"/>
                <w:szCs w:val="19"/>
                <w:color w:val="auto"/>
              </w:rPr>
            </w:pP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Operating profit % of revenue</w:t>
            </w:r>
          </w:p>
        </w:tc>
        <w:tc>
          <w:tcPr>
            <w:tcW w:w="11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24.9%</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24.9%</w:t>
            </w:r>
          </w:p>
        </w:tc>
      </w:tr>
      <w:tr>
        <w:trPr>
          <w:trHeight w:val="364"/>
        </w:trPr>
        <w:tc>
          <w:tcPr>
            <w:tcW w:w="10500" w:type="dxa"/>
            <w:vAlign w:val="bottom"/>
            <w:gridSpan w:val="10"/>
          </w:tcPr>
          <w:p>
            <w:pPr>
              <w:spacing w:after="0"/>
              <w:rPr>
                <w:sz w:val="20"/>
                <w:szCs w:val="20"/>
                <w:color w:val="auto"/>
              </w:rPr>
            </w:pPr>
            <w:r>
              <w:rPr>
                <w:rFonts w:ascii="Arial" w:cs="Arial" w:eastAsia="Arial" w:hAnsi="Arial"/>
                <w:sz w:val="18"/>
                <w:szCs w:val="18"/>
                <w:color w:val="auto"/>
                <w:w w:val="93"/>
              </w:rPr>
              <w:t>Sensors &amp; Controls revenue for 2004 was a record $1.13 billion, up 12 percent due to higher shipments resulting from broad-based demand.</w:t>
            </w:r>
          </w:p>
        </w:tc>
      </w:tr>
      <w:tr>
        <w:trPr>
          <w:trHeight w:val="378"/>
        </w:trPr>
        <w:tc>
          <w:tcPr>
            <w:tcW w:w="8740" w:type="dxa"/>
            <w:vAlign w:val="bottom"/>
            <w:gridSpan w:val="3"/>
          </w:tcPr>
          <w:p>
            <w:pPr>
              <w:spacing w:after="0"/>
              <w:rPr>
                <w:sz w:val="20"/>
                <w:szCs w:val="20"/>
                <w:color w:val="auto"/>
              </w:rPr>
            </w:pPr>
            <w:r>
              <w:rPr>
                <w:rFonts w:ascii="Arial" w:cs="Arial" w:eastAsia="Arial" w:hAnsi="Arial"/>
                <w:sz w:val="18"/>
                <w:szCs w:val="18"/>
                <w:color w:val="auto"/>
                <w:w w:val="91"/>
              </w:rPr>
              <w:t>For the year, gross profit was $423 million, or 37.5 percent of revenue, an increase of $50 million due to higher revenue.</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8740" w:type="dxa"/>
            <w:vAlign w:val="bottom"/>
            <w:gridSpan w:val="3"/>
          </w:tcPr>
          <w:p>
            <w:pPr>
              <w:spacing w:after="0"/>
              <w:rPr>
                <w:sz w:val="20"/>
                <w:szCs w:val="20"/>
                <w:color w:val="auto"/>
              </w:rPr>
            </w:pPr>
            <w:r>
              <w:rPr>
                <w:rFonts w:ascii="Arial" w:cs="Arial" w:eastAsia="Arial" w:hAnsi="Arial"/>
                <w:sz w:val="18"/>
                <w:szCs w:val="18"/>
                <w:color w:val="auto"/>
                <w:w w:val="89"/>
              </w:rPr>
              <w:t>Operating profit was a record $281 million, or 24.9 percent of revenue, an increase of $30 million due to higher gross profit.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1"/>
        </w:trPr>
        <w:tc>
          <w:tcPr>
            <w:tcW w:w="8740" w:type="dxa"/>
            <w:vAlign w:val="bottom"/>
            <w:gridSpan w:val="3"/>
          </w:tcPr>
          <w:p>
            <w:pPr>
              <w:spacing w:after="0"/>
              <w:rPr>
                <w:sz w:val="20"/>
                <w:szCs w:val="20"/>
                <w:color w:val="auto"/>
              </w:rPr>
            </w:pPr>
            <w:r>
              <w:rPr>
                <w:rFonts w:ascii="Arial" w:cs="Arial" w:eastAsia="Arial" w:hAnsi="Arial"/>
                <w:sz w:val="18"/>
                <w:szCs w:val="18"/>
                <w:i w:val="1"/>
                <w:iCs w:val="1"/>
                <w:color w:val="auto"/>
              </w:rPr>
              <w:t>Educational &amp; Productivity Solutions (E&amp;PS) Segment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6"/>
        </w:trPr>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Statement of Operations – E&amp;PS</w:t>
            </w:r>
          </w:p>
        </w:tc>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For years ended</w:t>
            </w:r>
          </w:p>
        </w:tc>
      </w:tr>
      <w:tr>
        <w:trPr>
          <w:trHeight w:val="161"/>
        </w:trPr>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$ 518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$ 485</w:t>
            </w:r>
          </w:p>
        </w:tc>
        <w:tc>
          <w:tcPr>
            <w:tcW w:w="1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9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226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292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Gross profit % of revenue</w:t>
            </w:r>
          </w:p>
        </w:tc>
        <w:tc>
          <w:tcPr>
            <w:tcW w:w="11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56.4%</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55.1%</w:t>
            </w: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r>
      <w:tr>
        <w:trPr>
          <w:trHeight w:val="228"/>
        </w:trPr>
        <w:tc>
          <w:tcPr>
            <w:tcW w:w="920" w:type="dxa"/>
            <w:vAlign w:val="bottom"/>
          </w:tcPr>
          <w:p>
            <w:pPr>
              <w:spacing w:after="0"/>
              <w:rPr>
                <w:sz w:val="19"/>
                <w:szCs w:val="19"/>
                <w:color w:val="auto"/>
              </w:rPr>
            </w:pPr>
          </w:p>
        </w:tc>
        <w:tc>
          <w:tcPr>
            <w:tcW w:w="7820" w:type="dxa"/>
            <w:vAlign w:val="bottom"/>
            <w:gridSpan w:val="2"/>
          </w:tcPr>
          <w:p>
            <w:pPr>
              <w:ind w:left="440"/>
              <w:spacing w:after="0"/>
              <w:rPr>
                <w:sz w:val="20"/>
                <w:szCs w:val="20"/>
                <w:color w:val="auto"/>
              </w:rPr>
            </w:pPr>
            <w:r>
              <w:rPr>
                <w:rFonts w:ascii="Arial" w:cs="Arial" w:eastAsia="Arial" w:hAnsi="Arial"/>
                <w:sz w:val="18"/>
                <w:szCs w:val="18"/>
                <w:color w:val="auto"/>
              </w:rPr>
              <w:t>Operating profit % of revenue</w:t>
            </w:r>
          </w:p>
        </w:tc>
        <w:tc>
          <w:tcPr>
            <w:tcW w:w="11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34.0%</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32.3%</w:t>
            </w:r>
          </w:p>
        </w:tc>
      </w:tr>
    </w:tbl>
    <w:p>
      <w:pPr>
        <w:spacing w:after="0" w:line="14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E&amp;PS revenue for 2004 was a record $518 million, up 7 percent primarily due to increased shipments resulting from higher demand for new graphing calculator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gross profit of $292 million, or 56.4 percent of revenue, increased $25 million primarily due to higher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a record $176 million, or 34.0 percent of revenue, an increase of $19 million due to higher gross profit.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2005, total cash (cash and cash equivalents plus short-term investments) was $5.34 billion, down $1.02 billion from the end of 2004.</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Accounts receivable of $1.81 billion at the end of 2005 increased $116 million from 2004 due to higher revenue. Days sales outstanding were 45 at the end of 2005 compared with 48 at the end of 2004.</w:t>
      </w:r>
    </w:p>
    <w:p>
      <w:pPr>
        <w:sectPr>
          <w:pgSz w:w="11900" w:h="16838" w:orient="portrait"/>
          <w:cols w:equalWidth="0" w:num="1">
            <w:col w:w="11420"/>
          </w:cols>
          <w:pgMar w:left="240" w:top="274" w:right="239" w:bottom="1440" w:gutter="0" w:footer="0" w:header="0"/>
        </w:sectPr>
      </w:pPr>
    </w:p>
    <w:bookmarkStart w:id="74" w:name="page75"/>
    <w:bookmarkEnd w:id="74"/>
    <w:p>
      <w:pPr>
        <w:ind w:left="280" w:hanging="272"/>
        <w:spacing w:after="0"/>
        <w:tabs>
          <w:tab w:leader="none" w:pos="2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year, inventory increased by $17 million compared with the end of 2004, primarily in work-in-process, with fourth-quarter finished goods below desired levels. Days of inventory at the end of the fourth quarter were 62, the same as at the end of 2004.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in 2005 was $1.38 billion, a decrease of $104 million from 2004.</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Beginning in the first quarter of 2006, we will change our method of depreciation from an accelerated to a straight-line method on our existing and future property, plant and equipment assets. This change is the result of a study that was conducted regarding the usage pattern of our long-lived depreciable assets. The study indicated a trend toward more consistent utilization of assets as we have focused our product portfolio on differentiated products and supplemented our internal semiconductor manufacturing with supply from foundries. As part of the same study, we determined that estimated useful lives of the property, plant and equipment assets are appropriate and, consequently, will not be changed. Under SFAS No. 154, a change in depreciation method is treated as a change in estimate and prior-period results will not be restated. We expect depreciation to decline about $350 million in 2006 compared with 2005, with about half of this reduction coming from the change in our method of depreciation.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primary source of liquidity is our $1.22 billion of cash and cash equivalents and $4.12 billion of short-term investments, totaling $5.34 billion. Other sources of liquidity are: (a) authorized borrowings of $500 million for commercial paper, backed by a 364-day revolving credit facility, and (b) a new revolving credit facility for $175 million entered into by our Japan subsidiary in connection with our decision to repatriate earnings under the AJCA (see discussion below and in Note 8 to the Financial Statements for additional information). As of December 31, 2005, these facilities were not being utilized.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For the year, cash flow from operations increased $626 million, or 20 percent, to $3.77 billion, primarily due to higher net income.</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Net cash used in investing activities was $1.69 billion for 2005 compared with $1.16 billion for 2004. In 2005 there were $421 million of net purchases of short-term cash investments compared with $135 million of cash received from net sales of short-term cash investments in 2004.</w:t>
      </w:r>
    </w:p>
    <w:p>
      <w:pPr>
        <w:spacing w:after="0" w:line="8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Capital expenditures of $1.33 billion increased by $32 million from 2004. Our capital expenditures in 2005 were primarily for assembly and test equipment, advanced wafer fabrication equipment and construction of our new 300-millimeter manufacturing facility in Richardson, Texas.</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2005, net cash used in financing activities was $3.54 billion compared with $1.15 billion in 2004, primarily reflecting increased repurchases of our common stock. We used $4.15 billion of cash to repurchase 153.2 million shares of our common stock in 2005 compared with $753 million used to repurchase 30.1 million shares of our common stock in 2004. Dividends paid in 2005 of $173 million compared with $154 million in 2004, reflect the effect of increases in the quarterly dividend rate in the fourth quarters of 2004 and 2005. The quarterly cash dividend rate was increased to $0.025 per share beginning with the dividend declared on October 21, 2004. The quarterly cash dividend rate was increased again to $0.03 per share beginning with the dividend declared on October 20, 2005.</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Cash proceeds received from the exercise of employee stock options in 2005 were $461 million compared with $192 million in 2004. In 2004, we repaid $435 million of maturing long-term debt.</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2005, to avail ourselves of tax savings provided for under the AJCA, we repatriated $1.29 billion of previously undistributed earnings of non-U.S. subsidiaries. (See Note 18 to the Financial Statements for a discussion of the tax impact.) During the fourth quarter, our Japan subsidiary borrowed $275 million in order to facilitate this process.</w:t>
      </w:r>
    </w:p>
    <w:p>
      <w:pPr>
        <w:spacing w:after="0" w:line="14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At the end of 2005, TI’s debt-to-total capital ratio was 0.05, up from 0.03 at the end of 2004 due to the borrowing associated with the non-U.S. earnings repatriation.</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January 2006, the board of directors authorized the repurchase of an additional $5 billion of our common stock. Cumulatively, our board of directors has authorized $10 billion in stock repurchases since September 2004.</w:t>
      </w:r>
    </w:p>
    <w:p>
      <w:pPr>
        <w:sectPr>
          <w:pgSz w:w="11900" w:h="16838" w:orient="portrait"/>
          <w:cols w:equalWidth="0" w:num="1">
            <w:col w:w="11420"/>
          </w:cols>
          <w:pgMar w:left="240" w:top="2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55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8"/>
              </w:rPr>
              <w:t>Payments Due by Period</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Total</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2007/2008</w:t>
            </w:r>
          </w:p>
        </w:tc>
        <w:tc>
          <w:tcPr>
            <w:tcW w:w="38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2009/2010</w:t>
            </w:r>
          </w:p>
        </w:tc>
        <w:tc>
          <w:tcPr>
            <w:tcW w:w="400" w:type="dxa"/>
            <w:vAlign w:val="bottom"/>
          </w:tcPr>
          <w:p>
            <w:pPr>
              <w:spacing w:after="0"/>
              <w:rPr>
                <w:sz w:val="12"/>
                <w:szCs w:val="12"/>
                <w:color w:val="auto"/>
              </w:rPr>
            </w:pPr>
          </w:p>
        </w:tc>
        <w:tc>
          <w:tcPr>
            <w:tcW w:w="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Thereafter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Capital lease obligations (2)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obligations (3)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Software license obligations (4)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 (5)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Pension funding (6)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140</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plan (7)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Venture capital commitments (8)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2,298</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$914</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290</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Long-term debt obligations includes amounts classified as current portion of long-term debt, i.e., obligations that will be retired within 12 months.</w:t>
      </w:r>
    </w:p>
    <w:p>
      <w:pPr>
        <w:spacing w:after="0" w:line="38" w:lineRule="exact"/>
        <w:rPr>
          <w:rFonts w:ascii="Arial" w:cs="Arial" w:eastAsia="Arial" w:hAnsi="Arial"/>
          <w:sz w:val="16"/>
          <w:szCs w:val="16"/>
          <w:color w:val="auto"/>
        </w:rPr>
      </w:pPr>
    </w:p>
    <w:p>
      <w:pPr>
        <w:jc w:val="both"/>
        <w:ind w:left="460" w:right="22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Capital lease obligations include amounts resulting from a lease arrangement that became effective in the fourth quarter of 2005 with the completion of a new facility (see Note 19 to the Financial Statements for further details). This lease obligation will be transferred to an affiliate of Bain Capital as part of the sale of substantially all of the Sensors &amp; Controls segment described above.</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lease obligations includes minimum lease payments for leased facilities and equipment, as well as purchases of industrial gases under a contract accounted for as an operating lease.</w:t>
      </w:r>
    </w:p>
    <w:p>
      <w:pPr>
        <w:ind w:left="460" w:right="12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Software license obligations includes agreements to license electronic design automation software; these are classified as operating leases or capital leases in accordance with Statement of Position 98-1.</w:t>
      </w:r>
    </w:p>
    <w:p>
      <w:pPr>
        <w:jc w:val="both"/>
        <w:ind w:left="460" w:right="80" w:hanging="452"/>
        <w:spacing w:after="0" w:line="28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Purchase obligations includes contractual arrangements with suppliers where there is a fixed non-cancellable payment schedule or minimum payments due with a reduced delivery schedule. Excluded from the table are cancellable arrangements. However, depending on the timing of cancelling certain purchase arrangements, an additional $85 million of cancellation penalties may be required to be paid, which are not reflected in the table.</w:t>
      </w:r>
    </w:p>
    <w:p>
      <w:pPr>
        <w:spacing w:after="0" w:line="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Pension funding includes the expected tax-deductible contribution planned during 2006. Funding projections beyond the current year are not practical to estimate due to the rules affecting tax-deductible contributions and the impact from the plan asset performance, interest rates and potential U.S. federal legislation.</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Deferred compensation plan includes an estimate of payments under this plan for the liability that existed at December 31, 2005. Certain employees are eligible to defer a portion of their salary, bonus and profit sharing into a non-qualified deferred compensation plan. Employees who participate in the plan can select one of eight distribution options offered by the plan. Payments are made after the employee terminates, in accordance with the employee’s distribution election and plan balance.</w:t>
      </w:r>
    </w:p>
    <w:p>
      <w:pPr>
        <w:spacing w:after="0" w:line="1" w:lineRule="exact"/>
        <w:rPr>
          <w:rFonts w:ascii="Arial" w:cs="Arial" w:eastAsia="Arial" w:hAnsi="Arial"/>
          <w:sz w:val="18"/>
          <w:szCs w:val="18"/>
          <w:color w:val="auto"/>
        </w:rPr>
      </w:pPr>
    </w:p>
    <w:p>
      <w:pPr>
        <w:ind w:left="460" w:right="100" w:hanging="452"/>
        <w:spacing w:after="0" w:line="25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Venture capital commitments includes investments in certain venture capital funds where we have committed to provide additional capital to those funds. As appropriate investments are entered into, the venture capital general partners may draw upon those committed additional funds. Because the timing and amount of these commitments is unknown, the table reflects the commitments assuming that they are immediately called by the venture capital funds’ general partners in the maximum amount committed.</w:t>
      </w:r>
    </w:p>
    <w:p>
      <w:pPr>
        <w:spacing w:after="0" w:line="14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dividend payments and other business requirements for at least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both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from sales of our products is recognized upon shipment or delivery, depending upon the terms of the sales order, provided that persuasive evidence of a sales arrangement exists, title and risk of loss have transferred to the customer, the sales amount is fixed and determinable and collection of the revenue is reasonably assured. A portion of our sales is to distributors. We recognize revenue from sales of our products to distributors upon delivery of product to the distributors.</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reduce revenue based on estimates of future credits to be granted to customers. Credits are granted for reasons such as prompt payment discounts, volume-based incentives, other special pricing arrangements and product returns due</w:t>
      </w:r>
    </w:p>
    <w:p>
      <w:pPr>
        <w:sectPr>
          <w:pgSz w:w="11900" w:h="16838" w:orient="portrait"/>
          <w:cols w:equalWidth="0" w:num="1">
            <w:col w:w="11420"/>
          </w:cols>
          <w:pgMar w:left="240" w:top="274" w:right="239" w:bottom="1440" w:gutter="0" w:footer="0" w:header="0"/>
        </w:sectPr>
      </w:pPr>
    </w:p>
    <w:bookmarkStart w:id="76" w:name="page77"/>
    <w:bookmarkEnd w:id="76"/>
    <w:p>
      <w:pPr>
        <w:ind w:left="280" w:hanging="272"/>
        <w:spacing w:after="0"/>
        <w:tabs>
          <w:tab w:leader="none" w:pos="2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to quality issues. Our estimates of future credits are based on historical experience, analysis of product shipments and contractual arrangements with customers.</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Distributor revenue is recognized net of allowances, which are quarterly management estimates based on analysis of historical data, market conditions and contract terms. These allowances recognize the impact of credits granted to distributors under certain programs common in the semiconductor industry whereby distributors are allowed to return or scrap a limited amount of product or receive certain price adjustments in accordance with contractual terms agreed upon with the distributor.</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Royalty revenue is recognized upon sale by the licensee of royalty-bearing products, as estimated by us, and when realization of payment is considered probable by management. Estimates are based on historical experience and analysis of annual sales results of licensees. Estimates are periodically adjusted as a result of reviews of reported results of licensees, which reviews may take the form of an independent audit. Where warranted, revenue from licensees may be recognized on a cash basis.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monitor collectibility of accounts receivable primarily through review of the accounts receivable aging. When facts and circumstances indicate the collection of specific amounts or from specific customers is at risk, we assess the impact on amounts recorded for bad debts and, if necessary, will record a charge in the period such determination is made.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With the implementation of SFAS No. 123(R), effective July 1, 2005, stock-based compensation changes our financial statements as detailed in Notes 1 and 13 to the Financial Statements. Determining the amount and distribution of expense for stock-based compensation, as well as the associated impact to the balance sheets and statements of cash flows, requires us to develop estimates of the fair value of stock-based compensation expense. The most significant factors of that expense that require estimates or projections include the expected volatility, expected lives and estimated forfeiture rates of employee stock options.</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For grants made prior to July 1, 2005, an analysis of historical volatility was used to develop the estimate of expected volatility. Effective July 1, 2005, we changed our method of determining expected volatility on all options granted after that date to rely solely on available implied volatility rates. After giving consideration to recently available regulatory guidance, we believe that market-based measures of implied volatility are currently the best available indicators of expected volatility. The effect of this change in assumption was not material in 2005 and is not expected to be material in 2006.</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expected lives of options are determined based on our historical share option exercise experience, using a rolling 10-year average. We believe the historical experience method is the best estimate of future exercise patterns currently available.</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Estimated forfeiture rates are derived from historical forfeiture patterns. We believe the historical experience method is the best estimate of forfeitures currently available.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In addition to this specific identification process, statistical allowances are calculated for remaining inventory based on historical write-offs of inventory for salability and obsolescence reasons. Inventory is written off in the period in which disposal occurs. Actual future write-offs of inventory for salability and obsolescence reasons may differ from estimates and calculations used to determine valuation allowances due to changes in customer demand, customer negotiations, technology shifts and other factors.</w:t>
      </w:r>
    </w:p>
    <w:p>
      <w:pPr>
        <w:sectPr>
          <w:pgSz w:w="11900" w:h="16838" w:orient="portrait"/>
          <w:cols w:equalWidth="0" w:num="1">
            <w:col w:w="11400"/>
          </w:cols>
          <w:pgMar w:left="240" w:top="280" w:right="2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57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determining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143"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carryback years that can be used to absorb net operating losses and credit carrybacks, and taxable income in future years. Our judgment regarding future taxable income may change due to future market conditions, changes in U.S. or international tax laws and other factors. These changes, if any, may require material adjustments to these deferred tax assets and an accompanying reduction or increase in net income in the period when such determinations are made.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risks to the effective tax rate described above, the effective tax rate reflected in forward-looking statements is based on current enacted tax law.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during the year in enacted tax law could affect these estimates.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90"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We review long-lived assets for impairment when certain indicators are present that suggest the carrying amount may not be recoverable. This review process primarily focuses on intangible assets from business acquisitions; property, plant and equipment; and software for internal use or embedded in products sold to customers. Factors considered include the under-performance of an asset compared to expectations and shortened useful lives due to planned changes in the use of the assets. Recoverability is determined by comparing the carrying amount of long-lived assets to estimated future undiscounted cash flows. If future undiscounted cash flows are less than the carrying amount of the long-lived assets, an impairment charge would be recognized for the excess of the carrying amount over fair value determined by either a quoted market price, if any, or a value determined by utilizing a discounted cash-flow technique. Additionally, in the case of assets that will continue to be used in future periods, a shortened depreciable life may be utilized if appropriate, resulting in accelerated amortization based upon the expected net realizable value of the asset at the date the asset will no longer be utilized. Actual results may vary from estimates due to, among other things, differences in operating results, shorter asset useful lives and lower market values for excess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 an amendment of ARB No. 43, Chapter 4,”</w:t>
      </w:r>
      <w:r>
        <w:rPr>
          <w:rFonts w:ascii="Arial" w:cs="Arial" w:eastAsia="Arial" w:hAnsi="Arial"/>
          <w:sz w:val="18"/>
          <w:szCs w:val="18"/>
          <w:color w:val="auto"/>
        </w:rPr>
        <w:t xml:space="preserve"> which will become effective for us beginning January 1, 2006. This standard clarifies that abnormal amounts of idle facility expense, freight, handling costs and wasted material should be expensed as incurred and not included in overhead. In addition, this standard requires that the allocation of fixed production overhead costs to inventory be based on the normal capacity of the production facilities. We have completed the evaluation of the impact of this standard on our financial position and results of operations, and have concluded that the impact of the change will not be material, as the normal capacity rate to be used is not materially different from the optimal capacity rate previously used.</w:t>
      </w:r>
    </w:p>
    <w:p>
      <w:pPr>
        <w:spacing w:after="0" w:line="144"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 xml:space="preserve">In November 2005, the FASB issued FASB Staff Position (FSP) Nos. FAS 115-1 and FAS 124-1, </w:t>
      </w:r>
      <w:r>
        <w:rPr>
          <w:rFonts w:ascii="Arial" w:cs="Arial" w:eastAsia="Arial" w:hAnsi="Arial"/>
          <w:sz w:val="18"/>
          <w:szCs w:val="18"/>
          <w:i w:val="1"/>
          <w:iCs w:val="1"/>
          <w:color w:val="auto"/>
        </w:rPr>
        <w:t>“The Meaning of Other-Than-Temporary Impairment and Its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Application to Certain Investments” </w:t>
      </w:r>
      <w:r>
        <w:rPr>
          <w:rFonts w:ascii="Arial" w:cs="Arial" w:eastAsia="Arial" w:hAnsi="Arial"/>
          <w:sz w:val="18"/>
          <w:szCs w:val="18"/>
          <w:color w:val="auto"/>
        </w:rPr>
        <w:t>(FSP 115-1 and 124-1), which addresses the determination as to when an investment is considered impaired, whether that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is other than temporary and the</w:t>
      </w:r>
    </w:p>
    <w:p>
      <w:pPr>
        <w:sectPr>
          <w:pgSz w:w="11900" w:h="16838" w:orient="portrait"/>
          <w:cols w:equalWidth="0" w:num="1">
            <w:col w:w="11420"/>
          </w:cols>
          <w:pgMar w:left="240" w:top="274" w:right="239" w:bottom="1440" w:gutter="0" w:footer="0" w:header="0"/>
        </w:sectPr>
      </w:pPr>
    </w:p>
    <w:bookmarkStart w:id="78" w:name="page79"/>
    <w:bookmarkEnd w:id="78"/>
    <w:p>
      <w:pPr>
        <w:ind w:left="280" w:hanging="272"/>
        <w:spacing w:after="0"/>
        <w:tabs>
          <w:tab w:leader="none" w:pos="2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measurement of an impairment loss. FSP 115-1 and 124-1 also includes accounting considerations subsequent to the recognition of an other-than-temporary impairment and requires certain disclosures about unrealized losses that have not been recognized as other-than-temporary impairments. FSP 115-1 and 124-1 will be effective for us beginning as of</w:t>
      </w:r>
    </w:p>
    <w:p>
      <w:pPr>
        <w:ind w:right="220"/>
        <w:spacing w:after="0" w:line="261" w:lineRule="auto"/>
        <w:rPr>
          <w:sz w:val="20"/>
          <w:szCs w:val="20"/>
          <w:color w:val="auto"/>
        </w:rPr>
      </w:pPr>
      <w:r>
        <w:rPr>
          <w:rFonts w:ascii="Arial" w:cs="Arial" w:eastAsia="Arial" w:hAnsi="Arial"/>
          <w:sz w:val="18"/>
          <w:szCs w:val="18"/>
          <w:color w:val="auto"/>
        </w:rPr>
        <w:t>January 1, 2006. We are currently evaluating the potential impact FSP 115-1 and 124-1 may have on our financial position and results of operations, but do not believe the impact of any changes, if necessary, will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Changes in Accounting Standards</w:t>
      </w:r>
      <w:r>
        <w:rPr>
          <w:rFonts w:ascii="Arial" w:cs="Arial" w:eastAsia="Arial" w:hAnsi="Arial"/>
          <w:sz w:val="18"/>
          <w:szCs w:val="18"/>
          <w:color w:val="auto"/>
        </w:rPr>
        <w:t xml:space="preserve"> in Note 1 to the Financial Statements for discussion of other changes in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FAS 123(R) for Stock Options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financial results of 2005 include the effects of adopting new accounting rules for stock-based compensation as of July 1, 2005, and as a result are not fully comparable to the financial results for 2004. Stock-based compensation expense has been allocated to the applicable income statement lines but has not been allocated to the various segments, rather it is reflected in corporate.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have several stock-based employee compensation plans, more fully described in Note 13 to the Financial Statements, under which we may grant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options, restricted stock units (RSUs) and other stock-based awards. Prior to July 1, 2005, we accounted for awards granted under those plans following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intrinsic value method of recognizing and measuring stock-based awards under the provisions of Accounting Principles Board (APB) Opinion No.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Under APB No. 25, no compensation cost was reflected in net income for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all options granted under those plans had an exercise price equal to the market value of the underlying common stock on the date of grant (except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granted under employee stock purchase plans and acquisition-related stock option awards). The terms for stock options offered to employees under TI employee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stock purchase plans qualified these awards for exclusion from recognition of compensation cost. Compensation cost was recognized for grants of RSUs based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in effect on the date of grant.</w:t>
      </w:r>
    </w:p>
    <w:p>
      <w:pPr>
        <w:spacing w:after="0" w:line="165" w:lineRule="exact"/>
        <w:rPr>
          <w:sz w:val="20"/>
          <w:szCs w:val="20"/>
          <w:color w:val="auto"/>
        </w:rPr>
      </w:pPr>
    </w:p>
    <w:p>
      <w:pPr>
        <w:ind w:right="420"/>
        <w:spacing w:after="0" w:line="305" w:lineRule="auto"/>
        <w:rPr>
          <w:sz w:val="20"/>
          <w:szCs w:val="20"/>
          <w:color w:val="auto"/>
        </w:rPr>
      </w:pPr>
      <w:r>
        <w:rPr>
          <w:rFonts w:ascii="Arial" w:cs="Arial" w:eastAsia="Arial" w:hAnsi="Arial"/>
          <w:sz w:val="15"/>
          <w:szCs w:val="15"/>
          <w:color w:val="auto"/>
        </w:rPr>
        <w:t xml:space="preserve">Effective July 1, 2005, we adopted the fair value recognition provisions of SFAS No. 123(R), </w:t>
      </w:r>
      <w:r>
        <w:rPr>
          <w:rFonts w:ascii="Arial" w:cs="Arial" w:eastAsia="Arial" w:hAnsi="Arial"/>
          <w:sz w:val="15"/>
          <w:szCs w:val="15"/>
          <w:i w:val="1"/>
          <w:iCs w:val="1"/>
          <w:color w:val="auto"/>
        </w:rPr>
        <w:t>“Share-Based Payments</w:t>
      </w:r>
      <w:r>
        <w:rPr>
          <w:rFonts w:ascii="Arial" w:cs="Arial" w:eastAsia="Arial" w:hAnsi="Arial"/>
          <w:sz w:val="15"/>
          <w:szCs w:val="15"/>
          <w:color w:val="auto"/>
        </w:rPr>
        <w:t>,” using the modified prospective application method. Under this transition method, compensation cost recognized for the year ended December 31, 2005, includes the applicable amounts of:</w:t>
      </w:r>
    </w:p>
    <w:p>
      <w:pPr>
        <w:ind w:firstLine="8"/>
        <w:spacing w:after="0" w:line="295" w:lineRule="auto"/>
        <w:tabs>
          <w:tab w:leader="none" w:pos="239"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compensation cost of all stock-based payments granted prior to, but not yet vested as of, July 1, 2005 (based on the grant-date fair value estimated in accordance with the original provisions of SFAS No. 123 and previously presented in the pro forma footnote disclosures), and (b) compensation cost for all stock-based payments granted subsequent to July 1, 2005 (based on the grant-date fair value estimated in accordance with the new provisions of SFAS No. 123(R)). Results for prior periods have not been restated (see Note 1 to the Financial Statements for additional discussion of the impact of adopting SFAS 123(R)).</w:t>
      </w:r>
    </w:p>
    <w:p>
      <w:pPr>
        <w:spacing w:after="0" w:line="11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 xml:space="preserve">Included in Note 1 to the Financial Statements, under </w:t>
      </w:r>
      <w:r>
        <w:rPr>
          <w:rFonts w:ascii="Arial" w:cs="Arial" w:eastAsia="Arial" w:hAnsi="Arial"/>
          <w:sz w:val="18"/>
          <w:szCs w:val="18"/>
          <w:i w:val="1"/>
          <w:iCs w:val="1"/>
          <w:color w:val="auto"/>
        </w:rPr>
        <w:t>Prior Period Pro Forma Presentations,</w:t>
      </w:r>
      <w:r>
        <w:rPr>
          <w:rFonts w:ascii="Arial" w:cs="Arial" w:eastAsia="Arial" w:hAnsi="Arial"/>
          <w:sz w:val="18"/>
          <w:szCs w:val="18"/>
          <w:color w:val="auto"/>
        </w:rPr>
        <w:t xml:space="preserve"> is a table that reflects what the our financial results would have been for each of the last three years as if the stock-based awards had been accounted for under the fair value method.</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As of December 31, 2005, the total future compensation cost related to non-vested stock options and RSUs not yet recognized in the statement of income was $439 million and $41 million, with weighted-average periods over which these awards are expected to be recognized of 1.1 years and 1.4 years, respectively. Of that total, $248 million, $165 million, $61 million and $6 million are expected to be recognized in 2006, 2007, 2008 and 2009,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2005, we had no significant off-balance sheet arrangements, as defined in Item 303(a)(4)(ii) of SEC Regulation S-K.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 19 to the Financial Statements for a discussion of our commitments and contingencies.</w:t>
      </w:r>
    </w:p>
    <w:p>
      <w:pPr>
        <w:sectPr>
          <w:pgSz w:w="11900" w:h="16838" w:orient="portrait"/>
          <w:cols w:equalWidth="0" w:num="1">
            <w:col w:w="11400"/>
          </w:cols>
          <w:pgMar w:left="240" w:top="280" w:right="2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59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U.S. dollar is the functional currency for financial reporting. In this regard, we use forward currency exchange contracts to minimize the adverse earnings impact from the effect of exchange rate fluctuations on our non-U.S. dollar net balance sheet exposures. For example, at year-end 2005, we had forward currency exchange contracts outstanding of $191</w:t>
      </w:r>
    </w:p>
    <w:p>
      <w:pPr>
        <w:ind w:right="200"/>
        <w:spacing w:after="0" w:line="295" w:lineRule="auto"/>
        <w:rPr>
          <w:sz w:val="20"/>
          <w:szCs w:val="20"/>
          <w:color w:val="auto"/>
        </w:rPr>
      </w:pPr>
      <w:r>
        <w:rPr>
          <w:rFonts w:ascii="Arial" w:cs="Arial" w:eastAsia="Arial" w:hAnsi="Arial"/>
          <w:sz w:val="16"/>
          <w:szCs w:val="16"/>
          <w:color w:val="auto"/>
        </w:rPr>
        <w:t>million to hedge net balance sheet exposures (including $67 million to sell euros, $41 million to sell Japanese yen and $17 million to buy Korean won). Similar hedging activities existed at year-end 2004. Because most of the aggregate non-U.S. dollar balance sheet exposure is hedged by these exchange contracts, a hypothetical 10 percent plus or minus fluctuation in non-U.S. currency exchange rates would not be expected to have a material earnings impact, e.g., based on year-end 2005 balances and rates, a pre-tax currency exchange gain or loss of less than $1 million.</w:t>
      </w:r>
    </w:p>
    <w:p>
      <w:pPr>
        <w:spacing w:after="0" w:line="11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Our long-term debt has a fair value, based on current interest rates, of approximately $665 million at year-end 2005 ($394 million at year-end 2004). Fair value will vary as interest rates change. The following table presents the aggregate maturities and historical cost amounts of the debt principal and related weighted-average interest rates by maturity dates at year-end 2005: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U.S. Dollar</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U.S. Dollar</w:t>
            </w:r>
          </w:p>
        </w:tc>
        <w:tc>
          <w:tcPr>
            <w:tcW w:w="460" w:type="dxa"/>
            <w:vAlign w:val="bottom"/>
          </w:tcPr>
          <w:p>
            <w:pPr>
              <w:spacing w:after="0"/>
              <w:rPr>
                <w:sz w:val="14"/>
                <w:szCs w:val="14"/>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3"/>
              </w:rPr>
              <w:t>Average</w:t>
            </w: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Date</w:t>
            </w:r>
          </w:p>
        </w:tc>
        <w:tc>
          <w:tcPr>
            <w:tcW w:w="4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Fixed-Rate</w:t>
            </w: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Interest</w:t>
            </w:r>
          </w:p>
        </w:tc>
        <w:tc>
          <w:tcPr>
            <w:tcW w:w="2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Floating Rate</w:t>
            </w:r>
          </w:p>
        </w:tc>
        <w:tc>
          <w:tcPr>
            <w:tcW w:w="46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Pay</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Receive</w:t>
            </w:r>
          </w:p>
        </w:tc>
        <w:tc>
          <w:tcPr>
            <w:tcW w:w="0" w:type="dxa"/>
            <w:vAlign w:val="bottom"/>
          </w:tcPr>
          <w:p>
            <w:pPr>
              <w:spacing w:after="0"/>
              <w:rPr>
                <w:sz w:val="1"/>
                <w:szCs w:val="1"/>
                <w:color w:val="auto"/>
              </w:rPr>
            </w:pPr>
          </w:p>
        </w:tc>
      </w:tr>
      <w:tr>
        <w:trPr>
          <w:trHeight w:val="148"/>
        </w:trPr>
        <w:tc>
          <w:tcPr>
            <w:tcW w:w="58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Debt</w:t>
            </w:r>
          </w:p>
        </w:tc>
        <w:tc>
          <w:tcPr>
            <w:tcW w:w="8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5"/>
              </w:rPr>
              <w:t>Rate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Debt</w:t>
            </w:r>
          </w:p>
        </w:tc>
        <w:tc>
          <w:tcPr>
            <w:tcW w:w="460" w:type="dxa"/>
            <w:vAlign w:val="bottom"/>
          </w:tcPr>
          <w:p>
            <w:pPr>
              <w:spacing w:after="0"/>
              <w:rPr>
                <w:sz w:val="12"/>
                <w:szCs w:val="12"/>
                <w:color w:val="auto"/>
              </w:rPr>
            </w:pPr>
          </w:p>
        </w:tc>
        <w:tc>
          <w:tcPr>
            <w:tcW w:w="106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5"/>
              </w:rPr>
              <w:t>Rate</w:t>
            </w:r>
          </w:p>
        </w:tc>
        <w:tc>
          <w:tcPr>
            <w:tcW w:w="6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1</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4.25%</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43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115</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4.64%</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2009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160</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4.64%</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354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276</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4.64%</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Total long-term debt historical cost amount at year-end 2005, excluding the Attleboro capital lease of $31 million, was $630 million and year-end 2004 was $379 million.</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had interest rate swaps that changed the characteristics of the interest payments on the underlying notes ($50 million of 7.0% notes which matured on August 15, 2004, $300 million of 6.125% notes due 2006 and $43 million of 8.75% notes due 2007) from fixed-rate payments to short-term LIBOR-based variable rate payments in order to achieve a mix of interest rates on our long-term debt which, over time, is expected to moderate financing costs. The effect of these interest rate swaps was to decrease interest expense by $11 million in 2005 and $19 million in 2004. The year-end 2005 effective interest rates for the notes, including the effect of the swaps, was approximately 3.61% for the $300 million of notes due 2006 and 8.27% for the $43 million of notes due 2007.</w:t>
      </w:r>
    </w:p>
    <w:p>
      <w:pPr>
        <w:spacing w:after="0" w:line="1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Our cash equivalents are debt securities with original maturities equal to or less than three months. Short-term investments are debt securities, including auction-rate securities, with original maturities greater than three months (see Note 2 to Financial Statements). Their aggregate fair value and carrying amount were $5.10 billion at year-end 2005 (fair value and carrying amount were each $6.12 billion at year-end 2004). Fair value will vary as interest rates change.</w:t>
      </w:r>
    </w:p>
    <w:p>
      <w:pPr>
        <w:spacing w:after="0" w:line="10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Equity investments at year-end 2005 consisted of the following (types of investments at year-end 2004 were similar, although we also had a convertible debt security at that date):</w:t>
      </w:r>
    </w:p>
    <w:p>
      <w:pPr>
        <w:spacing w:after="0" w:line="51" w:lineRule="exact"/>
        <w:rPr>
          <w:sz w:val="20"/>
          <w:szCs w:val="20"/>
          <w:color w:val="auto"/>
        </w:rPr>
      </w:pPr>
    </w:p>
    <w:p>
      <w:pPr>
        <w:ind w:left="780" w:right="78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Equity investments – include marketable (publicly traded) and non-marketable (private investments, including various venture funds) equity investments.</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Mutual funds and other investments – consist of mutual funds that were selected to generate returns that offset changes in certain liabilities related to deferred compensation arrangements. The mutual funds hold a variety of debt and equity investments.</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Marketable equity and debt investments are stated at fair value and marked-to-market through stockholders’ equity, net of tax. Impairments deemed to be other than temporary are expensed in the Statement of Income. Changes in prices of</w:t>
      </w:r>
    </w:p>
    <w:p>
      <w:pPr>
        <w:sectPr>
          <w:pgSz w:w="11900" w:h="16838" w:orient="portrait"/>
          <w:cols w:equalWidth="0" w:num="1">
            <w:col w:w="11420"/>
          </w:cols>
          <w:pgMar w:left="240" w:top="274" w:right="239" w:bottom="1440" w:gutter="0" w:footer="0" w:header="0"/>
        </w:sectPr>
      </w:pPr>
    </w:p>
    <w:bookmarkStart w:id="80" w:name="page81"/>
    <w:bookmarkEnd w:id="80"/>
    <w:p>
      <w:pPr>
        <w:ind w:left="280" w:hanging="272"/>
        <w:spacing w:after="0"/>
        <w:tabs>
          <w:tab w:leader="none" w:pos="2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mutual fund investments are expected to offset related changes in deferred compensation liabilities such that a 10 percent increase or decrease in investment prices would not affect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Actions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Sensors &amp; Controls Restructuring Action</w:t>
      </w:r>
      <w:r>
        <w:rPr>
          <w:rFonts w:ascii="Arial" w:cs="Arial" w:eastAsia="Arial" w:hAnsi="Arial"/>
          <w:sz w:val="16"/>
          <w:szCs w:val="16"/>
          <w:color w:val="auto"/>
        </w:rPr>
        <w:t>: In 2003, we announced a plan to move certain production lines from Attleboro, Massachusetts, to other TI sites in order to be geographically closer to customers and their markets and to reduce manufacturing costs. This restructuring action is expected to affect about 930 jobs through 2006, primarily in manufacturing operations. The total cost of this restructuring action is expected to be about $72 million. When completed at the end of 2006, the projected savings from this restructuring action are estimated to be an annualized $40 million, predominantly comprised of payroll and benefit savings. As of December 31, 2005, a total of 911 employees have been terminated and total net pretax charges of $70 million have been recorded associated with this action. Payments are expected to be completed in 2006.</w:t>
      </w:r>
    </w:p>
    <w:p>
      <w:pPr>
        <w:spacing w:after="0" w:line="1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Semiconductor Restructuring Action</w:t>
      </w:r>
      <w:r>
        <w:rPr>
          <w:rFonts w:ascii="Arial" w:cs="Arial" w:eastAsia="Arial" w:hAnsi="Arial"/>
          <w:sz w:val="18"/>
          <w:szCs w:val="18"/>
          <w:color w:val="auto"/>
        </w:rPr>
        <w:t>: In 2003, we announced a restructuring action that affected 897 jobs in Semiconductor manufacturing operations in the U.S. and international locations, as those operations became more productive with fewer people. The total cost of this restructuring action was $82 million. The projected savings from this restructuring action are estimated to be an annualized $67 million, predominantly comprised of payroll and benefit savings. As of December 31, 2005, all affected employees have been terminated and total net pretax charges of $82 million have been recorded associated with this action. Payments are expected to be completed in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detailed information on the restructuring actions, see Note 16 to the Financial Statements.</w:t>
      </w:r>
    </w:p>
    <w:p>
      <w:pPr>
        <w:sectPr>
          <w:pgSz w:w="11900" w:h="16838" w:orient="portrait"/>
          <w:cols w:equalWidth="0" w:num="1">
            <w:col w:w="11420"/>
          </w:cols>
          <w:pgMar w:left="240" w:top="2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TEXAS INSTRUMENTS 2005 ANNUAL REPORT </w:t>
      </w:r>
      <w:r>
        <w:rPr>
          <w:rFonts w:ascii="Arial" w:cs="Arial" w:eastAsia="Arial" w:hAnsi="Arial"/>
          <w:sz w:val="18"/>
          <w:szCs w:val="18"/>
          <w:b w:val="1"/>
          <w:bCs w:val="1"/>
          <w:color w:val="auto"/>
        </w:rPr>
        <w:t>61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2nd</w:t>
            </w:r>
          </w:p>
        </w:tc>
        <w:tc>
          <w:tcPr>
            <w:tcW w:w="20" w:type="dxa"/>
            <w:vAlign w:val="bottom"/>
          </w:tcPr>
          <w:p>
            <w:pPr>
              <w:spacing w:after="0"/>
              <w:rPr>
                <w:sz w:val="12"/>
                <w:szCs w:val="12"/>
                <w:color w:val="auto"/>
              </w:rPr>
            </w:pPr>
          </w:p>
        </w:tc>
        <w:tc>
          <w:tcPr>
            <w:tcW w:w="64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75"/>
              </w:rPr>
              <w:t>4th</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$2,972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$3,239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$3,590</w:t>
            </w:r>
          </w:p>
        </w:tc>
        <w:tc>
          <w:tcPr>
            <w:tcW w:w="14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$3,591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1,336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1,521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auto"/>
              </w:rPr>
              <w:t>1,771</w:t>
            </w:r>
          </w:p>
        </w:tc>
        <w:tc>
          <w:tcPr>
            <w:tcW w:w="1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b w:val="1"/>
                <w:bCs w:val="1"/>
                <w:color w:val="auto"/>
              </w:rPr>
              <w:t>1,734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815</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411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628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9"/>
              </w:rPr>
              <w:t>631</w:t>
            </w:r>
          </w:p>
        </w:tc>
        <w:tc>
          <w:tcPr>
            <w:tcW w:w="1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.39</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3"/>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2nd</w:t>
            </w:r>
          </w:p>
        </w:tc>
        <w:tc>
          <w:tcPr>
            <w:tcW w:w="20" w:type="dxa"/>
            <w:vAlign w:val="bottom"/>
          </w:tcPr>
          <w:p>
            <w:pPr>
              <w:spacing w:after="0"/>
              <w:rPr>
                <w:sz w:val="12"/>
                <w:szCs w:val="12"/>
                <w:color w:val="auto"/>
              </w:rPr>
            </w:pPr>
          </w:p>
        </w:tc>
        <w:tc>
          <w:tcPr>
            <w:tcW w:w="64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75"/>
              </w:rPr>
              <w:t>4th</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$2,936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$3,241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$3,250</w:t>
            </w:r>
          </w:p>
        </w:tc>
        <w:tc>
          <w:tcPr>
            <w:tcW w:w="14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1,322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1,481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1,489</w:t>
            </w:r>
          </w:p>
        </w:tc>
        <w:tc>
          <w:tcPr>
            <w:tcW w:w="1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657</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563</w:t>
            </w:r>
          </w:p>
        </w:tc>
        <w:tc>
          <w:tcPr>
            <w:tcW w:w="1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8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.32</w:t>
            </w:r>
          </w:p>
        </w:tc>
        <w:tc>
          <w:tcPr>
            <w:tcW w:w="1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8780" w:type="dxa"/>
            <w:vAlign w:val="bottom"/>
            <w:gridSpan w:val="3"/>
            <w:vMerge w:val="restart"/>
          </w:tcPr>
          <w:p>
            <w:pPr>
              <w:spacing w:after="0"/>
              <w:rPr>
                <w:sz w:val="20"/>
                <w:szCs w:val="20"/>
                <w:color w:val="auto"/>
              </w:rPr>
            </w:pPr>
            <w:r>
              <w:rPr>
                <w:rFonts w:ascii="Arial" w:cs="Arial" w:eastAsia="Arial" w:hAnsi="Arial"/>
                <w:sz w:val="18"/>
                <w:szCs w:val="18"/>
                <w:color w:val="auto"/>
              </w:rPr>
              <w:t>Included in the results above were the following items: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7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78"/>
              </w:rPr>
              <w:t>1st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2nd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75"/>
              </w:rPr>
              <w:t>4th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Restructuring costs (a):</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b w:val="1"/>
                <w:bCs w:val="1"/>
                <w:color w:val="auto"/>
              </w:rPr>
              <w:t>Semiconductor</w:t>
            </w:r>
          </w:p>
        </w:tc>
        <w:tc>
          <w:tcPr>
            <w:tcW w:w="80" w:type="dxa"/>
            <w:vAlign w:val="bottom"/>
          </w:tcPr>
          <w:p>
            <w:pPr>
              <w:spacing w:after="0"/>
              <w:rPr>
                <w:sz w:val="18"/>
                <w:szCs w:val="18"/>
                <w:color w:val="auto"/>
              </w:rPr>
            </w:pPr>
          </w:p>
        </w:tc>
        <w:tc>
          <w:tcPr>
            <w:tcW w:w="42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w w:val="71"/>
              </w:rPr>
              <w:t>1</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8"/>
              </w:rPr>
              <w:t>—</w:t>
            </w:r>
          </w:p>
        </w:tc>
        <w:tc>
          <w:tcPr>
            <w:tcW w:w="20" w:type="dxa"/>
            <w:vAlign w:val="bottom"/>
          </w:tcPr>
          <w:p>
            <w:pPr>
              <w:spacing w:after="0"/>
              <w:rPr>
                <w:sz w:val="18"/>
                <w:szCs w:val="18"/>
                <w:color w:val="auto"/>
              </w:rPr>
            </w:pPr>
          </w:p>
        </w:tc>
        <w:tc>
          <w:tcPr>
            <w:tcW w:w="640" w:type="dxa"/>
            <w:vAlign w:val="bottom"/>
            <w:gridSpan w:val="4"/>
          </w:tcPr>
          <w:p>
            <w:pPr>
              <w:ind w:lef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Sensors &amp; Controls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restructuring costs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Acquisition-related amortization</w:t>
            </w:r>
          </w:p>
        </w:tc>
        <w:tc>
          <w:tcPr>
            <w:tcW w:w="8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Stock-based compensation (b)</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w w:val="71"/>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Favorable tax adjustments and discrete items (c)</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88"/>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Gain on sales of assets (d)</w:t>
            </w:r>
          </w:p>
        </w:tc>
        <w:tc>
          <w:tcPr>
            <w:tcW w:w="80" w:type="dxa"/>
            <w:vAlign w:val="bottom"/>
          </w:tcPr>
          <w:p>
            <w:pPr>
              <w:spacing w:after="0"/>
              <w:rPr>
                <w:sz w:val="19"/>
                <w:szCs w:val="19"/>
                <w:color w:val="auto"/>
              </w:rPr>
            </w:pPr>
          </w:p>
        </w:tc>
        <w:tc>
          <w:tcPr>
            <w:tcW w:w="720" w:type="dxa"/>
            <w:vAlign w:val="bottom"/>
            <w:gridSpan w:val="6"/>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78"/>
              </w:rPr>
              <w:t>1st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2nd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75"/>
              </w:rPr>
              <w:t>4th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Restructuring costs (a):</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Semiconductor</w:t>
            </w:r>
          </w:p>
        </w:tc>
        <w:tc>
          <w:tcPr>
            <w:tcW w:w="80" w:type="dxa"/>
            <w:vAlign w:val="bottom"/>
          </w:tcPr>
          <w:p>
            <w:pPr>
              <w:spacing w:after="0"/>
              <w:rPr>
                <w:sz w:val="18"/>
                <w:szCs w:val="18"/>
                <w:color w:val="auto"/>
              </w:rPr>
            </w:pPr>
          </w:p>
        </w:tc>
        <w:tc>
          <w:tcPr>
            <w:tcW w:w="4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2</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gridSpan w:val="3"/>
          </w:tcPr>
          <w:p>
            <w:pPr>
              <w:ind w:left="180"/>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Sensors &amp; Controls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restructuring costs</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5</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gridSpan w:val="3"/>
          </w:tcPr>
          <w:p>
            <w:pPr>
              <w:ind w:left="180"/>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Acquisition-related amortization</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Stock-based compensation (b)</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500" w:hanging="452"/>
        <w:spacing w:after="0" w:line="25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restructuring costs were for actions initiated in the second quarter of 2003 and were primarily for severance and benefit costs (see Note 16 to the Financial Statements for details on these items).</w:t>
      </w:r>
    </w:p>
    <w:p>
      <w:pPr>
        <w:ind w:left="460" w:right="14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Stock-based compensation for the third and fourth quarter of 2005 reflect our adoption of SFAS No. 123(R) as of July 1, 2005 (see Note 1 to the Financial Statements, </w:t>
      </w:r>
      <w:r>
        <w:rPr>
          <w:rFonts w:ascii="Arial" w:cs="Arial" w:eastAsia="Arial" w:hAnsi="Arial"/>
          <w:sz w:val="18"/>
          <w:szCs w:val="18"/>
          <w:i w:val="1"/>
          <w:iCs w:val="1"/>
          <w:color w:val="auto"/>
        </w:rPr>
        <w:t>Effects of Stock-based Compensation</w:t>
      </w:r>
      <w:r>
        <w:rPr>
          <w:rFonts w:ascii="Arial" w:cs="Arial" w:eastAsia="Arial" w:hAnsi="Arial"/>
          <w:sz w:val="18"/>
          <w:szCs w:val="18"/>
          <w:color w:val="auto"/>
        </w:rPr>
        <w:t>, for details).</w:t>
      </w:r>
    </w:p>
    <w:p>
      <w:pPr>
        <w:ind w:left="460" w:right="28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Favorable tax adjustments and discrete items include favorable adjustments primarily associated with notification of proposed audit adjustments communicated by tax authorities and tax related to the American Jobs Creation Act of 2004 (see Note 18 to the Financial Statements for details on these items).</w:t>
      </w:r>
    </w:p>
    <w:p>
      <w:pPr>
        <w:spacing w:after="0" w:line="1"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Gains on sales of assets in the first quarter of 2005 are related primarily to the disposition of a sales facility and the sale of our commodity liquid crystal display driver product line.</w:t>
      </w:r>
    </w:p>
    <w:p>
      <w:pPr>
        <w:sectPr>
          <w:pgSz w:w="11900" w:h="16838" w:orient="portrait"/>
          <w:cols w:equalWidth="0" w:num="1">
            <w:col w:w="11420"/>
          </w:cols>
          <w:pgMar w:left="240" w:top="274" w:right="239" w:bottom="1440" w:gutter="0" w:footer="0" w:header="0"/>
        </w:sectPr>
      </w:pPr>
    </w:p>
    <w:bookmarkStart w:id="82" w:name="page83"/>
    <w:bookmarkEnd w:id="82"/>
    <w:p>
      <w:pPr>
        <w:ind w:left="280" w:hanging="272"/>
        <w:spacing w:after="0"/>
        <w:tabs>
          <w:tab w:leader="none" w:pos="28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2005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Prices and Dividends</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TI common stock is listed on the New York Stock Exchange and traded principally in that market. The table below shows the high and low closing prices of TI common stock as reported by Bloomberg L.P. and the dividends paid per common share for each quarter during the past two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50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1st</w:t>
            </w:r>
          </w:p>
        </w:tc>
        <w:tc>
          <w:tcPr>
            <w:tcW w:w="20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2nd</w:t>
            </w:r>
          </w:p>
        </w:tc>
        <w:tc>
          <w:tcPr>
            <w:tcW w:w="220" w:type="dxa"/>
            <w:vAlign w:val="bottom"/>
          </w:tcPr>
          <w:p>
            <w:pPr>
              <w:spacing w:after="0"/>
              <w:rPr>
                <w:sz w:val="12"/>
                <w:szCs w:val="12"/>
                <w:color w:val="auto"/>
              </w:rPr>
            </w:pPr>
          </w:p>
        </w:tc>
        <w:tc>
          <w:tcPr>
            <w:tcW w:w="6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3rd</w:t>
            </w:r>
          </w:p>
        </w:tc>
        <w:tc>
          <w:tcPr>
            <w:tcW w:w="100" w:type="dxa"/>
            <w:vAlign w:val="bottom"/>
          </w:tcPr>
          <w:p>
            <w:pPr>
              <w:spacing w:after="0"/>
              <w:rPr>
                <w:sz w:val="12"/>
                <w:szCs w:val="12"/>
                <w:color w:val="auto"/>
              </w:rPr>
            </w:pPr>
          </w:p>
        </w:tc>
        <w:tc>
          <w:tcPr>
            <w:tcW w:w="5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4th</w:t>
            </w:r>
          </w:p>
        </w:tc>
        <w:tc>
          <w:tcPr>
            <w:tcW w:w="20" w:type="dxa"/>
            <w:vAlign w:val="bottom"/>
          </w:tcPr>
          <w:p>
            <w:pPr>
              <w:spacing w:after="0"/>
              <w:rPr>
                <w:sz w:val="12"/>
                <w:szCs w:val="12"/>
                <w:color w:val="auto"/>
              </w:rPr>
            </w:pPr>
          </w:p>
        </w:tc>
      </w:tr>
      <w:tr>
        <w:trPr>
          <w:trHeight w:val="210"/>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prices:</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High</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$27.37</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$28.34</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$33.96</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$ 34.11</w:t>
            </w:r>
          </w:p>
        </w:tc>
        <w:tc>
          <w:tcPr>
            <w:tcW w:w="2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Low</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22.76</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27.47</w:t>
            </w:r>
          </w:p>
        </w:tc>
        <w:tc>
          <w:tcPr>
            <w:tcW w:w="20" w:type="dxa"/>
            <w:vAlign w:val="bottom"/>
          </w:tcPr>
          <w:p>
            <w:pPr>
              <w:spacing w:after="0"/>
              <w:rPr>
                <w:sz w:val="18"/>
                <w:szCs w:val="18"/>
                <w:color w:val="auto"/>
              </w:rPr>
            </w:pPr>
          </w:p>
        </w:tc>
      </w:tr>
      <w:tr>
        <w:trPr>
          <w:trHeight w:val="322"/>
        </w:trPr>
        <w:tc>
          <w:tcPr>
            <w:tcW w:w="820" w:type="dxa"/>
            <w:vAlign w:val="bottom"/>
          </w:tcPr>
          <w:p>
            <w:pPr>
              <w:jc w:val="right"/>
              <w:spacing w:after="0"/>
              <w:rPr>
                <w:sz w:val="20"/>
                <w:szCs w:val="20"/>
                <w:color w:val="auto"/>
              </w:rPr>
            </w:pPr>
            <w:r>
              <w:rPr>
                <w:rFonts w:ascii="Arial" w:cs="Arial" w:eastAsia="Arial" w:hAnsi="Arial"/>
                <w:sz w:val="18"/>
                <w:szCs w:val="18"/>
                <w:color w:val="auto"/>
              </w:rPr>
              <w:t>2004</w:t>
            </w:r>
          </w:p>
        </w:tc>
        <w:tc>
          <w:tcPr>
            <w:tcW w:w="7960" w:type="dxa"/>
            <w:vAlign w:val="bottom"/>
          </w:tcPr>
          <w:p>
            <w:pPr>
              <w:ind w:left="20"/>
              <w:spacing w:after="0"/>
              <w:rPr>
                <w:sz w:val="20"/>
                <w:szCs w:val="20"/>
                <w:color w:val="auto"/>
              </w:rPr>
            </w:pPr>
            <w:r>
              <w:rPr>
                <w:rFonts w:ascii="Arial" w:cs="Arial" w:eastAsia="Arial" w:hAnsi="Arial"/>
                <w:sz w:val="18"/>
                <w:szCs w:val="18"/>
                <w:color w:val="auto"/>
              </w:rPr>
              <w:t>High</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$33.65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$30.94</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$23.54</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$25.36</w:t>
            </w:r>
          </w:p>
        </w:tc>
      </w:tr>
      <w:tr>
        <w:trPr>
          <w:trHeight w:val="218"/>
        </w:trPr>
        <w:tc>
          <w:tcPr>
            <w:tcW w:w="820" w:type="dxa"/>
            <w:vAlign w:val="bottom"/>
            <w:shd w:val="clear" w:color="auto" w:fill="CCEEFF"/>
          </w:tcPr>
          <w:p>
            <w:pPr>
              <w:spacing w:after="0"/>
              <w:rPr>
                <w:sz w:val="18"/>
                <w:szCs w:val="18"/>
                <w:color w:val="auto"/>
              </w:rPr>
            </w:pPr>
          </w:p>
        </w:tc>
        <w:tc>
          <w:tcPr>
            <w:tcW w:w="7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Low</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20" w:type="dxa"/>
            <w:vAlign w:val="bottom"/>
          </w:tcPr>
          <w:p>
            <w:pPr>
              <w:spacing w:after="0"/>
              <w:rPr>
                <w:sz w:val="18"/>
                <w:szCs w:val="18"/>
                <w:color w:val="auto"/>
              </w:rPr>
            </w:pPr>
          </w:p>
        </w:tc>
      </w:tr>
      <w:tr>
        <w:trPr>
          <w:trHeight w:val="322"/>
        </w:trPr>
        <w:tc>
          <w:tcPr>
            <w:tcW w:w="878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2005</w:t>
            </w:r>
          </w:p>
        </w:tc>
        <w:tc>
          <w:tcPr>
            <w:tcW w:w="7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$.0250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$.0250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$.0250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$.0300</w:t>
            </w:r>
          </w:p>
        </w:tc>
        <w:tc>
          <w:tcPr>
            <w:tcW w:w="20" w:type="dxa"/>
            <w:vAlign w:val="bottom"/>
          </w:tcPr>
          <w:p>
            <w:pPr>
              <w:spacing w:after="0"/>
              <w:rPr>
                <w:sz w:val="18"/>
                <w:szCs w:val="18"/>
                <w:color w:val="auto"/>
              </w:rPr>
            </w:pP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2004</w:t>
            </w:r>
          </w:p>
        </w:tc>
        <w:tc>
          <w:tcPr>
            <w:tcW w:w="7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$.0213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$.0213</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$.0213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$.0250</w:t>
            </w:r>
          </w:p>
        </w:tc>
        <w:tc>
          <w:tcPr>
            <w:tcW w:w="2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Exhibit 21</w:t>
            </w:r>
          </w:p>
        </w:tc>
      </w:tr>
      <w:tr>
        <w:trPr>
          <w:trHeight w:val="377"/>
        </w:trPr>
        <w:tc>
          <w:tcPr>
            <w:tcW w:w="9820" w:type="dxa"/>
            <w:vAlign w:val="bottom"/>
            <w:gridSpan w:val="2"/>
          </w:tcPr>
          <w:p>
            <w:pPr>
              <w:ind w:left="3280"/>
              <w:spacing w:after="0"/>
              <w:rPr>
                <w:sz w:val="20"/>
                <w:szCs w:val="20"/>
                <w:color w:val="auto"/>
              </w:rPr>
            </w:pPr>
            <w:r>
              <w:rPr>
                <w:rFonts w:ascii="Arial" w:cs="Arial" w:eastAsia="Arial" w:hAnsi="Arial"/>
                <w:sz w:val="18"/>
                <w:szCs w:val="18"/>
                <w:color w:val="auto"/>
              </w:rPr>
              <w:t>TEXAS INSTRUMENTS INCORPORATED AND SUBSIDIARIES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2"/>
        </w:trPr>
        <w:tc>
          <w:tcPr>
            <w:tcW w:w="9820" w:type="dxa"/>
            <w:vAlign w:val="bottom"/>
            <w:gridSpan w:val="2"/>
          </w:tcPr>
          <w:p>
            <w:pPr>
              <w:ind w:left="3880"/>
              <w:spacing w:after="0"/>
              <w:rPr>
                <w:sz w:val="20"/>
                <w:szCs w:val="20"/>
                <w:color w:val="auto"/>
              </w:rPr>
            </w:pPr>
            <w:r>
              <w:rPr>
                <w:rFonts w:ascii="Arial" w:cs="Arial" w:eastAsia="Arial" w:hAnsi="Arial"/>
                <w:sz w:val="18"/>
                <w:szCs w:val="18"/>
                <w:color w:val="auto"/>
              </w:rPr>
              <w:t>LIST OF SUBSIDIARIES OF THE REGISTRANT</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5"/>
        </w:trPr>
        <w:tc>
          <w:tcPr>
            <w:tcW w:w="9820" w:type="dxa"/>
            <w:vAlign w:val="bottom"/>
            <w:gridSpan w:val="2"/>
          </w:tcPr>
          <w:p>
            <w:pPr>
              <w:spacing w:after="0"/>
              <w:rPr>
                <w:sz w:val="20"/>
                <w:szCs w:val="20"/>
                <w:color w:val="auto"/>
              </w:rPr>
            </w:pPr>
            <w:r>
              <w:rPr>
                <w:rFonts w:ascii="Arial" w:cs="Arial" w:eastAsia="Arial" w:hAnsi="Arial"/>
                <w:sz w:val="18"/>
                <w:szCs w:val="18"/>
                <w:color w:val="auto"/>
              </w:rPr>
              <w:t>The following are current subsidiaries of the Registrant.</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2"/>
        </w:trPr>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Subsidiary and Name Under Which Business is Done</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Where Organized</w:t>
            </w:r>
          </w:p>
        </w:tc>
      </w:tr>
      <w:tr>
        <w:trPr>
          <w:trHeight w:val="95"/>
        </w:trPr>
        <w:tc>
          <w:tcPr>
            <w:tcW w:w="438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309"/>
        </w:trPr>
        <w:tc>
          <w:tcPr>
            <w:tcW w:w="9820" w:type="dxa"/>
            <w:vAlign w:val="bottom"/>
            <w:gridSpan w:val="2"/>
          </w:tcPr>
          <w:p>
            <w:pPr>
              <w:spacing w:after="0"/>
              <w:rPr>
                <w:sz w:val="20"/>
                <w:szCs w:val="20"/>
                <w:color w:val="auto"/>
              </w:rPr>
            </w:pPr>
            <w:r>
              <w:rPr>
                <w:rFonts w:ascii="Arial" w:cs="Arial" w:eastAsia="Arial" w:hAnsi="Arial"/>
                <w:sz w:val="18"/>
                <w:szCs w:val="18"/>
                <w:color w:val="auto"/>
              </w:rPr>
              <w:t>Auto Circuits, Inc.</w:t>
            </w:r>
          </w:p>
        </w:tc>
        <w:tc>
          <w:tcPr>
            <w:tcW w:w="1600" w:type="dxa"/>
            <w:vAlign w:val="bottom"/>
            <w:gridSpan w:val="3"/>
          </w:tcPr>
          <w:p>
            <w:pPr>
              <w:spacing w:after="0"/>
              <w:rPr>
                <w:sz w:val="20"/>
                <w:szCs w:val="20"/>
                <w:color w:val="auto"/>
              </w:rPr>
            </w:pPr>
            <w:r>
              <w:rPr>
                <w:rFonts w:ascii="Arial" w:cs="Arial" w:eastAsia="Arial" w:hAnsi="Arial"/>
                <w:sz w:val="18"/>
                <w:szCs w:val="18"/>
                <w:color w:val="auto"/>
              </w:rPr>
              <w:t>Massachusetts</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160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Burr-Brown Europe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160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Butterfly Communications Inc.</w:t>
            </w:r>
          </w:p>
        </w:tc>
        <w:tc>
          <w:tcPr>
            <w:tcW w:w="160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Condat Edinburgh Ltd.</w:t>
            </w:r>
          </w:p>
        </w:tc>
        <w:tc>
          <w:tcPr>
            <w:tcW w:w="160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European Engineering and Technologies S.p.A.</w:t>
            </w:r>
          </w:p>
        </w:tc>
        <w:tc>
          <w:tcPr>
            <w:tcW w:w="1600" w:type="dxa"/>
            <w:vAlign w:val="bottom"/>
            <w:gridSpan w:val="3"/>
          </w:tcPr>
          <w:p>
            <w:pPr>
              <w:spacing w:after="0"/>
              <w:rPr>
                <w:sz w:val="20"/>
                <w:szCs w:val="20"/>
                <w:color w:val="auto"/>
              </w:rPr>
            </w:pPr>
            <w:r>
              <w:rPr>
                <w:rFonts w:ascii="Arial" w:cs="Arial" w:eastAsia="Arial" w:hAnsi="Arial"/>
                <w:sz w:val="18"/>
                <w:szCs w:val="18"/>
                <w:color w:val="auto"/>
              </w:rPr>
              <w:t>Italy</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Intelligent Instrumentation GmbH</w:t>
            </w:r>
          </w:p>
        </w:tc>
        <w:tc>
          <w:tcPr>
            <w:tcW w:w="1600" w:type="dxa"/>
            <w:vAlign w:val="bottom"/>
            <w:gridSpan w:val="3"/>
          </w:tcPr>
          <w:p>
            <w:pPr>
              <w:spacing w:after="0"/>
              <w:rPr>
                <w:sz w:val="20"/>
                <w:szCs w:val="20"/>
                <w:color w:val="auto"/>
              </w:rPr>
            </w:pPr>
            <w:r>
              <w:rPr>
                <w:rFonts w:ascii="Arial" w:cs="Arial" w:eastAsia="Arial" w:hAnsi="Arial"/>
                <w:sz w:val="18"/>
                <w:szCs w:val="18"/>
                <w:color w:val="auto"/>
              </w:rPr>
              <w:t>Germany</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Intelligent Instrumentation, Inc.</w:t>
            </w:r>
          </w:p>
        </w:tc>
        <w:tc>
          <w:tcPr>
            <w:tcW w:w="1600" w:type="dxa"/>
            <w:vAlign w:val="bottom"/>
            <w:gridSpan w:val="3"/>
          </w:tcPr>
          <w:p>
            <w:pPr>
              <w:spacing w:after="0"/>
              <w:rPr>
                <w:sz w:val="20"/>
                <w:szCs w:val="20"/>
                <w:color w:val="auto"/>
              </w:rPr>
            </w:pPr>
            <w:r>
              <w:rPr>
                <w:rFonts w:ascii="Arial" w:cs="Arial" w:eastAsia="Arial" w:hAnsi="Arial"/>
                <w:sz w:val="18"/>
                <w:szCs w:val="18"/>
                <w:color w:val="auto"/>
              </w:rPr>
              <w:t>Arizona</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Intelligent Instrumentation S.A.S.</w:t>
            </w:r>
          </w:p>
        </w:tc>
        <w:tc>
          <w:tcPr>
            <w:tcW w:w="1600" w:type="dxa"/>
            <w:vAlign w:val="bottom"/>
            <w:gridSpan w:val="3"/>
          </w:tcPr>
          <w:p>
            <w:pPr>
              <w:spacing w:after="0"/>
              <w:rPr>
                <w:sz w:val="20"/>
                <w:szCs w:val="20"/>
                <w:color w:val="auto"/>
              </w:rPr>
            </w:pPr>
            <w:r>
              <w:rPr>
                <w:rFonts w:ascii="Arial" w:cs="Arial" w:eastAsia="Arial" w:hAnsi="Arial"/>
                <w:sz w:val="18"/>
                <w:szCs w:val="18"/>
                <w:color w:val="auto"/>
              </w:rPr>
              <w:t>France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Intelligent Instrumentation S.R.L.</w:t>
            </w:r>
          </w:p>
        </w:tc>
        <w:tc>
          <w:tcPr>
            <w:tcW w:w="1600" w:type="dxa"/>
            <w:vAlign w:val="bottom"/>
            <w:gridSpan w:val="3"/>
          </w:tcPr>
          <w:p>
            <w:pPr>
              <w:spacing w:after="0"/>
              <w:rPr>
                <w:sz w:val="20"/>
                <w:szCs w:val="20"/>
                <w:color w:val="auto"/>
              </w:rPr>
            </w:pPr>
            <w:r>
              <w:rPr>
                <w:rFonts w:ascii="Arial" w:cs="Arial" w:eastAsia="Arial" w:hAnsi="Arial"/>
                <w:sz w:val="18"/>
                <w:szCs w:val="18"/>
                <w:color w:val="auto"/>
              </w:rPr>
              <w:t>Italy</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160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Instrumentos Eletronicos do Brasil Limitada</w:t>
            </w:r>
          </w:p>
        </w:tc>
        <w:tc>
          <w:tcPr>
            <w:tcW w:w="1600" w:type="dxa"/>
            <w:vAlign w:val="bottom"/>
            <w:gridSpan w:val="3"/>
          </w:tcPr>
          <w:p>
            <w:pPr>
              <w:spacing w:after="0"/>
              <w:rPr>
                <w:sz w:val="20"/>
                <w:szCs w:val="20"/>
                <w:color w:val="auto"/>
              </w:rPr>
            </w:pPr>
            <w:r>
              <w:rPr>
                <w:rFonts w:ascii="Arial" w:cs="Arial" w:eastAsia="Arial" w:hAnsi="Arial"/>
                <w:sz w:val="18"/>
                <w:szCs w:val="18"/>
                <w:color w:val="auto"/>
              </w:rPr>
              <w:t>Brazil</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Australia</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(Bahamas)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Bahamas</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Belgium S.A.</w:t>
            </w:r>
          </w:p>
        </w:tc>
        <w:tc>
          <w:tcPr>
            <w:tcW w:w="1600" w:type="dxa"/>
            <w:vAlign w:val="bottom"/>
            <w:gridSpan w:val="3"/>
          </w:tcPr>
          <w:p>
            <w:pPr>
              <w:spacing w:after="0"/>
              <w:rPr>
                <w:sz w:val="20"/>
                <w:szCs w:val="20"/>
                <w:color w:val="auto"/>
              </w:rPr>
            </w:pPr>
            <w:r>
              <w:rPr>
                <w:rFonts w:ascii="Arial" w:cs="Arial" w:eastAsia="Arial" w:hAnsi="Arial"/>
                <w:sz w:val="18"/>
                <w:szCs w:val="18"/>
                <w:color w:val="auto"/>
              </w:rPr>
              <w:t>Belgium</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Berlin AG</w:t>
            </w:r>
          </w:p>
        </w:tc>
        <w:tc>
          <w:tcPr>
            <w:tcW w:w="1600" w:type="dxa"/>
            <w:vAlign w:val="bottom"/>
            <w:gridSpan w:val="3"/>
          </w:tcPr>
          <w:p>
            <w:pPr>
              <w:spacing w:after="0"/>
              <w:rPr>
                <w:sz w:val="20"/>
                <w:szCs w:val="20"/>
                <w:color w:val="auto"/>
              </w:rPr>
            </w:pPr>
            <w:r>
              <w:rPr>
                <w:rFonts w:ascii="Arial" w:cs="Arial" w:eastAsia="Arial" w:hAnsi="Arial"/>
                <w:sz w:val="18"/>
                <w:szCs w:val="18"/>
                <w:color w:val="auto"/>
              </w:rPr>
              <w:t>Germany</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1600" w:type="dxa"/>
            <w:vAlign w:val="bottom"/>
            <w:gridSpan w:val="3"/>
          </w:tcPr>
          <w:p>
            <w:pPr>
              <w:spacing w:after="0"/>
              <w:rPr>
                <w:sz w:val="20"/>
                <w:szCs w:val="20"/>
                <w:color w:val="auto"/>
              </w:rPr>
            </w:pPr>
            <w:r>
              <w:rPr>
                <w:rFonts w:ascii="Arial" w:cs="Arial" w:eastAsia="Arial" w:hAnsi="Arial"/>
                <w:sz w:val="18"/>
                <w:szCs w:val="18"/>
                <w:color w:val="auto"/>
              </w:rPr>
              <w:t>Germany</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Canada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Canada</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(Changzhou) Co., Ltd.</w:t>
            </w:r>
          </w:p>
        </w:tc>
        <w:tc>
          <w:tcPr>
            <w:tcW w:w="160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(China) Company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China Incorporated</w:t>
            </w:r>
          </w:p>
        </w:tc>
        <w:tc>
          <w:tcPr>
            <w:tcW w:w="160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de Mexico, S. de R.L. de C.V.</w:t>
            </w:r>
          </w:p>
        </w:tc>
        <w:tc>
          <w:tcPr>
            <w:tcW w:w="1600" w:type="dxa"/>
            <w:vAlign w:val="bottom"/>
            <w:gridSpan w:val="3"/>
          </w:tcPr>
          <w:p>
            <w:pPr>
              <w:spacing w:after="0"/>
              <w:rPr>
                <w:sz w:val="20"/>
                <w:szCs w:val="20"/>
                <w:color w:val="auto"/>
              </w:rPr>
            </w:pPr>
            <w:r>
              <w:rPr>
                <w:rFonts w:ascii="Arial" w:cs="Arial" w:eastAsia="Arial" w:hAnsi="Arial"/>
                <w:sz w:val="18"/>
                <w:szCs w:val="18"/>
                <w:color w:val="auto"/>
              </w:rPr>
              <w:t>Mexico</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Denmark A/S</w:t>
            </w:r>
          </w:p>
        </w:tc>
        <w:tc>
          <w:tcPr>
            <w:tcW w:w="1600" w:type="dxa"/>
            <w:vAlign w:val="bottom"/>
            <w:gridSpan w:val="3"/>
          </w:tcPr>
          <w:p>
            <w:pPr>
              <w:spacing w:after="0"/>
              <w:rPr>
                <w:sz w:val="20"/>
                <w:szCs w:val="20"/>
                <w:color w:val="auto"/>
              </w:rPr>
            </w:pPr>
            <w:r>
              <w:rPr>
                <w:rFonts w:ascii="Arial" w:cs="Arial" w:eastAsia="Arial" w:hAnsi="Arial"/>
                <w:sz w:val="18"/>
                <w:szCs w:val="18"/>
                <w:color w:val="auto"/>
              </w:rPr>
              <w:t>Denmark</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Deutschland GmbH</w:t>
            </w:r>
          </w:p>
        </w:tc>
        <w:tc>
          <w:tcPr>
            <w:tcW w:w="1600" w:type="dxa"/>
            <w:vAlign w:val="bottom"/>
            <w:gridSpan w:val="3"/>
          </w:tcPr>
          <w:p>
            <w:pPr>
              <w:spacing w:after="0"/>
              <w:rPr>
                <w:sz w:val="20"/>
                <w:szCs w:val="20"/>
                <w:color w:val="auto"/>
              </w:rPr>
            </w:pPr>
            <w:r>
              <w:rPr>
                <w:rFonts w:ascii="Arial" w:cs="Arial" w:eastAsia="Arial" w:hAnsi="Arial"/>
                <w:sz w:val="18"/>
                <w:szCs w:val="18"/>
                <w:color w:val="auto"/>
              </w:rPr>
              <w:t>Germany</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Espana, S.A.</w:t>
            </w:r>
          </w:p>
        </w:tc>
        <w:tc>
          <w:tcPr>
            <w:tcW w:w="1600" w:type="dxa"/>
            <w:vAlign w:val="bottom"/>
            <w:gridSpan w:val="3"/>
          </w:tcPr>
          <w:p>
            <w:pPr>
              <w:spacing w:after="0"/>
              <w:rPr>
                <w:sz w:val="20"/>
                <w:szCs w:val="20"/>
                <w:color w:val="auto"/>
              </w:rPr>
            </w:pPr>
            <w:r>
              <w:rPr>
                <w:rFonts w:ascii="Arial" w:cs="Arial" w:eastAsia="Arial" w:hAnsi="Arial"/>
                <w:sz w:val="18"/>
                <w:szCs w:val="18"/>
                <w:color w:val="auto"/>
              </w:rPr>
              <w:t>Spain</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Finance GmbH &amp; Co. KG</w:t>
            </w:r>
          </w:p>
        </w:tc>
        <w:tc>
          <w:tcPr>
            <w:tcW w:w="1600" w:type="dxa"/>
            <w:vAlign w:val="bottom"/>
            <w:gridSpan w:val="3"/>
          </w:tcPr>
          <w:p>
            <w:pPr>
              <w:spacing w:after="0"/>
              <w:rPr>
                <w:sz w:val="20"/>
                <w:szCs w:val="20"/>
                <w:color w:val="auto"/>
              </w:rPr>
            </w:pPr>
            <w:r>
              <w:rPr>
                <w:rFonts w:ascii="Arial" w:cs="Arial" w:eastAsia="Arial" w:hAnsi="Arial"/>
                <w:sz w:val="18"/>
                <w:szCs w:val="18"/>
                <w:color w:val="auto"/>
              </w:rPr>
              <w:t>Germany</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Foreign Sales Corporation</w:t>
            </w:r>
          </w:p>
        </w:tc>
        <w:tc>
          <w:tcPr>
            <w:tcW w:w="1600" w:type="dxa"/>
            <w:vAlign w:val="bottom"/>
            <w:gridSpan w:val="3"/>
          </w:tcPr>
          <w:p>
            <w:pPr>
              <w:spacing w:after="0"/>
              <w:rPr>
                <w:sz w:val="20"/>
                <w:szCs w:val="20"/>
                <w:color w:val="auto"/>
              </w:rPr>
            </w:pPr>
            <w:r>
              <w:rPr>
                <w:rFonts w:ascii="Arial" w:cs="Arial" w:eastAsia="Arial" w:hAnsi="Arial"/>
                <w:sz w:val="18"/>
                <w:szCs w:val="18"/>
                <w:color w:val="auto"/>
              </w:rPr>
              <w:t>Barbados</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France S.A.</w:t>
            </w:r>
          </w:p>
        </w:tc>
        <w:tc>
          <w:tcPr>
            <w:tcW w:w="1600" w:type="dxa"/>
            <w:vAlign w:val="bottom"/>
            <w:gridSpan w:val="3"/>
          </w:tcPr>
          <w:p>
            <w:pPr>
              <w:spacing w:after="0"/>
              <w:rPr>
                <w:sz w:val="20"/>
                <w:szCs w:val="20"/>
                <w:color w:val="auto"/>
              </w:rPr>
            </w:pPr>
            <w:r>
              <w:rPr>
                <w:rFonts w:ascii="Arial" w:cs="Arial" w:eastAsia="Arial" w:hAnsi="Arial"/>
                <w:sz w:val="18"/>
                <w:szCs w:val="18"/>
                <w:color w:val="auto"/>
              </w:rPr>
              <w:t>France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Gesellschaft m.b.H.</w:t>
            </w:r>
          </w:p>
        </w:tc>
        <w:tc>
          <w:tcPr>
            <w:tcW w:w="1600" w:type="dxa"/>
            <w:vAlign w:val="bottom"/>
            <w:gridSpan w:val="3"/>
          </w:tcPr>
          <w:p>
            <w:pPr>
              <w:spacing w:after="0"/>
              <w:rPr>
                <w:sz w:val="20"/>
                <w:szCs w:val="20"/>
                <w:color w:val="auto"/>
              </w:rPr>
            </w:pPr>
            <w:r>
              <w:rPr>
                <w:rFonts w:ascii="Arial" w:cs="Arial" w:eastAsia="Arial" w:hAnsi="Arial"/>
                <w:sz w:val="18"/>
                <w:szCs w:val="18"/>
                <w:color w:val="auto"/>
              </w:rPr>
              <w:t>Austria</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Holland B.V.</w:t>
            </w:r>
          </w:p>
        </w:tc>
        <w:tc>
          <w:tcPr>
            <w:tcW w:w="160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Hong Kong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Hong Kong</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India</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Insurance (Bermuda)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Bermuda</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International Capital Corporation</w:t>
            </w:r>
          </w:p>
        </w:tc>
        <w:tc>
          <w:tcPr>
            <w:tcW w:w="160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International (Overseas)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International Trade Corporation</w:t>
            </w:r>
          </w:p>
        </w:tc>
        <w:tc>
          <w:tcPr>
            <w:tcW w:w="160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International (U.S.A.) Inc.</w:t>
            </w:r>
          </w:p>
        </w:tc>
        <w:tc>
          <w:tcPr>
            <w:tcW w:w="160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(Ireland)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Ireland</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Israel Ltd.</w:t>
            </w:r>
          </w:p>
        </w:tc>
        <w:tc>
          <w:tcPr>
            <w:tcW w:w="1600" w:type="dxa"/>
            <w:vAlign w:val="bottom"/>
            <w:gridSpan w:val="3"/>
          </w:tcPr>
          <w:p>
            <w:pPr>
              <w:spacing w:after="0"/>
              <w:rPr>
                <w:sz w:val="20"/>
                <w:szCs w:val="20"/>
                <w:color w:val="auto"/>
              </w:rPr>
            </w:pPr>
            <w:r>
              <w:rPr>
                <w:rFonts w:ascii="Arial" w:cs="Arial" w:eastAsia="Arial" w:hAnsi="Arial"/>
                <w:sz w:val="18"/>
                <w:szCs w:val="18"/>
                <w:color w:val="auto"/>
              </w:rPr>
              <w:t>Israel</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Israel Trading (2003) Ltd.</w:t>
            </w:r>
          </w:p>
        </w:tc>
        <w:tc>
          <w:tcPr>
            <w:tcW w:w="1600" w:type="dxa"/>
            <w:vAlign w:val="bottom"/>
            <w:gridSpan w:val="3"/>
          </w:tcPr>
          <w:p>
            <w:pPr>
              <w:spacing w:after="0"/>
              <w:rPr>
                <w:sz w:val="20"/>
                <w:szCs w:val="20"/>
                <w:color w:val="auto"/>
              </w:rPr>
            </w:pPr>
            <w:r>
              <w:rPr>
                <w:rFonts w:ascii="Arial" w:cs="Arial" w:eastAsia="Arial" w:hAnsi="Arial"/>
                <w:sz w:val="18"/>
                <w:szCs w:val="18"/>
                <w:color w:val="auto"/>
              </w:rPr>
              <w:t>Israel</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Italia S.p.A.</w:t>
            </w:r>
          </w:p>
        </w:tc>
        <w:tc>
          <w:tcPr>
            <w:tcW w:w="1600" w:type="dxa"/>
            <w:vAlign w:val="bottom"/>
            <w:gridSpan w:val="3"/>
          </w:tcPr>
          <w:p>
            <w:pPr>
              <w:spacing w:after="0"/>
              <w:rPr>
                <w:sz w:val="20"/>
                <w:szCs w:val="20"/>
                <w:color w:val="auto"/>
              </w:rPr>
            </w:pPr>
            <w:r>
              <w:rPr>
                <w:rFonts w:ascii="Arial" w:cs="Arial" w:eastAsia="Arial" w:hAnsi="Arial"/>
                <w:sz w:val="18"/>
                <w:szCs w:val="18"/>
                <w:color w:val="auto"/>
              </w:rPr>
              <w:t>Italy</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Japan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Japan</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Korea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Korea</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Limited</w:t>
            </w:r>
          </w:p>
        </w:tc>
        <w:tc>
          <w:tcPr>
            <w:tcW w:w="160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Malaysia Sdn. Bhd.</w:t>
            </w:r>
          </w:p>
        </w:tc>
        <w:tc>
          <w:tcPr>
            <w:tcW w:w="1600" w:type="dxa"/>
            <w:vAlign w:val="bottom"/>
            <w:gridSpan w:val="3"/>
          </w:tcPr>
          <w:p>
            <w:pPr>
              <w:spacing w:after="0"/>
              <w:rPr>
                <w:sz w:val="20"/>
                <w:szCs w:val="20"/>
                <w:color w:val="auto"/>
              </w:rPr>
            </w:pPr>
            <w:r>
              <w:rPr>
                <w:rFonts w:ascii="Arial" w:cs="Arial" w:eastAsia="Arial" w:hAnsi="Arial"/>
                <w:sz w:val="18"/>
                <w:szCs w:val="18"/>
                <w:color w:val="auto"/>
              </w:rPr>
              <w:t>Malaysia</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Oy</w:t>
            </w:r>
          </w:p>
        </w:tc>
        <w:tc>
          <w:tcPr>
            <w:tcW w:w="1600" w:type="dxa"/>
            <w:vAlign w:val="bottom"/>
            <w:gridSpan w:val="3"/>
          </w:tcPr>
          <w:p>
            <w:pPr>
              <w:spacing w:after="0"/>
              <w:rPr>
                <w:sz w:val="20"/>
                <w:szCs w:val="20"/>
                <w:color w:val="auto"/>
              </w:rPr>
            </w:pPr>
            <w:r>
              <w:rPr>
                <w:rFonts w:ascii="Arial" w:cs="Arial" w:eastAsia="Arial" w:hAnsi="Arial"/>
                <w:sz w:val="18"/>
                <w:szCs w:val="18"/>
                <w:color w:val="auto"/>
              </w:rPr>
              <w:t>Finland</w:t>
            </w: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Palo Alto Incorporated</w:t>
            </w:r>
          </w:p>
        </w:tc>
        <w:tc>
          <w:tcPr>
            <w:tcW w:w="1600" w:type="dxa"/>
            <w:vAlign w:val="bottom"/>
            <w:gridSpan w:val="3"/>
          </w:tcPr>
          <w:p>
            <w:pPr>
              <w:spacing w:after="0"/>
              <w:rPr>
                <w:sz w:val="20"/>
                <w:szCs w:val="20"/>
                <w:color w:val="auto"/>
              </w:rPr>
            </w:pPr>
            <w:r>
              <w:rPr>
                <w:rFonts w:ascii="Arial" w:cs="Arial" w:eastAsia="Arial" w:hAnsi="Arial"/>
                <w:sz w:val="18"/>
                <w:szCs w:val="18"/>
                <w:color w:val="auto"/>
              </w:rPr>
              <w:t>California</w:t>
            </w: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Texas Instruments (Philippines) Incorporated</w:t>
            </w:r>
          </w:p>
        </w:tc>
        <w:tc>
          <w:tcPr>
            <w:tcW w:w="1600" w:type="dxa"/>
            <w:vAlign w:val="bottom"/>
            <w:gridSpan w:val="3"/>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08"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Richardson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Santa Rosa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Texas Instruments Semiconductor Technologies (Shanghai) Co., Ltd.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Singapore (Pte)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Sunnyvale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Taiwan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Trade &amp; Investment Company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Tucson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(Philippines),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Unitrode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Unitrode-Maine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ectPr>
          <w:pgSz w:w="11900" w:h="16838" w:orient="portrait"/>
          <w:cols w:equalWidth="0" w:num="2">
            <w:col w:w="8880" w:space="720"/>
            <w:col w:w="1180"/>
          </w:cols>
          <w:pgMar w:left="240" w:top="280" w:right="87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consent to the incorporation by reference in this Annual Report on Form 10-K of Texas Instruments Incorporated of our reports dated February 23, 2006, with respect to the consolidated financial statements of Texas Instruments Incorporated, Texas Instruments Incorporated management’s assessment of the effectiveness of internal control over financial reporting, and the effectiveness of internal control over financial reporting of Texas Instruments Incorporated, included in the 2005 Annual Report to Stockholders of Texas Instruments Incorporated.</w:t>
      </w:r>
    </w:p>
    <w:p>
      <w:pPr>
        <w:spacing w:after="0" w:line="13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We also consent to the incorporation by reference in the following registration statements, and in the related prospectuses thereto, of our reports dated February 23, 2006 with respect to the consolidated financial statements of Texas Instruments Incorporated, Texas Instruments Incorporated management’s assessment of the effectiveness of internal control over financial reporting, and the effectiveness of internal control over financial reporting of Texas Instruments Incorporated, incorporated by reference in this Annual Report on Form 10-K for the year ended December 31, 2005: Registration Statements (Forms S-8) No. 333-127021, No. 33-42172, No. 33-54615, No. 333-07127 (as amended), No. 333-41913, No. 333-41919, No. 333-31321 (as amended), No. 333-31323,</w:t>
      </w:r>
    </w:p>
    <w:p>
      <w:pPr>
        <w:spacing w:after="0" w:line="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No. 333-48389, No. 333-44662, No. 333-103574, No. 333-107759, No. 333-107760 and No. 333-107761 and Registration Statements (Forms S-3) No. 33-48840, No. 33-39628, No. 333-03571 (as amended), No. 333-93011, and No. 333-44572 (as amended), and Registration Statements (Forms S-4) No. 333-89433 (as amended), No. 333-89097, No. 333-87199, No. 333-80157 (as amended), and No. 333-41030 (as amended).</w:t>
      </w:r>
    </w:p>
    <w:p>
      <w:pPr>
        <w:spacing w:after="0" w:line="3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ERNST &amp; YOUNG LLP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2006</w:t>
      </w:r>
    </w:p>
    <w:p>
      <w:pPr>
        <w:sectPr>
          <w:pgSz w:w="11900" w:h="16838" w:orient="portrait"/>
          <w:cols w:equalWidth="0" w:num="1">
            <w:col w:w="11420"/>
          </w:cols>
          <w:pgMar w:left="240" w:top="13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7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2006</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Richard K. Templeton</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w:t>
      </w: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3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7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2006</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Kevin P. March</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3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President and Chief Executive Officer of Texas Instruments Incorporated (the “Company”), hereby certifies that, to his knowledge:</w:t>
      </w:r>
    </w:p>
    <w:p>
      <w:pPr>
        <w:spacing w:after="0" w:line="72" w:lineRule="exact"/>
        <w:rPr>
          <w:sz w:val="20"/>
          <w:szCs w:val="20"/>
          <w:color w:val="auto"/>
        </w:rPr>
      </w:pPr>
    </w:p>
    <w:p>
      <w:pPr>
        <w:ind w:right="100" w:firstLine="464"/>
        <w:spacing w:after="0" w:line="332" w:lineRule="auto"/>
        <w:tabs>
          <w:tab w:leader="none" w:pos="66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2005, as filed with the Securities and Exchange Commission on the date hereof (the “Report”) fully complies with the requirements of Section 13(a) or 15(d) of the Securities Exchange Act of 1934; and</w:t>
      </w:r>
    </w:p>
    <w:p>
      <w:pPr>
        <w:spacing w:after="0" w:line="71" w:lineRule="exact"/>
        <w:rPr>
          <w:rFonts w:ascii="Arial" w:cs="Arial" w:eastAsia="Arial" w:hAnsi="Arial"/>
          <w:sz w:val="16"/>
          <w:szCs w:val="16"/>
          <w:color w:val="auto"/>
        </w:rPr>
      </w:pPr>
    </w:p>
    <w:p>
      <w:pPr>
        <w:ind w:right="560" w:firstLine="464"/>
        <w:spacing w:after="0" w:line="440" w:lineRule="auto"/>
        <w:tabs>
          <w:tab w:leader="none" w:pos="7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28, 2006</w:t>
      </w:r>
    </w:p>
    <w:p>
      <w:pPr>
        <w:spacing w:after="0" w:line="18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Richard K. Templeton</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w:t>
      </w: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3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72" w:lineRule="exact"/>
        <w:rPr>
          <w:sz w:val="20"/>
          <w:szCs w:val="20"/>
          <w:color w:val="auto"/>
        </w:rPr>
      </w:pPr>
    </w:p>
    <w:p>
      <w:pPr>
        <w:ind w:right="100" w:firstLine="464"/>
        <w:spacing w:after="0" w:line="332" w:lineRule="auto"/>
        <w:tabs>
          <w:tab w:leader="none" w:pos="66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2005, as filed with the Securities and Exchange Commission on the date hereof (the “Report”) fully complies with the requirements of Section 13(a) or 15(d) of the Securities Exchange Act of 1934; and</w:t>
      </w:r>
    </w:p>
    <w:p>
      <w:pPr>
        <w:spacing w:after="0" w:line="71" w:lineRule="exact"/>
        <w:rPr>
          <w:rFonts w:ascii="Arial" w:cs="Arial" w:eastAsia="Arial" w:hAnsi="Arial"/>
          <w:sz w:val="16"/>
          <w:szCs w:val="16"/>
          <w:color w:val="auto"/>
        </w:rPr>
      </w:pPr>
    </w:p>
    <w:p>
      <w:pPr>
        <w:ind w:right="560" w:firstLine="464"/>
        <w:spacing w:after="0" w:line="440" w:lineRule="auto"/>
        <w:tabs>
          <w:tab w:leader="none" w:pos="7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28, 2006</w:t>
      </w:r>
    </w:p>
    <w:p>
      <w:pPr>
        <w:spacing w:after="0" w:line="18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Kevin P. March</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686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5"/>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3"/>
    </w:lvl>
  </w:abstractNum>
  <w:abstractNum w:abstractNumId="6">
    <w:nsid w:val="1E7FF521"/>
    <w:multiLevelType w:val="hybridMultilevel"/>
    <w:lvl w:ilvl="0">
      <w:lvlJc w:val="left"/>
      <w:lvlText w:val="(%1)"/>
      <w:numFmt w:val="decimal"/>
      <w:start w:val="1"/>
    </w:lvl>
    <w:lvl w:ilvl="1">
      <w:lvlJc w:val="left"/>
      <w:lvlText w:val="•"/>
      <w:numFmt w:val="bullet"/>
      <w:start w:val="1"/>
    </w:lvl>
  </w:abstractNum>
  <w:abstractNum w:abstractNumId="7">
    <w:nsid w:val="7C3DBD3D"/>
    <w:multiLevelType w:val="hybridMultilevel"/>
    <w:lvl w:ilvl="0">
      <w:lvlJc w:val="left"/>
      <w:lvlText w:val="(%1)"/>
      <w:numFmt w:val="decimal"/>
      <w:start w:val="4"/>
    </w:lvl>
  </w:abstractNum>
  <w:abstractNum w:abstractNumId="8">
    <w:nsid w:val="737B8DDC"/>
    <w:multiLevelType w:val="hybridMultilevel"/>
    <w:lvl w:ilvl="0">
      <w:lvlJc w:val="left"/>
      <w:lvlText w:val="(%1)"/>
      <w:numFmt w:val="decimal"/>
      <w:start w:val="5"/>
    </w:lvl>
  </w:abstractNum>
  <w:abstractNum w:abstractNumId="9">
    <w:nsid w:val="6CEAF087"/>
    <w:multiLevelType w:val="hybridMultilevel"/>
    <w:lvl w:ilvl="0">
      <w:lvlJc w:val="left"/>
      <w:lvlText w:val="%1"/>
      <w:numFmt w:val="decimal"/>
      <w:start w:val="12"/>
    </w:lvl>
  </w:abstractNum>
  <w:abstractNum w:abstractNumId="10">
    <w:nsid w:val="22221A70"/>
    <w:multiLevelType w:val="hybridMultilevel"/>
    <w:lvl w:ilvl="0">
      <w:lvlJc w:val="left"/>
      <w:lvlText w:val="%1"/>
      <w:numFmt w:val="decimal"/>
      <w:start w:val="21"/>
    </w:lvl>
  </w:abstractNum>
  <w:abstractNum w:abstractNumId="11">
    <w:nsid w:val="4516DDE9"/>
    <w:multiLevelType w:val="hybridMultilevel"/>
    <w:lvl w:ilvl="0">
      <w:lvlJc w:val="left"/>
      <w:lvlText w:val="%1"/>
      <w:numFmt w:val="decimal"/>
      <w:start w:val="23"/>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7"/>
    </w:lvl>
  </w:abstractNum>
  <w:abstractNum w:abstractNumId="15">
    <w:nsid w:val="5577F8E1"/>
    <w:multiLevelType w:val="hybridMultilevel"/>
    <w:lvl w:ilvl="0">
      <w:lvlJc w:val="left"/>
      <w:lvlText w:val="%1"/>
      <w:numFmt w:val="decimal"/>
      <w:start w:val="4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lowerLetter"/>
      <w:start w:val="1"/>
    </w:lvl>
  </w:abstractNum>
  <w:abstractNum w:abstractNumId="18">
    <w:nsid w:val="3804823E"/>
    <w:multiLevelType w:val="hybridMultilevel"/>
    <w:lvl w:ilvl="0">
      <w:lvlJc w:val="left"/>
      <w:lvlText w:val="%1"/>
      <w:numFmt w:val="decimal"/>
      <w:start w:val="12"/>
    </w:lvl>
  </w:abstractNum>
  <w:abstractNum w:abstractNumId="19">
    <w:nsid w:val="77465F01"/>
    <w:multiLevelType w:val="hybridMultilevel"/>
    <w:lvl w:ilvl="0">
      <w:lvlJc w:val="left"/>
      <w:lvlText w:val="%1"/>
      <w:numFmt w:val="decimal"/>
      <w:start w:val="14"/>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1"/>
      <w:numFmt w:val="decimal"/>
      <w:start w:val="16"/>
    </w:lvl>
  </w:abstractNum>
  <w:abstractNum w:abstractNumId="22">
    <w:nsid w:val="2463B9EA"/>
    <w:multiLevelType w:val="hybridMultilevel"/>
    <w:lvl w:ilvl="0">
      <w:lvlJc w:val="left"/>
      <w:lvlText w:val="%1"/>
      <w:numFmt w:val="decimal"/>
      <w:start w:val="20"/>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decimal"/>
      <w:start w:val="22"/>
    </w:lvl>
  </w:abstractNum>
  <w:abstractNum w:abstractNumId="25">
    <w:nsid w:val="2D517796"/>
    <w:multiLevelType w:val="hybridMultilevel"/>
    <w:lvl w:ilvl="0">
      <w:lvlJc w:val="left"/>
      <w:lvlText w:val="%1"/>
      <w:numFmt w:val="decimal"/>
      <w:start w:val="24"/>
    </w:lvl>
  </w:abstractNum>
  <w:abstractNum w:abstractNumId="26">
    <w:nsid w:val="580BD78F"/>
    <w:multiLevelType w:val="hybridMultilevel"/>
    <w:lvl w:ilvl="0">
      <w:lvlJc w:val="left"/>
      <w:lvlText w:val="%1"/>
      <w:numFmt w:val="decimal"/>
      <w:start w:val="26"/>
    </w:lvl>
  </w:abstractNum>
  <w:abstractNum w:abstractNumId="27">
    <w:nsid w:val="153EA438"/>
    <w:multiLevelType w:val="hybridMultilevel"/>
    <w:lvl w:ilvl="0">
      <w:lvlJc w:val="left"/>
      <w:lvlText w:val="%1"/>
      <w:numFmt w:val="decimal"/>
      <w:start w:val="28"/>
    </w:lvl>
  </w:abstractNum>
  <w:abstractNum w:abstractNumId="28">
    <w:nsid w:val="3855585C"/>
    <w:multiLevelType w:val="hybridMultilevel"/>
    <w:lvl w:ilvl="0">
      <w:lvlJc w:val="left"/>
      <w:lvlText w:val="%1"/>
      <w:numFmt w:val="decimal"/>
      <w:start w:val="30"/>
    </w:lvl>
  </w:abstractNum>
  <w:abstractNum w:abstractNumId="29">
    <w:nsid w:val="70A64E2A"/>
    <w:multiLevelType w:val="hybridMultilevel"/>
    <w:lvl w:ilvl="0">
      <w:lvlJc w:val="left"/>
      <w:lvlText w:val="%1"/>
      <w:numFmt w:val="decimal"/>
      <w:start w:val="32"/>
    </w:lvl>
  </w:abstractNum>
  <w:abstractNum w:abstractNumId="30">
    <w:nsid w:val="6A2342EC"/>
    <w:multiLevelType w:val="hybridMultilevel"/>
    <w:lvl w:ilvl="0">
      <w:lvlJc w:val="left"/>
      <w:lvlText w:val="%1."/>
      <w:numFmt w:val="decimal"/>
      <w:start w:val="16"/>
    </w:lvl>
  </w:abstractNum>
  <w:abstractNum w:abstractNumId="31">
    <w:nsid w:val="2A487CB0"/>
    <w:multiLevelType w:val="hybridMultilevel"/>
    <w:lvl w:ilvl="0">
      <w:lvlJc w:val="left"/>
      <w:lvlText w:val="%1"/>
      <w:numFmt w:val="decimal"/>
      <w:start w:val="36"/>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40"/>
    </w:lvl>
  </w:abstractNum>
  <w:abstractNum w:abstractNumId="35">
    <w:nsid w:val="57E4CCAF"/>
    <w:multiLevelType w:val="hybridMultilevel"/>
    <w:lvl w:ilvl="0">
      <w:lvlJc w:val="left"/>
      <w:lvlText w:val="%1"/>
      <w:numFmt w:val="decimal"/>
      <w:start w:val="42"/>
    </w:lvl>
  </w:abstractNum>
  <w:abstractNum w:abstractNumId="36">
    <w:nsid w:val="7A6D8D3C"/>
    <w:multiLevelType w:val="hybridMultilevel"/>
    <w:lvl w:ilvl="0">
      <w:lvlJc w:val="left"/>
      <w:lvlText w:val="%1"/>
      <w:numFmt w:val="decimal"/>
      <w:start w:val="46"/>
    </w:lvl>
  </w:abstractNum>
  <w:abstractNum w:abstractNumId="37">
    <w:nsid w:val="4B588F54"/>
    <w:multiLevelType w:val="hybridMultilevel"/>
    <w:lvl w:ilvl="0">
      <w:lvlJc w:val="left"/>
      <w:lvlText w:val="%1"/>
      <w:numFmt w:val="decimal"/>
      <w:start w:val="48"/>
    </w:lvl>
  </w:abstractNum>
  <w:abstractNum w:abstractNumId="38">
    <w:nsid w:val="542289EC"/>
    <w:multiLevelType w:val="hybridMultilevel"/>
    <w:lvl w:ilvl="0">
      <w:lvlJc w:val="left"/>
      <w:lvlText w:val="%1"/>
      <w:numFmt w:val="decimal"/>
      <w:start w:val="50"/>
    </w:lvl>
  </w:abstractNum>
  <w:abstractNum w:abstractNumId="39">
    <w:nsid w:val="6DE91B18"/>
    <w:multiLevelType w:val="hybridMultilevel"/>
    <w:lvl w:ilvl="0">
      <w:lvlJc w:val="left"/>
      <w:lvlText w:val="%1"/>
      <w:numFmt w:val="decimal"/>
      <w:start w:val="52"/>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54"/>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56"/>
    </w:lvl>
  </w:abstractNum>
  <w:abstractNum w:abstractNumId="44">
    <w:nsid w:val="579478FE"/>
    <w:multiLevelType w:val="hybridMultilevel"/>
    <w:lvl w:ilvl="0">
      <w:lvlJc w:val="left"/>
      <w:lvlText w:val="%1"/>
      <w:numFmt w:val="decimal"/>
      <w:start w:val="58"/>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decimal"/>
      <w:start w:val="60"/>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decimal"/>
      <w:start w:val="62"/>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lowerRoman"/>
      <w:start w:val="1"/>
    </w:lvl>
  </w:abstractNum>
  <w:abstractNum w:abstractNumId="53">
    <w:nsid w:val="374A3FE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2019-12-13T07:27:26Z</dcterms:created>
  <dcterms:modified xsi:type="dcterms:W3CDTF">2019-12-13T07:27:26Z</dcterms:modified>
</cp:coreProperties>
</file>