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line="260"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80" w:right="260" w:hanging="572"/>
        <w:spacing w:after="0" w:line="260"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-2930525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-2475865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-1901190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-1446530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-1052195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319405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20"/>
          </w:cols>
          <w:pgMar w:left="240" w:top="230" w:right="539" w:bottom="755"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-589280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-134620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319405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499745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542290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4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You are cordially invited to attend the 2017 annual meeting of stockholders on Thursday, April 20, 2017, at the auditorium on our property at 12500 TI Boulevard, Dallas, Texas, at 8:30 a.m. (Central time). Please see “Attendance requirements” for important information about attending the annual meeting. At the meeting we will consider and act upon the following matters:</w:t>
      </w:r>
    </w:p>
    <w:p>
      <w:pPr>
        <w:spacing w:after="0" w:line="225" w:lineRule="exact"/>
        <w:rPr>
          <w:sz w:val="20"/>
          <w:szCs w:val="20"/>
          <w:color w:val="auto"/>
        </w:rPr>
      </w:pPr>
    </w:p>
    <w:p>
      <w:pPr>
        <w:ind w:left="780" w:hanging="55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ind w:left="780" w:hanging="55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ind w:left="780" w:hanging="55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annual frequency for future advisory votes on executive compensation,</w:t>
      </w:r>
    </w:p>
    <w:p>
      <w:pPr>
        <w:ind w:left="780" w:hanging="55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2017, and</w:t>
      </w:r>
    </w:p>
    <w:p>
      <w:pPr>
        <w:ind w:left="780" w:hanging="55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21, 2017, are entitled to vote at the annual meeting.</w:t>
      </w:r>
    </w:p>
    <w:p>
      <w:pPr>
        <w:spacing w:after="0" w:line="1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website, (2) calling the toll-free number or (3) signing, dating and mailing the enclosed proxy.</w:t>
      </w:r>
    </w:p>
    <w:p>
      <w:pPr>
        <w:spacing w:after="0" w:line="1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152400</wp:posOffset>
            </wp:positionV>
            <wp:extent cx="206692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ind w:left="6060"/>
        <w:spacing w:after="0" w:line="234" w:lineRule="auto"/>
        <w:rPr>
          <w:sz w:val="20"/>
          <w:szCs w:val="20"/>
          <w:color w:val="auto"/>
        </w:rPr>
      </w:pPr>
      <w:r>
        <w:rPr>
          <w:rFonts w:ascii="Arial" w:cs="Arial" w:eastAsia="Arial" w:hAnsi="Arial"/>
          <w:sz w:val="18"/>
          <w:szCs w:val="18"/>
          <w:color w:val="auto"/>
        </w:rPr>
        <w:t>Senior Vice President,</w:t>
      </w:r>
    </w:p>
    <w:p>
      <w:pPr>
        <w:ind w:left="6060"/>
        <w:spacing w:after="0" w:line="235" w:lineRule="auto"/>
        <w:rPr>
          <w:sz w:val="20"/>
          <w:szCs w:val="20"/>
          <w:color w:val="auto"/>
        </w:rPr>
      </w:pPr>
      <w:r>
        <w:rPr>
          <w:rFonts w:ascii="Arial" w:cs="Arial" w:eastAsia="Arial" w:hAnsi="Arial"/>
          <w:sz w:val="18"/>
          <w:szCs w:val="18"/>
          <w:color w:val="auto"/>
        </w:rPr>
        <w:t>Secretary and</w:t>
      </w:r>
    </w:p>
    <w:p>
      <w:pPr>
        <w:ind w:left="6060"/>
        <w:spacing w:after="0" w:line="235" w:lineRule="auto"/>
        <w:rPr>
          <w:sz w:val="20"/>
          <w:szCs w:val="20"/>
          <w:color w:val="auto"/>
        </w:rPr>
      </w:pPr>
      <w:r>
        <w:rPr>
          <w:rFonts w:ascii="Arial" w:cs="Arial" w:eastAsia="Arial" w:hAnsi="Arial"/>
          <w:sz w:val="18"/>
          <w:szCs w:val="18"/>
          <w:color w:val="auto"/>
        </w:rPr>
        <w:t>General Counsel</w:t>
      </w:r>
    </w:p>
    <w:p>
      <w:pPr>
        <w:spacing w:after="0" w:line="235" w:lineRule="auto"/>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6, 2017</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TABLE OF CONTENTS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60" w:type="dxa"/>
            <w:vAlign w:val="bottom"/>
            <w:gridSpan w:val="3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Voting procedures, quorum and attendance requirements</w:t>
              </w:r>
            </w:hyperlink>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Stock ownership guidelines and policy against</w:t>
              </w:r>
            </w:hyperlink>
          </w:p>
        </w:tc>
        <w:tc>
          <w:tcPr>
            <w:tcW w:w="460" w:type="dxa"/>
            <w:vAlign w:val="bottom"/>
          </w:tcPr>
          <w:p>
            <w:pPr>
              <w:spacing w:after="0"/>
              <w:rPr>
                <w:sz w:val="17"/>
                <w:szCs w:val="17"/>
                <w:color w:val="auto"/>
              </w:rPr>
            </w:pPr>
          </w:p>
        </w:tc>
      </w:tr>
      <w:tr>
        <w:trPr>
          <w:trHeight w:val="183"/>
        </w:trPr>
        <w:tc>
          <w:tcPr>
            <w:tcW w:w="15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Election of directors</w:t>
              </w:r>
            </w:hyperlink>
          </w:p>
        </w:tc>
        <w:tc>
          <w:tcPr>
            <w:tcW w:w="2960" w:type="dxa"/>
            <w:vAlign w:val="bottom"/>
            <w:tcBorders>
              <w:top w:val="single" w:sz="8" w:color="0000EE"/>
            </w:tcBorders>
            <w:gridSpan w:val="23"/>
          </w:tcPr>
          <w:p>
            <w:pPr>
              <w:spacing w:after="0"/>
              <w:rPr>
                <w:sz w:val="15"/>
                <w:szCs w:val="15"/>
                <w:color w:val="auto"/>
              </w:rPr>
            </w:pPr>
          </w:p>
        </w:tc>
        <w:tc>
          <w:tcPr>
            <w:tcW w:w="420" w:type="dxa"/>
            <w:vAlign w:val="bottom"/>
            <w:gridSpan w:val="4"/>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hedging</w:t>
              </w:r>
            </w:hyperlink>
          </w:p>
        </w:tc>
        <w:tc>
          <w:tcPr>
            <w:tcW w:w="2840" w:type="dxa"/>
            <w:vAlign w:val="bottom"/>
            <w:tcBorders>
              <w:top w:val="single" w:sz="8" w:color="0000EE"/>
            </w:tcBorders>
            <w:gridSpan w:val="18"/>
          </w:tcPr>
          <w:p>
            <w:pPr>
              <w:spacing w:after="0"/>
              <w:rPr>
                <w:sz w:val="15"/>
                <w:szCs w:val="15"/>
                <w:color w:val="auto"/>
              </w:rPr>
            </w:pPr>
          </w:p>
        </w:tc>
        <w:tc>
          <w:tcPr>
            <w:tcW w:w="700" w:type="dxa"/>
            <w:vAlign w:val="bottom"/>
            <w:gridSpan w:val="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Nominees for directorship</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60" w:type="dxa"/>
            <w:vAlign w:val="bottom"/>
            <w:gridSpan w:val="2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Consideration of tax and accounting treatment of</w:t>
              </w:r>
            </w:hyperlink>
          </w:p>
        </w:tc>
        <w:tc>
          <w:tcPr>
            <w:tcW w:w="460" w:type="dxa"/>
            <w:vAlign w:val="bottom"/>
          </w:tcPr>
          <w:p>
            <w:pPr>
              <w:spacing w:after="0"/>
              <w:rPr>
                <w:sz w:val="15"/>
                <w:szCs w:val="15"/>
                <w:color w:val="auto"/>
              </w:rPr>
            </w:pPr>
          </w:p>
        </w:tc>
      </w:tr>
      <w:tr>
        <w:trPr>
          <w:trHeight w:val="20"/>
        </w:trPr>
        <w:tc>
          <w:tcPr>
            <w:tcW w:w="1900" w:type="dxa"/>
            <w:vAlign w:val="bottom"/>
            <w:tcBorders>
              <w:right w:val="single" w:sz="8" w:color="0000EE"/>
            </w:tcBorders>
            <w:gridSpan w:val="11"/>
          </w:tcPr>
          <w:p>
            <w:pPr>
              <w:spacing w:after="0" w:line="20" w:lineRule="exact"/>
              <w:rPr>
                <w:sz w:val="1"/>
                <w:szCs w:val="1"/>
                <w:color w:val="auto"/>
              </w:rPr>
            </w:pPr>
          </w:p>
        </w:tc>
        <w:tc>
          <w:tcPr>
            <w:tcW w:w="2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5160" w:type="dxa"/>
            <w:vAlign w:val="bottom"/>
            <w:gridSpan w:val="29"/>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1500" w:type="dxa"/>
            <w:vAlign w:val="bottom"/>
            <w:tcBorders>
              <w:left w:val="single" w:sz="8" w:color="0000EE"/>
            </w:tcBorders>
            <w:gridSpan w:val="11"/>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Director nomination process</w:t>
              </w:r>
            </w:hyperlink>
          </w:p>
        </w:tc>
        <w:tc>
          <w:tcPr>
            <w:tcW w:w="2540" w:type="dxa"/>
            <w:vAlign w:val="bottom"/>
            <w:gridSpan w:val="15"/>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compensation</w:t>
              </w:r>
            </w:hyperlink>
          </w:p>
        </w:tc>
        <w:tc>
          <w:tcPr>
            <w:tcW w:w="3060" w:type="dxa"/>
            <w:vAlign w:val="bottom"/>
            <w:gridSpan w:val="21"/>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80" w:type="dxa"/>
            <w:vAlign w:val="bottom"/>
          </w:tcPr>
          <w:p>
            <w:pPr>
              <w:spacing w:after="0"/>
              <w:rPr>
                <w:sz w:val="15"/>
                <w:szCs w:val="15"/>
                <w:color w:val="auto"/>
              </w:rPr>
            </w:pPr>
          </w:p>
        </w:tc>
        <w:tc>
          <w:tcPr>
            <w:tcW w:w="294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Director candidate recommendations</w:t>
              </w:r>
            </w:hyperlink>
          </w:p>
        </w:tc>
        <w:tc>
          <w:tcPr>
            <w:tcW w:w="1840" w:type="dxa"/>
            <w:vAlign w:val="bottom"/>
            <w:gridSpan w:val="9"/>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Compensation Committee report</w:t>
              </w:r>
            </w:hyperlink>
          </w:p>
        </w:tc>
        <w:tc>
          <w:tcPr>
            <w:tcW w:w="2120" w:type="dxa"/>
            <w:vAlign w:val="bottom"/>
            <w:gridSpan w:val="1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80" w:type="dxa"/>
            <w:vAlign w:val="bottom"/>
          </w:tcPr>
          <w:p>
            <w:pPr>
              <w:spacing w:after="0"/>
              <w:rPr>
                <w:sz w:val="15"/>
                <w:szCs w:val="15"/>
                <w:color w:val="auto"/>
              </w:rPr>
            </w:pPr>
          </w:p>
        </w:tc>
        <w:tc>
          <w:tcPr>
            <w:tcW w:w="28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Stockholder nomination of directors</w:t>
              </w:r>
            </w:hyperlink>
          </w:p>
        </w:tc>
        <w:tc>
          <w:tcPr>
            <w:tcW w:w="1960" w:type="dxa"/>
            <w:vAlign w:val="bottom"/>
            <w:gridSpan w:val="11"/>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Summary compensation table</w:t>
              </w:r>
            </w:hyperlink>
          </w:p>
        </w:tc>
        <w:tc>
          <w:tcPr>
            <w:tcW w:w="2340" w:type="dxa"/>
            <w:vAlign w:val="bottom"/>
            <w:gridSpan w:val="17"/>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180" w:type="dxa"/>
            <w:vAlign w:val="bottom"/>
          </w:tcPr>
          <w:p>
            <w:pPr>
              <w:spacing w:after="0"/>
              <w:rPr>
                <w:sz w:val="15"/>
                <w:szCs w:val="15"/>
                <w:color w:val="auto"/>
              </w:rPr>
            </w:pPr>
          </w:p>
        </w:tc>
        <w:tc>
          <w:tcPr>
            <w:tcW w:w="1460" w:type="dxa"/>
            <w:vAlign w:val="bottom"/>
            <w:gridSpan w:val="7"/>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Director nominees</w:t>
              </w:r>
            </w:hyperlink>
          </w:p>
        </w:tc>
        <w:tc>
          <w:tcPr>
            <w:tcW w:w="3320" w:type="dxa"/>
            <w:vAlign w:val="bottom"/>
            <w:gridSpan w:val="26"/>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Grants of plan-based awards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20"/>
        </w:trPr>
        <w:tc>
          <w:tcPr>
            <w:tcW w:w="7300" w:type="dxa"/>
            <w:vAlign w:val="bottom"/>
            <w:gridSpan w:val="44"/>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2940" w:type="dxa"/>
            <w:vAlign w:val="bottom"/>
            <w:tcBorders>
              <w:left w:val="single" w:sz="8" w:color="0000EE"/>
            </w:tcBorders>
            <w:gridSpan w:val="20"/>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Board diversity and nominee qualifications</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Outstanding equity awards at fiscal year-end</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18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Communications with the board</w:t>
              </w:r>
            </w:hyperlink>
          </w:p>
        </w:tc>
        <w:tc>
          <w:tcPr>
            <w:tcW w:w="840" w:type="dxa"/>
            <w:vAlign w:val="bottom"/>
            <w:tcBorders>
              <w:top w:val="single" w:sz="8" w:color="0000EE"/>
            </w:tcBorders>
            <w:gridSpan w:val="5"/>
          </w:tcPr>
          <w:p>
            <w:pPr>
              <w:spacing w:after="0"/>
              <w:rPr>
                <w:sz w:val="15"/>
                <w:szCs w:val="15"/>
                <w:color w:val="auto"/>
              </w:rPr>
            </w:pPr>
          </w:p>
        </w:tc>
        <w:tc>
          <w:tcPr>
            <w:tcW w:w="1420" w:type="dxa"/>
            <w:vAlign w:val="bottom"/>
            <w:gridSpan w:val="7"/>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Option exercises and stock vested</w:t>
              </w:r>
            </w:hyperlink>
          </w:p>
        </w:tc>
        <w:tc>
          <w:tcPr>
            <w:tcW w:w="800" w:type="dxa"/>
            <w:vAlign w:val="bottom"/>
            <w:tcBorders>
              <w:top w:val="single" w:sz="8" w:color="0000EE"/>
            </w:tcBorders>
            <w:gridSpan w:val="5"/>
          </w:tcPr>
          <w:p>
            <w:pPr>
              <w:spacing w:after="0"/>
              <w:rPr>
                <w:sz w:val="15"/>
                <w:szCs w:val="15"/>
                <w:color w:val="auto"/>
              </w:rPr>
            </w:pPr>
          </w:p>
        </w:tc>
        <w:tc>
          <w:tcPr>
            <w:tcW w:w="1180" w:type="dxa"/>
            <w:vAlign w:val="bottom"/>
            <w:gridSpan w:val="10"/>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Pension benefits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1900" w:type="dxa"/>
            <w:vAlign w:val="bottom"/>
            <w:tcBorders>
              <w:right w:val="single" w:sz="8" w:color="0000EE"/>
            </w:tcBorders>
            <w:gridSpan w:val="11"/>
          </w:tcPr>
          <w:p>
            <w:pPr>
              <w:spacing w:after="0" w:line="20" w:lineRule="exact"/>
              <w:rPr>
                <w:sz w:val="1"/>
                <w:szCs w:val="1"/>
                <w:color w:val="auto"/>
              </w:rPr>
            </w:pPr>
          </w:p>
        </w:tc>
        <w:tc>
          <w:tcPr>
            <w:tcW w:w="5400" w:type="dxa"/>
            <w:vAlign w:val="bottom"/>
            <w:tcBorders>
              <w:left w:val="single" w:sz="8" w:color="0000EE"/>
            </w:tcBorders>
            <w:gridSpan w:val="33"/>
          </w:tcPr>
          <w:p>
            <w:pPr>
              <w:spacing w:after="0" w:line="20" w:lineRule="exact"/>
              <w:rPr>
                <w:sz w:val="1"/>
                <w:szCs w:val="1"/>
                <w:color w:val="auto"/>
              </w:rPr>
            </w:pPr>
          </w:p>
        </w:tc>
        <w:tc>
          <w:tcPr>
            <w:tcW w:w="3880" w:type="dxa"/>
            <w:vAlign w:val="bottom"/>
            <w:tcBorders>
              <w:left w:val="single" w:sz="8" w:color="0000EE"/>
            </w:tcBorders>
            <w:gridSpan w:val="24"/>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180" w:type="dxa"/>
            <w:vAlign w:val="bottom"/>
            <w:gridSpan w:val="17"/>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Annual meeting attendance</w:t>
              </w:r>
            </w:hyperlink>
          </w:p>
        </w:tc>
        <w:tc>
          <w:tcPr>
            <w:tcW w:w="2600" w:type="dxa"/>
            <w:vAlign w:val="bottom"/>
            <w:gridSpan w:val="16"/>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Non-qualified deferred compensation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1900" w:type="dxa"/>
            <w:vAlign w:val="bottom"/>
            <w:tcBorders>
              <w:right w:val="single" w:sz="8" w:color="0000EE"/>
            </w:tcBorders>
            <w:gridSpan w:val="11"/>
          </w:tcPr>
          <w:p>
            <w:pPr>
              <w:spacing w:after="0" w:line="20" w:lineRule="exact"/>
              <w:rPr>
                <w:sz w:val="1"/>
                <w:szCs w:val="1"/>
                <w:color w:val="auto"/>
              </w:rPr>
            </w:pPr>
          </w:p>
        </w:tc>
        <w:tc>
          <w:tcPr>
            <w:tcW w:w="2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940" w:type="dxa"/>
            <w:vAlign w:val="bottom"/>
            <w:tcBorders>
              <w:left w:val="single" w:sz="8" w:color="0000EE"/>
            </w:tcBorders>
            <w:gridSpan w:val="26"/>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2940" w:type="dxa"/>
            <w:vAlign w:val="bottom"/>
            <w:tcBorders>
              <w:left w:val="single" w:sz="8" w:color="0000EE"/>
            </w:tcBorders>
            <w:gridSpan w:val="20"/>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180" w:type="dxa"/>
            <w:vAlign w:val="bottom"/>
            <w:gridSpan w:val="17"/>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2600" w:type="dxa"/>
            <w:vAlign w:val="bottom"/>
            <w:gridSpan w:val="16"/>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Potential payments upon termination or change in control</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1900" w:type="dxa"/>
            <w:vAlign w:val="bottom"/>
            <w:tcBorders>
              <w:right w:val="single" w:sz="8" w:color="0000EE"/>
            </w:tcBorders>
            <w:gridSpan w:val="11"/>
          </w:tcPr>
          <w:p>
            <w:pPr>
              <w:spacing w:after="0" w:line="20" w:lineRule="exact"/>
              <w:rPr>
                <w:sz w:val="1"/>
                <w:szCs w:val="1"/>
                <w:color w:val="auto"/>
              </w:rPr>
            </w:pPr>
          </w:p>
        </w:tc>
        <w:tc>
          <w:tcPr>
            <w:tcW w:w="5400" w:type="dxa"/>
            <w:vAlign w:val="bottom"/>
            <w:tcBorders>
              <w:left w:val="single" w:sz="8" w:color="0000EE"/>
            </w:tcBorders>
            <w:gridSpan w:val="3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1500" w:type="dxa"/>
            <w:vAlign w:val="bottom"/>
            <w:tcBorders>
              <w:left w:val="single" w:sz="8" w:color="0000EE"/>
            </w:tcBorders>
            <w:gridSpan w:val="11"/>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r>
      <w:tr>
        <w:trPr>
          <w:trHeight w:val="183"/>
        </w:trPr>
        <w:tc>
          <w:tcPr>
            <w:tcW w:w="4960" w:type="dxa"/>
            <w:vAlign w:val="bottom"/>
            <w:gridSpan w:val="34"/>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Board organization</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5"/>
                <w:szCs w:val="15"/>
                <w:color w:val="auto"/>
              </w:rPr>
            </w:pPr>
          </w:p>
        </w:tc>
        <w:tc>
          <w:tcPr>
            <w:tcW w:w="4900" w:type="dxa"/>
            <w:vAlign w:val="bottom"/>
            <w:gridSpan w:val="31"/>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Audit Committee report</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7300" w:type="dxa"/>
            <w:vAlign w:val="bottom"/>
            <w:gridSpan w:val="4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700" w:type="dxa"/>
            <w:vAlign w:val="bottom"/>
            <w:tcBorders>
              <w:left w:val="single" w:sz="8" w:color="0000EE"/>
            </w:tcBorders>
            <w:gridSpan w:val="23"/>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Board and committee meetings</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5"/>
                <w:szCs w:val="15"/>
                <w:color w:val="auto"/>
              </w:rPr>
            </w:pPr>
          </w:p>
        </w:tc>
        <w:tc>
          <w:tcPr>
            <w:tcW w:w="4900" w:type="dxa"/>
            <w:vAlign w:val="bottom"/>
            <w:gridSpan w:val="31"/>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Proposal to ratify appointment of independent registered</w:t>
              </w:r>
            </w:hyperlink>
          </w:p>
        </w:tc>
        <w:tc>
          <w:tcPr>
            <w:tcW w:w="46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24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Committees of the board</w:t>
              </w:r>
            </w:hyperlink>
          </w:p>
        </w:tc>
        <w:tc>
          <w:tcPr>
            <w:tcW w:w="2300" w:type="dxa"/>
            <w:vAlign w:val="bottom"/>
            <w:gridSpan w:val="13"/>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3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public accounting firm</w:t>
              </w:r>
            </w:hyperlink>
          </w:p>
        </w:tc>
        <w:tc>
          <w:tcPr>
            <w:tcW w:w="420" w:type="dxa"/>
            <w:vAlign w:val="bottom"/>
            <w:gridSpan w:val="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1900" w:type="dxa"/>
            <w:vAlign w:val="bottom"/>
            <w:tcBorders>
              <w:right w:val="single" w:sz="8" w:color="0000EE"/>
            </w:tcBorders>
            <w:gridSpan w:val="11"/>
          </w:tcPr>
          <w:p>
            <w:pPr>
              <w:spacing w:after="0" w:line="20" w:lineRule="exact"/>
              <w:rPr>
                <w:sz w:val="1"/>
                <w:szCs w:val="1"/>
                <w:color w:val="auto"/>
              </w:rPr>
            </w:pPr>
          </w:p>
        </w:tc>
        <w:tc>
          <w:tcPr>
            <w:tcW w:w="2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5160" w:type="dxa"/>
            <w:vAlign w:val="bottom"/>
            <w:gridSpan w:val="29"/>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700" w:type="dxa"/>
            <w:vAlign w:val="bottom"/>
            <w:tcBorders>
              <w:left w:val="single" w:sz="8" w:color="0000EE"/>
            </w:tcBorders>
            <w:gridSpan w:val="23"/>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Board leadership structure</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5"/>
                <w:szCs w:val="15"/>
                <w:color w:val="auto"/>
              </w:rPr>
            </w:pPr>
          </w:p>
        </w:tc>
        <w:tc>
          <w:tcPr>
            <w:tcW w:w="4900" w:type="dxa"/>
            <w:vAlign w:val="bottom"/>
            <w:gridSpan w:val="31"/>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Additional information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20"/>
        </w:trPr>
        <w:tc>
          <w:tcPr>
            <w:tcW w:w="1900" w:type="dxa"/>
            <w:vAlign w:val="bottom"/>
            <w:tcBorders>
              <w:right w:val="single" w:sz="8" w:color="0000EE"/>
            </w:tcBorders>
            <w:gridSpan w:val="11"/>
          </w:tcPr>
          <w:p>
            <w:pPr>
              <w:spacing w:after="0" w:line="20" w:lineRule="exact"/>
              <w:rPr>
                <w:sz w:val="1"/>
                <w:szCs w:val="1"/>
                <w:color w:val="auto"/>
              </w:rPr>
            </w:pPr>
          </w:p>
        </w:tc>
        <w:tc>
          <w:tcPr>
            <w:tcW w:w="2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5160" w:type="dxa"/>
            <w:vAlign w:val="bottom"/>
            <w:gridSpan w:val="29"/>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700" w:type="dxa"/>
            <w:vAlign w:val="bottom"/>
            <w:tcBorders>
              <w:left w:val="single" w:sz="8" w:color="0000EE"/>
            </w:tcBorders>
            <w:gridSpan w:val="23"/>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180" w:type="dxa"/>
            <w:vAlign w:val="bottom"/>
            <w:gridSpan w:val="17"/>
          </w:tcPr>
          <w:p>
            <w:pPr>
              <w:spacing w:after="0" w:line="18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Risk oversight by the board</w:t>
              </w:r>
            </w:hyperlink>
          </w:p>
        </w:tc>
        <w:tc>
          <w:tcPr>
            <w:tcW w:w="2600" w:type="dxa"/>
            <w:vAlign w:val="bottom"/>
            <w:gridSpan w:val="16"/>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Voting securities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0" w:type="dxa"/>
            <w:vAlign w:val="bottom"/>
            <w:gridSpan w:val="10"/>
          </w:tcPr>
          <w:p>
            <w:pPr>
              <w:spacing w:after="0" w:line="18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Director compensation</w:t>
              </w:r>
            </w:hyperlink>
          </w:p>
        </w:tc>
        <w:tc>
          <w:tcPr>
            <w:tcW w:w="3160" w:type="dxa"/>
            <w:vAlign w:val="bottom"/>
            <w:gridSpan w:val="24"/>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960" w:type="dxa"/>
            <w:vAlign w:val="bottom"/>
            <w:gridSpan w:val="34"/>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Executive compensation</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Security ownership of directors and management</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Proposal regarding advisory approval of the company’s</w:t>
              </w:r>
            </w:hyperlink>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Related person transactions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0" w:type="dxa"/>
            <w:vAlign w:val="bottom"/>
            <w:gridSpan w:val="2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executive compensation</w:t>
              </w:r>
            </w:hyperlink>
          </w:p>
        </w:tc>
        <w:tc>
          <w:tcPr>
            <w:tcW w:w="400" w:type="dxa"/>
            <w:vAlign w:val="bottom"/>
            <w:gridSpan w:val="3"/>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Compensation committee interlocks and insider</w:t>
              </w:r>
            </w:hyperlink>
          </w:p>
        </w:tc>
        <w:tc>
          <w:tcPr>
            <w:tcW w:w="46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Proposal regarding advisory vote on future advisory votes</w:t>
              </w:r>
            </w:hyperlink>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40" w:type="dxa"/>
            <w:vAlign w:val="bottom"/>
            <w:gridSpan w:val="29"/>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participation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on executive officer compensation</w:t>
              </w:r>
            </w:hyperlink>
          </w:p>
        </w:tc>
        <w:tc>
          <w:tcPr>
            <w:tcW w:w="168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Cost of solicitation</w:t>
              </w:r>
            </w:hyperlink>
          </w:p>
        </w:tc>
        <w:tc>
          <w:tcPr>
            <w:tcW w:w="3240" w:type="dxa"/>
            <w:vAlign w:val="bottom"/>
            <w:gridSpan w:val="2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180" w:type="dxa"/>
            <w:vAlign w:val="bottom"/>
          </w:tcPr>
          <w:p>
            <w:pPr>
              <w:spacing w:after="0"/>
              <w:rPr>
                <w:sz w:val="15"/>
                <w:szCs w:val="15"/>
                <w:color w:val="auto"/>
              </w:rPr>
            </w:pPr>
          </w:p>
        </w:tc>
        <w:tc>
          <w:tcPr>
            <w:tcW w:w="4780" w:type="dxa"/>
            <w:vAlign w:val="bottom"/>
            <w:gridSpan w:val="3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Discussion and Analysis</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Stockholder proposals and nominations for 2018</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9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Executive summary</w:t>
              </w:r>
            </w:hyperlink>
          </w:p>
        </w:tc>
        <w:tc>
          <w:tcPr>
            <w:tcW w:w="1640" w:type="dxa"/>
            <w:vAlign w:val="bottom"/>
            <w:gridSpan w:val="8"/>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Benefit plan voting</w:t>
              </w:r>
            </w:hyperlink>
          </w:p>
        </w:tc>
        <w:tc>
          <w:tcPr>
            <w:tcW w:w="820" w:type="dxa"/>
            <w:vAlign w:val="bottom"/>
            <w:gridSpan w:val="7"/>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9"/>
          </w:tcPr>
          <w:p>
            <w:pPr>
              <w:spacing w:after="0" w:line="182"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Detailed discussion</w:t>
              </w:r>
            </w:hyperlink>
          </w:p>
        </w:tc>
        <w:tc>
          <w:tcPr>
            <w:tcW w:w="3060" w:type="dxa"/>
            <w:vAlign w:val="bottom"/>
            <w:gridSpan w:val="23"/>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Section 16(a) beneficial ownership reporting compliance</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Compensation philosophy and elements</w:t>
              </w:r>
            </w:hyperlink>
          </w:p>
        </w:tc>
        <w:tc>
          <w:tcPr>
            <w:tcW w:w="1220" w:type="dxa"/>
            <w:vAlign w:val="bottom"/>
            <w:gridSpan w:val="6"/>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Telephone and internet voting</w:t>
              </w:r>
            </w:hyperlink>
          </w:p>
        </w:tc>
        <w:tc>
          <w:tcPr>
            <w:tcW w:w="2360" w:type="dxa"/>
            <w:vAlign w:val="bottom"/>
            <w:gridSpan w:val="18"/>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Comparator group</w:t>
              </w:r>
            </w:hyperlink>
          </w:p>
        </w:tc>
        <w:tc>
          <w:tcPr>
            <w:tcW w:w="2960" w:type="dxa"/>
            <w:vAlign w:val="bottom"/>
            <w:gridSpan w:val="21"/>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Stockholders sharing the same address</w:t>
              </w:r>
            </w:hyperlink>
          </w:p>
        </w:tc>
        <w:tc>
          <w:tcPr>
            <w:tcW w:w="1560" w:type="dxa"/>
            <w:vAlign w:val="bottom"/>
            <w:gridSpan w:val="1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gridSpan w:val="3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Analysis of compensation determinations</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Electronic delivery of proxy materials and copies of our</w:t>
              </w:r>
            </w:hyperlink>
          </w:p>
        </w:tc>
        <w:tc>
          <w:tcPr>
            <w:tcW w:w="46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Equity dilution</w:t>
              </w:r>
            </w:hyperlink>
          </w:p>
        </w:tc>
        <w:tc>
          <w:tcPr>
            <w:tcW w:w="2140" w:type="dxa"/>
            <w:vAlign w:val="bottom"/>
            <w:tcBorders>
              <w:top w:val="single" w:sz="8" w:color="0000EE"/>
            </w:tcBorders>
            <w:gridSpan w:val="20"/>
          </w:tcPr>
          <w:p>
            <w:pPr>
              <w:spacing w:after="0"/>
              <w:rPr>
                <w:sz w:val="15"/>
                <w:szCs w:val="15"/>
                <w:color w:val="auto"/>
              </w:rPr>
            </w:pPr>
          </w:p>
        </w:tc>
        <w:tc>
          <w:tcPr>
            <w:tcW w:w="1160" w:type="dxa"/>
            <w:vAlign w:val="bottom"/>
            <w:gridSpan w:val="5"/>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1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Form 10-K</w:t>
              </w:r>
            </w:hyperlink>
          </w:p>
        </w:tc>
        <w:tc>
          <w:tcPr>
            <w:tcW w:w="36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gridSpan w:val="31"/>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Process for equity grants</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5"/>
                <w:szCs w:val="15"/>
                <w:color w:val="auto"/>
              </w:rPr>
            </w:pPr>
          </w:p>
        </w:tc>
        <w:tc>
          <w:tcPr>
            <w:tcW w:w="4900" w:type="dxa"/>
            <w:vAlign w:val="bottom"/>
            <w:gridSpan w:val="31"/>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Notice regarding forward-looking statements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17"/>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Recoupment policy</w:t>
              </w:r>
            </w:hyperlink>
          </w:p>
        </w:tc>
        <w:tc>
          <w:tcPr>
            <w:tcW w:w="2440" w:type="dxa"/>
            <w:vAlign w:val="bottom"/>
            <w:gridSpan w:val="14"/>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5"/>
                <w:szCs w:val="15"/>
                <w:color w:val="auto"/>
              </w:rPr>
            </w:pPr>
          </w:p>
        </w:tc>
        <w:tc>
          <w:tcPr>
            <w:tcW w:w="4900" w:type="dxa"/>
            <w:vAlign w:val="bottom"/>
            <w:gridSpan w:val="31"/>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Directions and other annual meeting information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gridSpan w:val="1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gridSpan w:val="29"/>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Most recent stockholder advisory vote on executive</w:t>
              </w:r>
            </w:hyperlink>
          </w:p>
        </w:tc>
        <w:tc>
          <w:tcPr>
            <w:tcW w:w="3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00" w:type="dxa"/>
            <w:vAlign w:val="bottom"/>
            <w:gridSpan w:val="31"/>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Appendix A (Non-GAAP reconciliations)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163"/>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180" w:type="dxa"/>
            <w:vAlign w:val="bottom"/>
            <w:tcBorders>
              <w:top w:val="single" w:sz="8" w:color="0000EE"/>
              <w:bottom w:val="single" w:sz="8" w:color="0000EE"/>
            </w:tcBorders>
            <w:gridSpan w:val="7"/>
          </w:tcPr>
          <w:p>
            <w:pPr>
              <w:spacing w:after="0" w:line="163" w:lineRule="exact"/>
              <w:rPr>
                <w:rFonts w:ascii="Arial" w:cs="Arial" w:eastAsia="Arial" w:hAnsi="Arial"/>
                <w:sz w:val="18"/>
                <w:szCs w:val="18"/>
                <w:color w:val="0000EE"/>
              </w:rPr>
            </w:pPr>
            <w:hyperlink w:anchor="page30">
              <w:r>
                <w:rPr>
                  <w:rFonts w:ascii="Arial" w:cs="Arial" w:eastAsia="Arial" w:hAnsi="Arial"/>
                  <w:sz w:val="18"/>
                  <w:szCs w:val="18"/>
                  <w:color w:val="0000EE"/>
                </w:rPr>
                <w:t>compensation</w:t>
              </w:r>
            </w:hyperlink>
          </w:p>
        </w:tc>
        <w:tc>
          <w:tcPr>
            <w:tcW w:w="2720" w:type="dxa"/>
            <w:vAlign w:val="bottom"/>
            <w:tcBorders>
              <w:top w:val="single" w:sz="8" w:color="0000EE"/>
            </w:tcBorders>
            <w:gridSpan w:val="21"/>
          </w:tcPr>
          <w:p>
            <w:pPr>
              <w:spacing w:after="0"/>
              <w:rPr>
                <w:sz w:val="14"/>
                <w:szCs w:val="14"/>
                <w:color w:val="auto"/>
              </w:rPr>
            </w:pPr>
          </w:p>
        </w:tc>
        <w:tc>
          <w:tcPr>
            <w:tcW w:w="340" w:type="dxa"/>
            <w:vAlign w:val="bottom"/>
            <w:gridSpan w:val="2"/>
          </w:tcPr>
          <w:p>
            <w:pPr>
              <w:spacing w:after="0"/>
              <w:rPr>
                <w:sz w:val="14"/>
                <w:szCs w:val="14"/>
                <w:color w:val="auto"/>
              </w:rPr>
            </w:pPr>
          </w:p>
        </w:tc>
        <w:tc>
          <w:tcPr>
            <w:tcW w:w="560" w:type="dxa"/>
            <w:vAlign w:val="bottom"/>
          </w:tcPr>
          <w:p>
            <w:pPr>
              <w:jc w:val="right"/>
              <w:ind w:right="70"/>
              <w:spacing w:after="0" w:line="163"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gridSpan w:val="3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Benefits</w:t>
              </w:r>
            </w:hyperlink>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2480" w:type="dxa"/>
            <w:vAlign w:val="bottom"/>
            <w:gridSpan w:val="1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gridSpan w:val="3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following employment termination or</w:t>
              </w:r>
            </w:hyperlink>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change in control</w:t>
              </w:r>
            </w:hyperlink>
          </w:p>
        </w:tc>
        <w:tc>
          <w:tcPr>
            <w:tcW w:w="340" w:type="dxa"/>
            <w:vAlign w:val="bottom"/>
            <w:gridSpan w:val="2"/>
          </w:tcPr>
          <w:p>
            <w:pPr>
              <w:spacing w:after="0"/>
              <w:rPr>
                <w:sz w:val="15"/>
                <w:szCs w:val="15"/>
                <w:color w:val="auto"/>
              </w:rPr>
            </w:pPr>
          </w:p>
        </w:tc>
        <w:tc>
          <w:tcPr>
            <w:tcW w:w="5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29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450"/>
        </w:trPr>
        <w:tc>
          <w:tcPr>
            <w:tcW w:w="180" w:type="dxa"/>
            <w:vAlign w:val="bottom"/>
          </w:tcPr>
          <w:p>
            <w:pPr>
              <w:spacing w:after="0"/>
              <w:rPr>
                <w:sz w:val="20"/>
                <w:szCs w:val="20"/>
                <w:color w:val="auto"/>
              </w:rPr>
            </w:pPr>
            <w:r>
              <w:rPr>
                <w:rFonts w:ascii="Arial" w:cs="Arial" w:eastAsia="Arial" w:hAnsi="Arial"/>
                <w:sz w:val="13"/>
                <w:szCs w:val="13"/>
                <w:color w:val="666666"/>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6"/>
          </w:tcPr>
          <w:p>
            <w:pPr>
              <w:jc w:val="right"/>
              <w:spacing w:after="0"/>
              <w:rPr>
                <w:sz w:val="20"/>
                <w:szCs w:val="20"/>
                <w:color w:val="auto"/>
              </w:rPr>
            </w:pPr>
            <w:r>
              <w:rPr>
                <w:rFonts w:ascii="Arial" w:cs="Arial" w:eastAsia="Arial" w:hAnsi="Arial"/>
                <w:sz w:val="13"/>
                <w:szCs w:val="13"/>
                <w:color w:val="666666"/>
              </w:rPr>
              <w:t>TEXAS INSTRUMENTS</w:t>
            </w:r>
          </w:p>
        </w:tc>
        <w:tc>
          <w:tcPr>
            <w:tcW w:w="5200" w:type="dxa"/>
            <w:vAlign w:val="bottom"/>
            <w:gridSpan w:val="32"/>
          </w:tcPr>
          <w:p>
            <w:pPr>
              <w:ind w:left="80"/>
              <w:spacing w:after="0"/>
              <w:rPr>
                <w:sz w:val="20"/>
                <w:szCs w:val="20"/>
                <w:color w:val="auto"/>
              </w:rPr>
            </w:pPr>
            <w:r>
              <w:rPr>
                <w:rFonts w:ascii="Arial" w:cs="Arial" w:eastAsia="Arial" w:hAnsi="Arial"/>
                <w:sz w:val="13"/>
                <w:szCs w:val="13"/>
                <w:color w:val="666666"/>
              </w:rPr>
              <w:t>•  2017 PROXY STATEMENT</w:t>
            </w:r>
          </w:p>
        </w:tc>
        <w:tc>
          <w:tcPr>
            <w:tcW w:w="4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 MARCH 6,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TEXAS 75243</w:t>
      </w:r>
    </w:p>
    <w:p>
      <w:pPr>
        <w:spacing w:after="0"/>
        <w:rPr>
          <w:sz w:val="20"/>
          <w:szCs w:val="20"/>
          <w:color w:val="auto"/>
        </w:rPr>
      </w:pPr>
      <w:r>
        <w:rPr>
          <w:rFonts w:ascii="Arial" w:cs="Arial" w:eastAsia="Arial" w:hAnsi="Arial"/>
          <w:sz w:val="18"/>
          <w:szCs w:val="18"/>
          <w:color w:val="auto"/>
        </w:rPr>
        <w:t>MAILING ADDRESS: P.O. BOX 660199, DALLAS, TEXAS 75266-0199</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TI’s board of directors requests your proxy for the annual meeting of stockholders on April 20, 2017.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6, 2017.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0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212" w:lineRule="exact"/>
        <w:rPr>
          <w:sz w:val="20"/>
          <w:szCs w:val="20"/>
          <w:color w:val="auto"/>
        </w:rPr>
      </w:pPr>
    </w:p>
    <w:p>
      <w:pPr>
        <w:ind w:left="120"/>
        <w:spacing w:after="0"/>
        <w:tabs>
          <w:tab w:leader="none" w:pos="4920" w:val="left"/>
          <w:tab w:leader="none" w:pos="8340" w:val="left"/>
        </w:tabs>
        <w:rPr>
          <w:sz w:val="20"/>
          <w:szCs w:val="20"/>
          <w:color w:val="auto"/>
        </w:rPr>
      </w:pPr>
      <w:r>
        <w:rPr>
          <w:rFonts w:ascii="Arial" w:cs="Arial" w:eastAsia="Arial" w:hAnsi="Arial"/>
          <w:sz w:val="14"/>
          <w:szCs w:val="14"/>
          <w:b w:val="1"/>
          <w:bCs w:val="1"/>
          <w:color w:val="auto"/>
        </w:rPr>
        <w:t>Matter</w:t>
      </w:r>
      <w:r>
        <w:rPr>
          <w:sz w:val="20"/>
          <w:szCs w:val="20"/>
          <w:color w:val="auto"/>
        </w:rPr>
        <w:tab/>
      </w:r>
      <w:r>
        <w:rPr>
          <w:rFonts w:ascii="Arial" w:cs="Arial" w:eastAsia="Arial" w:hAnsi="Arial"/>
          <w:sz w:val="14"/>
          <w:szCs w:val="14"/>
          <w:b w:val="1"/>
          <w:bCs w:val="1"/>
          <w:color w:val="auto"/>
        </w:rPr>
        <w:t>Required Vote for Election or Approval</w:t>
      </w:r>
      <w:r>
        <w:rPr>
          <w:sz w:val="20"/>
          <w:szCs w:val="20"/>
          <w:color w:val="auto"/>
        </w:rPr>
        <w:tab/>
      </w:r>
      <w:r>
        <w:rPr>
          <w:rFonts w:ascii="Arial" w:cs="Arial" w:eastAsia="Arial" w:hAnsi="Arial"/>
          <w:sz w:val="14"/>
          <w:szCs w:val="14"/>
          <w:b w:val="1"/>
          <w:bCs w:val="1"/>
          <w:color w:val="auto"/>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00" w:right="1100" w:hanging="9"/>
        <w:spacing w:after="0" w:line="246" w:lineRule="auto"/>
        <w:rPr>
          <w:sz w:val="20"/>
          <w:szCs w:val="20"/>
          <w:color w:val="auto"/>
        </w:rPr>
      </w:pPr>
      <w:r>
        <w:rPr>
          <w:rFonts w:ascii="Arial" w:cs="Arial" w:eastAsia="Arial" w:hAnsi="Arial"/>
          <w:sz w:val="18"/>
          <w:szCs w:val="18"/>
          <w:color w:val="auto"/>
        </w:rPr>
        <w:t>Advisory vote to approve named executive officer compensation.</w:t>
      </w:r>
    </w:p>
    <w:p>
      <w:pPr>
        <w:spacing w:after="0" w:line="183" w:lineRule="exact"/>
        <w:rPr>
          <w:sz w:val="20"/>
          <w:szCs w:val="20"/>
          <w:color w:val="auto"/>
        </w:rPr>
      </w:pPr>
    </w:p>
    <w:p>
      <w:pPr>
        <w:ind w:left="100" w:right="660" w:hanging="9"/>
        <w:spacing w:after="0"/>
        <w:rPr>
          <w:sz w:val="20"/>
          <w:szCs w:val="20"/>
          <w:color w:val="auto"/>
        </w:rPr>
      </w:pPr>
      <w:r>
        <w:rPr>
          <w:rFonts w:ascii="Arial" w:cs="Arial" w:eastAsia="Arial" w:hAnsi="Arial"/>
          <w:sz w:val="18"/>
          <w:szCs w:val="18"/>
          <w:color w:val="auto"/>
        </w:rPr>
        <w:t>Advisory vote on approval of annual frequency for future advisory votes on executive compensation.</w:t>
      </w:r>
    </w:p>
    <w:p>
      <w:pPr>
        <w:ind w:left="100" w:right="1080"/>
        <w:spacing w:after="0"/>
        <w:rPr>
          <w:sz w:val="20"/>
          <w:szCs w:val="20"/>
          <w:color w:val="auto"/>
        </w:rPr>
      </w:pPr>
      <w:r>
        <w:rPr>
          <w:rFonts w:ascii="Arial" w:cs="Arial" w:eastAsia="Arial" w:hAnsi="Arial"/>
          <w:sz w:val="18"/>
          <w:szCs w:val="18"/>
          <w:color w:val="auto"/>
        </w:rPr>
        <w:t>Proposal to ratify appointment of independent registered public accounting firm.</w:t>
      </w:r>
    </w:p>
    <w:p>
      <w:pPr>
        <w:spacing w:after="0" w:line="200" w:lineRule="exact"/>
        <w:rPr>
          <w:sz w:val="20"/>
          <w:szCs w:val="20"/>
          <w:color w:val="auto"/>
        </w:rPr>
      </w:pPr>
    </w:p>
    <w:p>
      <w:pPr>
        <w:spacing w:after="0" w:line="395" w:lineRule="exact"/>
        <w:rPr>
          <w:sz w:val="20"/>
          <w:szCs w:val="20"/>
          <w:color w:val="auto"/>
        </w:rPr>
      </w:pPr>
    </w:p>
    <w:p>
      <w:pPr>
        <w:ind w:left="100" w:right="660" w:hanging="9"/>
        <w:spacing w:after="0" w:line="246" w:lineRule="auto"/>
        <w:rPr>
          <w:sz w:val="20"/>
          <w:szCs w:val="20"/>
          <w:color w:val="auto"/>
        </w:rPr>
      </w:pPr>
      <w:r>
        <w:rPr>
          <w:rFonts w:ascii="Arial" w:cs="Arial" w:eastAsia="Arial" w:hAnsi="Arial"/>
          <w:sz w:val="18"/>
          <w:szCs w:val="18"/>
          <w:color w:val="auto"/>
        </w:rPr>
        <w:t>Any other matter that may properly be submitted at the meeting.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Majority of votes present in person or by proxy at the meeting and entitled to be cast in the election with respect to a nominee must be cast for that nominee.</w:t>
      </w:r>
    </w:p>
    <w:p>
      <w:pPr>
        <w:spacing w:after="0" w:line="3"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-383540</wp:posOffset>
            </wp:positionV>
            <wp:extent cx="724662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jc w:val="both"/>
        <w:ind w:right="180"/>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jc w:val="both"/>
        <w:ind w:right="180"/>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-393065</wp:posOffset>
            </wp:positionV>
            <wp:extent cx="7246620" cy="771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Abstentions have the same effect as votes against. Broker non-votes are not counted as votes for or against.</w:t>
      </w:r>
    </w:p>
    <w:p>
      <w:pPr>
        <w:spacing w:after="0" w:line="1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8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9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Abstentions have the same effect as votes against. (Brokers are permitted to exercise their discretion and vote without specific instruction on this matter. Accordingly, there are no broker non-votes.)</w:t>
      </w:r>
    </w:p>
    <w:p>
      <w:pPr>
        <w:spacing w:after="0" w:line="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326" w:lineRule="exact"/>
        <w:rPr>
          <w:sz w:val="20"/>
          <w:szCs w:val="20"/>
          <w:color w:val="auto"/>
        </w:rPr>
      </w:pPr>
    </w:p>
    <w:p>
      <w:pPr>
        <w:sectPr>
          <w:pgSz w:w="11900" w:h="16838" w:orient="portrait"/>
          <w:cols w:equalWidth="0" w:num="3">
            <w:col w:w="3780" w:space="720"/>
            <w:col w:w="3440" w:space="300"/>
            <w:col w:w="3180"/>
          </w:cols>
          <w:pgMar w:left="240" w:top="459" w:right="239" w:bottom="1440" w:gutter="0" w:footer="0" w:header="0"/>
          <w:type w:val="continuous"/>
        </w:sect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3</w:t>
            </w:r>
          </w:p>
        </w:tc>
      </w:tr>
    </w:tbl>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Attendance requirements</w:t>
      </w:r>
    </w:p>
    <w:p>
      <w:pPr>
        <w:spacing w:after="0" w:line="20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Attendance at the meeting is limited to stockholders or their legal proxy holders. Each attendee must present a government-issued photo ID and proof of ownership (see table below) as of the record date. You are a record holder if you hold your shares through our transfer agent, Computershare. You are a beneficial holder if you hold your shares through an intermediary, such as a bank or a broker. If you are a beneficial holder and wish to vote your shares at the meeting, you must bring a legal proxy from your broker, bank or nominee. Guest tickets are not available. Exceptions may be granted to stockholders who require a companion ticket in order to facilitate their own attendance (for example, due to a physical disability) by contacting Investor Relations.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Proof of Ownership</w:t>
            </w:r>
          </w:p>
        </w:tc>
        <w:tc>
          <w:tcPr>
            <w:tcW w:w="2580" w:type="dxa"/>
            <w:vAlign w:val="bottom"/>
            <w:tcBorders>
              <w:bottom w:val="single" w:sz="8" w:color="auto"/>
            </w:tcBorders>
          </w:tcPr>
          <w:p>
            <w:pPr>
              <w:jc w:val="center"/>
              <w:ind w:left="1214"/>
              <w:spacing w:after="0"/>
              <w:rPr>
                <w:sz w:val="20"/>
                <w:szCs w:val="20"/>
                <w:color w:val="auto"/>
              </w:rPr>
            </w:pPr>
            <w:r>
              <w:rPr>
                <w:rFonts w:ascii="Arial" w:cs="Arial" w:eastAsia="Arial" w:hAnsi="Arial"/>
                <w:sz w:val="14"/>
                <w:szCs w:val="14"/>
                <w:b w:val="1"/>
                <w:bCs w:val="1"/>
                <w:color w:val="auto"/>
              </w:rPr>
              <w:t>Record Holder</w:t>
            </w:r>
          </w:p>
        </w:tc>
        <w:tc>
          <w:tcPr>
            <w:tcW w:w="134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rPr>
              <w:t>Beneficial Holder</w:t>
            </w:r>
          </w:p>
        </w:tc>
      </w:tr>
      <w:tr>
        <w:trPr>
          <w:trHeight w:val="196"/>
        </w:trPr>
        <w:tc>
          <w:tcPr>
            <w:tcW w:w="7500" w:type="dxa"/>
            <w:vAlign w:val="bottom"/>
            <w:shd w:val="clear" w:color="auto" w:fill="E5E5E5"/>
          </w:tcPr>
          <w:p>
            <w:pPr>
              <w:ind w:left="100"/>
              <w:spacing w:after="0" w:line="196" w:lineRule="exact"/>
              <w:rPr>
                <w:sz w:val="20"/>
                <w:szCs w:val="20"/>
                <w:color w:val="auto"/>
              </w:rPr>
            </w:pPr>
            <w:r>
              <w:rPr>
                <w:rFonts w:ascii="Arial" w:cs="Arial" w:eastAsia="Arial" w:hAnsi="Arial"/>
                <w:sz w:val="18"/>
                <w:szCs w:val="18"/>
                <w:color w:val="auto"/>
              </w:rPr>
              <w:t>Copy of an account statement showing stock ownership on the record date</w:t>
            </w:r>
          </w:p>
        </w:tc>
        <w:tc>
          <w:tcPr>
            <w:tcW w:w="2580" w:type="dxa"/>
            <w:vAlign w:val="bottom"/>
            <w:shd w:val="clear" w:color="auto" w:fill="E5E5E5"/>
          </w:tcPr>
          <w:p>
            <w:pPr>
              <w:jc w:val="center"/>
              <w:ind w:left="1214"/>
              <w:spacing w:after="0" w:line="196" w:lineRule="exact"/>
              <w:rPr>
                <w:sz w:val="20"/>
                <w:szCs w:val="20"/>
                <w:color w:val="auto"/>
              </w:rPr>
            </w:pPr>
            <w:r>
              <w:rPr>
                <w:rFonts w:ascii="Arial" w:cs="Arial" w:eastAsia="Arial" w:hAnsi="Arial"/>
                <w:sz w:val="18"/>
                <w:szCs w:val="18"/>
                <w:color w:val="auto"/>
                <w:w w:val="99"/>
              </w:rPr>
              <w:t>X</w:t>
            </w:r>
          </w:p>
        </w:tc>
        <w:tc>
          <w:tcPr>
            <w:tcW w:w="1340" w:type="dxa"/>
            <w:vAlign w:val="bottom"/>
            <w:shd w:val="clear" w:color="auto" w:fill="E5E5E5"/>
          </w:tcPr>
          <w:p>
            <w:pPr>
              <w:jc w:val="center"/>
              <w:ind w:left="54"/>
              <w:spacing w:after="0" w:line="196" w:lineRule="exact"/>
              <w:rPr>
                <w:sz w:val="20"/>
                <w:szCs w:val="20"/>
                <w:color w:val="auto"/>
              </w:rPr>
            </w:pPr>
            <w:r>
              <w:rPr>
                <w:rFonts w:ascii="Arial" w:cs="Arial" w:eastAsia="Arial" w:hAnsi="Arial"/>
                <w:sz w:val="18"/>
                <w:szCs w:val="18"/>
                <w:color w:val="auto"/>
                <w:w w:val="99"/>
              </w:rPr>
              <w:t>X</w:t>
            </w:r>
          </w:p>
        </w:tc>
      </w:tr>
      <w:tr>
        <w:trPr>
          <w:trHeight w:val="203"/>
        </w:trPr>
        <w:tc>
          <w:tcPr>
            <w:tcW w:w="7500" w:type="dxa"/>
            <w:vAlign w:val="bottom"/>
          </w:tcPr>
          <w:p>
            <w:pPr>
              <w:ind w:left="100"/>
              <w:spacing w:after="0" w:line="202" w:lineRule="exact"/>
              <w:rPr>
                <w:sz w:val="20"/>
                <w:szCs w:val="20"/>
                <w:color w:val="auto"/>
              </w:rPr>
            </w:pPr>
            <w:r>
              <w:rPr>
                <w:rFonts w:ascii="Arial" w:cs="Arial" w:eastAsia="Arial" w:hAnsi="Arial"/>
                <w:sz w:val="18"/>
                <w:szCs w:val="18"/>
                <w:color w:val="auto"/>
              </w:rPr>
              <w:t>Legal proxy from bank, broker or nominee</w:t>
            </w:r>
          </w:p>
        </w:tc>
        <w:tc>
          <w:tcPr>
            <w:tcW w:w="2580" w:type="dxa"/>
            <w:vAlign w:val="bottom"/>
          </w:tcPr>
          <w:p>
            <w:pPr>
              <w:spacing w:after="0"/>
              <w:rPr>
                <w:sz w:val="17"/>
                <w:szCs w:val="17"/>
                <w:color w:val="auto"/>
              </w:rPr>
            </w:pPr>
          </w:p>
        </w:tc>
        <w:tc>
          <w:tcPr>
            <w:tcW w:w="1340" w:type="dxa"/>
            <w:vAlign w:val="bottom"/>
          </w:tcPr>
          <w:p>
            <w:pPr>
              <w:jc w:val="center"/>
              <w:ind w:left="54"/>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Notice regarding availability of proxy materials (notice and access mailing)</w:t>
            </w:r>
          </w:p>
        </w:tc>
        <w:tc>
          <w:tcPr>
            <w:tcW w:w="2580" w:type="dxa"/>
            <w:vAlign w:val="bottom"/>
            <w:shd w:val="clear" w:color="auto" w:fill="E5E5E5"/>
          </w:tcPr>
          <w:p>
            <w:pPr>
              <w:jc w:val="center"/>
              <w:ind w:left="1214"/>
              <w:spacing w:after="0" w:line="202" w:lineRule="exact"/>
              <w:rPr>
                <w:sz w:val="20"/>
                <w:szCs w:val="20"/>
                <w:color w:val="auto"/>
              </w:rPr>
            </w:pPr>
            <w:r>
              <w:rPr>
                <w:rFonts w:ascii="Arial" w:cs="Arial" w:eastAsia="Arial" w:hAnsi="Arial"/>
                <w:sz w:val="18"/>
                <w:szCs w:val="18"/>
                <w:color w:val="auto"/>
                <w:w w:val="99"/>
              </w:rPr>
              <w:t>X</w:t>
            </w:r>
          </w:p>
        </w:tc>
        <w:tc>
          <w:tcPr>
            <w:tcW w:w="1340" w:type="dxa"/>
            <w:vAlign w:val="bottom"/>
            <w:shd w:val="clear" w:color="auto" w:fill="E5E5E5"/>
          </w:tcPr>
          <w:p>
            <w:pPr>
              <w:jc w:val="center"/>
              <w:ind w:left="54"/>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00" w:type="dxa"/>
            <w:vAlign w:val="bottom"/>
          </w:tcPr>
          <w:p>
            <w:pPr>
              <w:ind w:left="100"/>
              <w:spacing w:after="0" w:line="202" w:lineRule="exact"/>
              <w:rPr>
                <w:sz w:val="20"/>
                <w:szCs w:val="20"/>
                <w:color w:val="auto"/>
              </w:rPr>
            </w:pPr>
            <w:r>
              <w:rPr>
                <w:rFonts w:ascii="Arial" w:cs="Arial" w:eastAsia="Arial" w:hAnsi="Arial"/>
                <w:sz w:val="18"/>
                <w:szCs w:val="18"/>
                <w:color w:val="auto"/>
              </w:rPr>
              <w:t>Copy of voting instruction form</w:t>
            </w:r>
          </w:p>
        </w:tc>
        <w:tc>
          <w:tcPr>
            <w:tcW w:w="2580" w:type="dxa"/>
            <w:vAlign w:val="bottom"/>
          </w:tcPr>
          <w:p>
            <w:pPr>
              <w:spacing w:after="0"/>
              <w:rPr>
                <w:sz w:val="17"/>
                <w:szCs w:val="17"/>
                <w:color w:val="auto"/>
              </w:rPr>
            </w:pPr>
          </w:p>
        </w:tc>
        <w:tc>
          <w:tcPr>
            <w:tcW w:w="1340" w:type="dxa"/>
            <w:vAlign w:val="bottom"/>
          </w:tcPr>
          <w:p>
            <w:pPr>
              <w:jc w:val="center"/>
              <w:ind w:left="54"/>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750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Top half of proxy card</w:t>
            </w:r>
          </w:p>
        </w:tc>
        <w:tc>
          <w:tcPr>
            <w:tcW w:w="2580" w:type="dxa"/>
            <w:vAlign w:val="bottom"/>
            <w:shd w:val="clear" w:color="auto" w:fill="E5E5E5"/>
          </w:tcPr>
          <w:p>
            <w:pPr>
              <w:jc w:val="center"/>
              <w:ind w:left="1214"/>
              <w:spacing w:after="0" w:line="202" w:lineRule="exact"/>
              <w:rPr>
                <w:sz w:val="20"/>
                <w:szCs w:val="20"/>
                <w:color w:val="auto"/>
              </w:rPr>
            </w:pPr>
            <w:r>
              <w:rPr>
                <w:rFonts w:ascii="Arial" w:cs="Arial" w:eastAsia="Arial" w:hAnsi="Arial"/>
                <w:sz w:val="18"/>
                <w:szCs w:val="18"/>
                <w:color w:val="auto"/>
                <w:w w:val="99"/>
              </w:rPr>
              <w:t>X</w:t>
            </w:r>
          </w:p>
        </w:tc>
        <w:tc>
          <w:tcPr>
            <w:tcW w:w="1340" w:type="dxa"/>
            <w:vAlign w:val="bottom"/>
            <w:shd w:val="clear" w:color="auto" w:fill="E5E5E5"/>
          </w:tcPr>
          <w:p>
            <w:pPr>
              <w:spacing w:after="0"/>
              <w:rPr>
                <w:sz w:val="17"/>
                <w:szCs w:val="17"/>
                <w:color w:val="auto"/>
              </w:rPr>
            </w:pPr>
          </w:p>
        </w:tc>
      </w:tr>
    </w:tbl>
    <w:p>
      <w:pPr>
        <w:spacing w:after="0" w:line="21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3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RALPH W. BABB, JR., MARK A. BLINN, TODD M. BLUEDORN, DANIEL A. CARP, JANET F. CLARK, CARRIE S. COX, JEAN M. HOBBY, RONALD KIRK, PAMELA H. PATSLEY, ROBERT E. SANCHEZ, WAYNE R. SANDERS and RICHARD K. TEMPLETON.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Nominees for directorship</w:t>
      </w:r>
    </w:p>
    <w:p>
      <w:pPr>
        <w:spacing w:after="0" w:line="20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All of the nominees for directorship are directors of the company. For a discussion of each nominee’s qualifications to serve as a director of the company, please see “Board diversity and nominee qualifications.” If any nominee becomes unable to serve before the meeting, the persons named as proxies may vote for a substitute or the number of directors will be reduced accordingly.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100" w:lineRule="exact"/>
        <w:rPr>
          <w:sz w:val="20"/>
          <w:szCs w:val="20"/>
          <w:color w:val="auto"/>
        </w:rPr>
      </w:pPr>
    </w:p>
    <w:tbl>
      <w:tblPr>
        <w:tblLayout w:type="fixed"/>
        <w:tblInd w:w="1860" w:type="dxa"/>
        <w:tblCellMar>
          <w:top w:w="0" w:type="dxa"/>
          <w:left w:w="0" w:type="dxa"/>
          <w:bottom w:w="0" w:type="dxa"/>
          <w:right w:w="0" w:type="dxa"/>
        </w:tblCellMar>
      </w:tblPr>
      <w:tr>
        <w:trPr>
          <w:trHeight w:val="209"/>
        </w:trPr>
        <w:tc>
          <w:tcPr>
            <w:tcW w:w="2720" w:type="dxa"/>
            <w:vAlign w:val="bottom"/>
          </w:tcPr>
          <w:p>
            <w:pPr>
              <w:spacing w:after="0"/>
              <w:rPr>
                <w:sz w:val="20"/>
                <w:szCs w:val="20"/>
                <w:color w:val="auto"/>
              </w:rPr>
            </w:pPr>
            <w:r>
              <w:rPr>
                <w:rFonts w:ascii="Arial" w:cs="Arial" w:eastAsia="Arial" w:hAnsi="Arial"/>
                <w:sz w:val="16"/>
                <w:szCs w:val="16"/>
                <w:b w:val="1"/>
                <w:bCs w:val="1"/>
                <w:color w:val="auto"/>
              </w:rPr>
              <w:t>RALPH W. BABB, JR.</w:t>
            </w:r>
          </w:p>
        </w:tc>
        <w:tc>
          <w:tcPr>
            <w:tcW w:w="3560" w:type="dxa"/>
            <w:vAlign w:val="bottom"/>
          </w:tcPr>
          <w:p>
            <w:pPr>
              <w:ind w:left="1060"/>
              <w:spacing w:after="0"/>
              <w:rPr>
                <w:sz w:val="20"/>
                <w:szCs w:val="20"/>
                <w:color w:val="auto"/>
              </w:rPr>
            </w:pPr>
            <w:r>
              <w:rPr>
                <w:rFonts w:ascii="Arial" w:cs="Arial" w:eastAsia="Arial" w:hAnsi="Arial"/>
                <w:sz w:val="16"/>
                <w:szCs w:val="16"/>
                <w:b w:val="1"/>
                <w:bCs w:val="1"/>
                <w:color w:val="auto"/>
              </w:rPr>
              <w:t>JANET F. CLARK</w:t>
            </w:r>
          </w:p>
        </w:tc>
        <w:tc>
          <w:tcPr>
            <w:tcW w:w="3200" w:type="dxa"/>
            <w:vAlign w:val="bottom"/>
          </w:tcPr>
          <w:p>
            <w:pPr>
              <w:ind w:left="1120"/>
              <w:spacing w:after="0"/>
              <w:rPr>
                <w:sz w:val="20"/>
                <w:szCs w:val="20"/>
                <w:color w:val="auto"/>
              </w:rPr>
            </w:pPr>
            <w:r>
              <w:rPr>
                <w:rFonts w:ascii="Arial" w:cs="Arial" w:eastAsia="Arial" w:hAnsi="Arial"/>
                <w:sz w:val="16"/>
                <w:szCs w:val="16"/>
                <w:b w:val="1"/>
                <w:bCs w:val="1"/>
                <w:color w:val="auto"/>
              </w:rPr>
              <w:t>PAMELA H. PATSLEY</w:t>
            </w:r>
          </w:p>
        </w:tc>
      </w:tr>
      <w:tr>
        <w:trPr>
          <w:trHeight w:val="173"/>
        </w:trPr>
        <w:tc>
          <w:tcPr>
            <w:tcW w:w="2720" w:type="dxa"/>
            <w:vAlign w:val="bottom"/>
          </w:tcPr>
          <w:p>
            <w:pPr>
              <w:spacing w:after="0" w:line="173" w:lineRule="exact"/>
              <w:rPr>
                <w:sz w:val="20"/>
                <w:szCs w:val="20"/>
                <w:color w:val="auto"/>
              </w:rPr>
            </w:pPr>
            <w:r>
              <w:rPr>
                <w:rFonts w:ascii="Arial" w:cs="Arial" w:eastAsia="Arial" w:hAnsi="Arial"/>
                <w:sz w:val="16"/>
                <w:szCs w:val="16"/>
                <w:color w:val="auto"/>
              </w:rPr>
              <w:t>Age 68</w:t>
            </w:r>
          </w:p>
        </w:tc>
        <w:tc>
          <w:tcPr>
            <w:tcW w:w="3560" w:type="dxa"/>
            <w:vAlign w:val="bottom"/>
          </w:tcPr>
          <w:p>
            <w:pPr>
              <w:ind w:left="1060"/>
              <w:spacing w:after="0" w:line="173" w:lineRule="exact"/>
              <w:rPr>
                <w:sz w:val="20"/>
                <w:szCs w:val="20"/>
                <w:color w:val="auto"/>
              </w:rPr>
            </w:pPr>
            <w:r>
              <w:rPr>
                <w:rFonts w:ascii="Arial" w:cs="Arial" w:eastAsia="Arial" w:hAnsi="Arial"/>
                <w:sz w:val="16"/>
                <w:szCs w:val="16"/>
                <w:color w:val="auto"/>
              </w:rPr>
              <w:t>Age 62</w:t>
            </w:r>
          </w:p>
        </w:tc>
        <w:tc>
          <w:tcPr>
            <w:tcW w:w="3200" w:type="dxa"/>
            <w:vAlign w:val="bottom"/>
          </w:tcPr>
          <w:p>
            <w:pPr>
              <w:ind w:left="1120"/>
              <w:spacing w:after="0" w:line="173" w:lineRule="exact"/>
              <w:rPr>
                <w:sz w:val="20"/>
                <w:szCs w:val="20"/>
                <w:color w:val="auto"/>
              </w:rPr>
            </w:pPr>
            <w:r>
              <w:rPr>
                <w:rFonts w:ascii="Arial" w:cs="Arial" w:eastAsia="Arial" w:hAnsi="Arial"/>
                <w:sz w:val="16"/>
                <w:szCs w:val="16"/>
                <w:color w:val="auto"/>
              </w:rPr>
              <w:t>Age 60</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Director since 2010</w:t>
            </w:r>
          </w:p>
        </w:tc>
        <w:tc>
          <w:tcPr>
            <w:tcW w:w="3560" w:type="dxa"/>
            <w:vAlign w:val="bottom"/>
          </w:tcPr>
          <w:p>
            <w:pPr>
              <w:ind w:left="1060"/>
              <w:spacing w:after="0"/>
              <w:rPr>
                <w:sz w:val="20"/>
                <w:szCs w:val="20"/>
                <w:color w:val="auto"/>
              </w:rPr>
            </w:pPr>
            <w:r>
              <w:rPr>
                <w:rFonts w:ascii="Arial" w:cs="Arial" w:eastAsia="Arial" w:hAnsi="Arial"/>
                <w:sz w:val="16"/>
                <w:szCs w:val="16"/>
                <w:color w:val="auto"/>
              </w:rPr>
              <w:t>Director since 2015</w:t>
            </w:r>
          </w:p>
        </w:tc>
        <w:tc>
          <w:tcPr>
            <w:tcW w:w="3200" w:type="dxa"/>
            <w:vAlign w:val="bottom"/>
          </w:tcPr>
          <w:p>
            <w:pPr>
              <w:ind w:left="1120"/>
              <w:spacing w:after="0"/>
              <w:rPr>
                <w:sz w:val="20"/>
                <w:szCs w:val="20"/>
                <w:color w:val="auto"/>
              </w:rPr>
            </w:pPr>
            <w:r>
              <w:rPr>
                <w:rFonts w:ascii="Arial" w:cs="Arial" w:eastAsia="Arial" w:hAnsi="Arial"/>
                <w:sz w:val="16"/>
                <w:szCs w:val="16"/>
                <w:color w:val="auto"/>
              </w:rPr>
              <w:t xml:space="preserve">Director since 2004 </w:t>
            </w:r>
            <w:r>
              <w:rPr>
                <w:rFonts w:ascii="Arial" w:cs="Arial" w:eastAsia="Arial" w:hAnsi="Arial"/>
                <w:sz w:val="16"/>
                <w:szCs w:val="16"/>
                <w:i w:val="1"/>
                <w:iCs w:val="1"/>
                <w:color w:val="auto"/>
              </w:rPr>
              <w:t>Member,</w:t>
            </w:r>
          </w:p>
        </w:tc>
      </w:tr>
      <w:tr>
        <w:trPr>
          <w:trHeight w:val="189"/>
        </w:trPr>
        <w:tc>
          <w:tcPr>
            <w:tcW w:w="2720" w:type="dxa"/>
            <w:vAlign w:val="bottom"/>
          </w:tcPr>
          <w:p>
            <w:pPr>
              <w:spacing w:after="0"/>
              <w:rPr>
                <w:sz w:val="20"/>
                <w:szCs w:val="20"/>
                <w:color w:val="auto"/>
              </w:rPr>
            </w:pPr>
            <w:r>
              <w:rPr>
                <w:rFonts w:ascii="Arial" w:cs="Arial" w:eastAsia="Arial" w:hAnsi="Arial"/>
                <w:sz w:val="16"/>
                <w:szCs w:val="16"/>
                <w:i w:val="1"/>
                <w:iCs w:val="1"/>
                <w:color w:val="auto"/>
              </w:rPr>
              <w:t>Chair, Audit Committee</w:t>
            </w:r>
          </w:p>
        </w:tc>
        <w:tc>
          <w:tcPr>
            <w:tcW w:w="3560" w:type="dxa"/>
            <w:vAlign w:val="bottom"/>
          </w:tcPr>
          <w:p>
            <w:pPr>
              <w:ind w:left="1060"/>
              <w:spacing w:after="0"/>
              <w:rPr>
                <w:sz w:val="20"/>
                <w:szCs w:val="20"/>
                <w:color w:val="auto"/>
              </w:rPr>
            </w:pPr>
            <w:r>
              <w:rPr>
                <w:rFonts w:ascii="Arial" w:cs="Arial" w:eastAsia="Arial" w:hAnsi="Arial"/>
                <w:sz w:val="16"/>
                <w:szCs w:val="16"/>
                <w:i w:val="1"/>
                <w:iCs w:val="1"/>
                <w:color w:val="auto"/>
              </w:rPr>
              <w:t>Member, Audit</w:t>
            </w:r>
          </w:p>
        </w:tc>
        <w:tc>
          <w:tcPr>
            <w:tcW w:w="3200" w:type="dxa"/>
            <w:vAlign w:val="bottom"/>
          </w:tcPr>
          <w:p>
            <w:pPr>
              <w:ind w:left="1120"/>
              <w:spacing w:after="0"/>
              <w:rPr>
                <w:sz w:val="20"/>
                <w:szCs w:val="20"/>
                <w:color w:val="auto"/>
              </w:rPr>
            </w:pPr>
            <w:r>
              <w:rPr>
                <w:rFonts w:ascii="Arial" w:cs="Arial" w:eastAsia="Arial" w:hAnsi="Arial"/>
                <w:sz w:val="16"/>
                <w:szCs w:val="16"/>
                <w:i w:val="1"/>
                <w:iCs w:val="1"/>
                <w:color w:val="auto"/>
              </w:rPr>
              <w:t>Compensation Committee</w:t>
            </w:r>
          </w:p>
        </w:tc>
      </w:tr>
      <w:tr>
        <w:trPr>
          <w:trHeight w:val="211"/>
        </w:trPr>
        <w:tc>
          <w:tcPr>
            <w:tcW w:w="2720" w:type="dxa"/>
            <w:vAlign w:val="bottom"/>
          </w:tcPr>
          <w:p>
            <w:pPr>
              <w:spacing w:after="0"/>
              <w:rPr>
                <w:sz w:val="18"/>
                <w:szCs w:val="18"/>
                <w:color w:val="auto"/>
              </w:rPr>
            </w:pPr>
          </w:p>
        </w:tc>
        <w:tc>
          <w:tcPr>
            <w:tcW w:w="3560" w:type="dxa"/>
            <w:vAlign w:val="bottom"/>
          </w:tcPr>
          <w:p>
            <w:pPr>
              <w:ind w:left="1060"/>
              <w:spacing w:after="0"/>
              <w:rPr>
                <w:sz w:val="20"/>
                <w:szCs w:val="20"/>
                <w:color w:val="auto"/>
              </w:rPr>
            </w:pPr>
            <w:r>
              <w:rPr>
                <w:rFonts w:ascii="Arial" w:cs="Arial" w:eastAsia="Arial" w:hAnsi="Arial"/>
                <w:sz w:val="16"/>
                <w:szCs w:val="16"/>
                <w:i w:val="1"/>
                <w:iCs w:val="1"/>
                <w:color w:val="auto"/>
              </w:rPr>
              <w:t>Committee</w:t>
            </w:r>
          </w:p>
        </w:tc>
        <w:tc>
          <w:tcPr>
            <w:tcW w:w="3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805815" cy="969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-604520</wp:posOffset>
            </wp:positionV>
            <wp:extent cx="805815" cy="969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860" w:type="dxa"/>
        <w:tblCellMar>
          <w:top w:w="0" w:type="dxa"/>
          <w:left w:w="0" w:type="dxa"/>
          <w:bottom w:w="0" w:type="dxa"/>
          <w:right w:w="0" w:type="dxa"/>
        </w:tblCellMar>
      </w:tblPr>
      <w:tr>
        <w:trPr>
          <w:trHeight w:val="209"/>
        </w:trPr>
        <w:tc>
          <w:tcPr>
            <w:tcW w:w="2580" w:type="dxa"/>
            <w:vAlign w:val="bottom"/>
          </w:tcPr>
          <w:p>
            <w:pPr>
              <w:spacing w:after="0"/>
              <w:rPr>
                <w:sz w:val="20"/>
                <w:szCs w:val="20"/>
                <w:color w:val="auto"/>
              </w:rPr>
            </w:pPr>
            <w:r>
              <w:rPr>
                <w:rFonts w:ascii="Arial" w:cs="Arial" w:eastAsia="Arial" w:hAnsi="Arial"/>
                <w:sz w:val="16"/>
                <w:szCs w:val="16"/>
                <w:b w:val="1"/>
                <w:bCs w:val="1"/>
                <w:color w:val="auto"/>
              </w:rPr>
              <w:t>MARK A. BLINN</w:t>
            </w:r>
          </w:p>
        </w:tc>
        <w:tc>
          <w:tcPr>
            <w:tcW w:w="3780" w:type="dxa"/>
            <w:vAlign w:val="bottom"/>
          </w:tcPr>
          <w:p>
            <w:pPr>
              <w:ind w:left="1200"/>
              <w:spacing w:after="0"/>
              <w:rPr>
                <w:sz w:val="20"/>
                <w:szCs w:val="20"/>
                <w:color w:val="auto"/>
              </w:rPr>
            </w:pPr>
            <w:r>
              <w:rPr>
                <w:rFonts w:ascii="Arial" w:cs="Arial" w:eastAsia="Arial" w:hAnsi="Arial"/>
                <w:sz w:val="16"/>
                <w:szCs w:val="16"/>
                <w:b w:val="1"/>
                <w:bCs w:val="1"/>
                <w:color w:val="auto"/>
              </w:rPr>
              <w:t>CARRIE S. COX</w:t>
            </w:r>
          </w:p>
        </w:tc>
        <w:tc>
          <w:tcPr>
            <w:tcW w:w="2740" w:type="dxa"/>
            <w:vAlign w:val="bottom"/>
          </w:tcPr>
          <w:p>
            <w:pPr>
              <w:ind w:left="1040"/>
              <w:spacing w:after="0"/>
              <w:rPr>
                <w:sz w:val="20"/>
                <w:szCs w:val="20"/>
                <w:color w:val="auto"/>
              </w:rPr>
            </w:pPr>
            <w:r>
              <w:rPr>
                <w:rFonts w:ascii="Arial" w:cs="Arial" w:eastAsia="Arial" w:hAnsi="Arial"/>
                <w:sz w:val="16"/>
                <w:szCs w:val="16"/>
                <w:b w:val="1"/>
                <w:bCs w:val="1"/>
                <w:color w:val="auto"/>
                <w:w w:val="99"/>
              </w:rPr>
              <w:t>ROBERT E. SANCHEZ</w:t>
            </w: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Age 55</w:t>
            </w:r>
          </w:p>
        </w:tc>
        <w:tc>
          <w:tcPr>
            <w:tcW w:w="3780" w:type="dxa"/>
            <w:vAlign w:val="bottom"/>
          </w:tcPr>
          <w:p>
            <w:pPr>
              <w:ind w:left="1200"/>
              <w:spacing w:after="0"/>
              <w:rPr>
                <w:sz w:val="20"/>
                <w:szCs w:val="20"/>
                <w:color w:val="auto"/>
              </w:rPr>
            </w:pPr>
            <w:r>
              <w:rPr>
                <w:rFonts w:ascii="Arial" w:cs="Arial" w:eastAsia="Arial" w:hAnsi="Arial"/>
                <w:sz w:val="16"/>
                <w:szCs w:val="16"/>
                <w:color w:val="auto"/>
              </w:rPr>
              <w:t>Age 59</w:t>
            </w:r>
          </w:p>
        </w:tc>
        <w:tc>
          <w:tcPr>
            <w:tcW w:w="2740" w:type="dxa"/>
            <w:vAlign w:val="bottom"/>
          </w:tcPr>
          <w:p>
            <w:pPr>
              <w:ind w:left="1040"/>
              <w:spacing w:after="0"/>
              <w:rPr>
                <w:sz w:val="20"/>
                <w:szCs w:val="20"/>
                <w:color w:val="auto"/>
              </w:rPr>
            </w:pPr>
            <w:r>
              <w:rPr>
                <w:rFonts w:ascii="Arial" w:cs="Arial" w:eastAsia="Arial" w:hAnsi="Arial"/>
                <w:sz w:val="16"/>
                <w:szCs w:val="16"/>
                <w:color w:val="auto"/>
              </w:rPr>
              <w:t>Age 51</w:t>
            </w:r>
          </w:p>
        </w:tc>
      </w:tr>
      <w:tr>
        <w:trPr>
          <w:trHeight w:val="173"/>
        </w:trPr>
        <w:tc>
          <w:tcPr>
            <w:tcW w:w="2580" w:type="dxa"/>
            <w:vAlign w:val="bottom"/>
          </w:tcPr>
          <w:p>
            <w:pPr>
              <w:spacing w:after="0" w:line="173" w:lineRule="exact"/>
              <w:rPr>
                <w:sz w:val="20"/>
                <w:szCs w:val="20"/>
                <w:color w:val="auto"/>
              </w:rPr>
            </w:pPr>
            <w:r>
              <w:rPr>
                <w:rFonts w:ascii="Arial" w:cs="Arial" w:eastAsia="Arial" w:hAnsi="Arial"/>
                <w:sz w:val="16"/>
                <w:szCs w:val="16"/>
                <w:color w:val="auto"/>
              </w:rPr>
              <w:t>Director since 2013</w:t>
            </w:r>
          </w:p>
        </w:tc>
        <w:tc>
          <w:tcPr>
            <w:tcW w:w="3780" w:type="dxa"/>
            <w:vAlign w:val="bottom"/>
          </w:tcPr>
          <w:p>
            <w:pPr>
              <w:ind w:left="1200"/>
              <w:spacing w:after="0" w:line="173" w:lineRule="exact"/>
              <w:rPr>
                <w:sz w:val="20"/>
                <w:szCs w:val="20"/>
                <w:color w:val="auto"/>
              </w:rPr>
            </w:pPr>
            <w:r>
              <w:rPr>
                <w:rFonts w:ascii="Arial" w:cs="Arial" w:eastAsia="Arial" w:hAnsi="Arial"/>
                <w:sz w:val="16"/>
                <w:szCs w:val="16"/>
                <w:color w:val="auto"/>
              </w:rPr>
              <w:t>Director since 2004</w:t>
            </w:r>
          </w:p>
        </w:tc>
        <w:tc>
          <w:tcPr>
            <w:tcW w:w="2740" w:type="dxa"/>
            <w:vAlign w:val="bottom"/>
          </w:tcPr>
          <w:p>
            <w:pPr>
              <w:ind w:left="1040"/>
              <w:spacing w:after="0" w:line="173" w:lineRule="exact"/>
              <w:rPr>
                <w:sz w:val="20"/>
                <w:szCs w:val="20"/>
                <w:color w:val="auto"/>
              </w:rPr>
            </w:pPr>
            <w:r>
              <w:rPr>
                <w:rFonts w:ascii="Arial" w:cs="Arial" w:eastAsia="Arial" w:hAnsi="Arial"/>
                <w:sz w:val="16"/>
                <w:szCs w:val="16"/>
                <w:color w:val="auto"/>
              </w:rPr>
              <w:t>Director since 2011</w:t>
            </w:r>
          </w:p>
        </w:tc>
      </w:tr>
      <w:tr>
        <w:trPr>
          <w:trHeight w:val="189"/>
        </w:trPr>
        <w:tc>
          <w:tcPr>
            <w:tcW w:w="2580" w:type="dxa"/>
            <w:vAlign w:val="bottom"/>
          </w:tcPr>
          <w:p>
            <w:pPr>
              <w:spacing w:after="0"/>
              <w:rPr>
                <w:sz w:val="20"/>
                <w:szCs w:val="20"/>
                <w:color w:val="auto"/>
              </w:rPr>
            </w:pPr>
            <w:r>
              <w:rPr>
                <w:rFonts w:ascii="Arial" w:cs="Arial" w:eastAsia="Arial" w:hAnsi="Arial"/>
                <w:sz w:val="16"/>
                <w:szCs w:val="16"/>
                <w:i w:val="1"/>
                <w:iCs w:val="1"/>
                <w:color w:val="auto"/>
              </w:rPr>
              <w:t>Member, Audit</w:t>
            </w:r>
          </w:p>
        </w:tc>
        <w:tc>
          <w:tcPr>
            <w:tcW w:w="3780" w:type="dxa"/>
            <w:vAlign w:val="bottom"/>
          </w:tcPr>
          <w:p>
            <w:pPr>
              <w:ind w:left="1200"/>
              <w:spacing w:after="0"/>
              <w:rPr>
                <w:sz w:val="20"/>
                <w:szCs w:val="20"/>
                <w:color w:val="auto"/>
              </w:rPr>
            </w:pPr>
            <w:r>
              <w:rPr>
                <w:rFonts w:ascii="Arial" w:cs="Arial" w:eastAsia="Arial" w:hAnsi="Arial"/>
                <w:sz w:val="16"/>
                <w:szCs w:val="16"/>
                <w:i w:val="1"/>
                <w:iCs w:val="1"/>
                <w:color w:val="auto"/>
              </w:rPr>
              <w:t>Member, Governance</w:t>
            </w:r>
          </w:p>
        </w:tc>
        <w:tc>
          <w:tcPr>
            <w:tcW w:w="2740" w:type="dxa"/>
            <w:vAlign w:val="bottom"/>
          </w:tcPr>
          <w:p>
            <w:pPr>
              <w:ind w:left="1040"/>
              <w:spacing w:after="0"/>
              <w:rPr>
                <w:sz w:val="20"/>
                <w:szCs w:val="20"/>
                <w:color w:val="auto"/>
              </w:rPr>
            </w:pPr>
            <w:r>
              <w:rPr>
                <w:rFonts w:ascii="Arial" w:cs="Arial" w:eastAsia="Arial" w:hAnsi="Arial"/>
                <w:sz w:val="16"/>
                <w:szCs w:val="16"/>
                <w:i w:val="1"/>
                <w:iCs w:val="1"/>
                <w:color w:val="auto"/>
              </w:rPr>
              <w:t>Lead Director;</w:t>
            </w:r>
          </w:p>
        </w:tc>
      </w:tr>
      <w:tr>
        <w:trPr>
          <w:trHeight w:val="189"/>
        </w:trPr>
        <w:tc>
          <w:tcPr>
            <w:tcW w:w="2580" w:type="dxa"/>
            <w:vAlign w:val="bottom"/>
          </w:tcPr>
          <w:p>
            <w:pPr>
              <w:spacing w:after="0"/>
              <w:rPr>
                <w:sz w:val="20"/>
                <w:szCs w:val="20"/>
                <w:color w:val="auto"/>
              </w:rPr>
            </w:pPr>
            <w:r>
              <w:rPr>
                <w:rFonts w:ascii="Arial" w:cs="Arial" w:eastAsia="Arial" w:hAnsi="Arial"/>
                <w:sz w:val="16"/>
                <w:szCs w:val="16"/>
                <w:i w:val="1"/>
                <w:iCs w:val="1"/>
                <w:color w:val="auto"/>
              </w:rPr>
              <w:t>Committee</w:t>
            </w:r>
          </w:p>
        </w:tc>
        <w:tc>
          <w:tcPr>
            <w:tcW w:w="3780" w:type="dxa"/>
            <w:vAlign w:val="bottom"/>
          </w:tcPr>
          <w:p>
            <w:pPr>
              <w:ind w:left="1200"/>
              <w:spacing w:after="0"/>
              <w:rPr>
                <w:sz w:val="20"/>
                <w:szCs w:val="20"/>
                <w:color w:val="auto"/>
              </w:rPr>
            </w:pPr>
            <w:r>
              <w:rPr>
                <w:rFonts w:ascii="Arial" w:cs="Arial" w:eastAsia="Arial" w:hAnsi="Arial"/>
                <w:sz w:val="16"/>
                <w:szCs w:val="16"/>
                <w:i w:val="1"/>
                <w:iCs w:val="1"/>
                <w:color w:val="auto"/>
              </w:rPr>
              <w:t>and Stockholder</w:t>
            </w:r>
          </w:p>
        </w:tc>
        <w:tc>
          <w:tcPr>
            <w:tcW w:w="2740" w:type="dxa"/>
            <w:vAlign w:val="bottom"/>
          </w:tcPr>
          <w:p>
            <w:pPr>
              <w:ind w:left="1040"/>
              <w:spacing w:after="0"/>
              <w:rPr>
                <w:sz w:val="20"/>
                <w:szCs w:val="20"/>
                <w:color w:val="auto"/>
              </w:rPr>
            </w:pPr>
            <w:r>
              <w:rPr>
                <w:rFonts w:ascii="Arial" w:cs="Arial" w:eastAsia="Arial" w:hAnsi="Arial"/>
                <w:sz w:val="16"/>
                <w:szCs w:val="16"/>
                <w:i w:val="1"/>
                <w:iCs w:val="1"/>
                <w:color w:val="auto"/>
              </w:rPr>
              <w:t>Chair, Compensation</w:t>
            </w:r>
          </w:p>
        </w:tc>
      </w:tr>
      <w:tr>
        <w:trPr>
          <w:trHeight w:val="211"/>
        </w:trPr>
        <w:tc>
          <w:tcPr>
            <w:tcW w:w="2580" w:type="dxa"/>
            <w:vAlign w:val="bottom"/>
          </w:tcPr>
          <w:p>
            <w:pPr>
              <w:spacing w:after="0"/>
              <w:rPr>
                <w:sz w:val="18"/>
                <w:szCs w:val="18"/>
                <w:color w:val="auto"/>
              </w:rPr>
            </w:pPr>
          </w:p>
        </w:tc>
        <w:tc>
          <w:tcPr>
            <w:tcW w:w="3780" w:type="dxa"/>
            <w:vAlign w:val="bottom"/>
          </w:tcPr>
          <w:p>
            <w:pPr>
              <w:ind w:left="1200"/>
              <w:spacing w:after="0"/>
              <w:rPr>
                <w:sz w:val="20"/>
                <w:szCs w:val="20"/>
                <w:color w:val="auto"/>
              </w:rPr>
            </w:pPr>
            <w:r>
              <w:rPr>
                <w:rFonts w:ascii="Arial" w:cs="Arial" w:eastAsia="Arial" w:hAnsi="Arial"/>
                <w:sz w:val="16"/>
                <w:szCs w:val="16"/>
                <w:i w:val="1"/>
                <w:iCs w:val="1"/>
                <w:color w:val="auto"/>
              </w:rPr>
              <w:t>Relations Committee</w:t>
            </w:r>
          </w:p>
        </w:tc>
        <w:tc>
          <w:tcPr>
            <w:tcW w:w="2740" w:type="dxa"/>
            <w:vAlign w:val="bottom"/>
          </w:tcPr>
          <w:p>
            <w:pPr>
              <w:ind w:left="1040"/>
              <w:spacing w:after="0"/>
              <w:rPr>
                <w:sz w:val="20"/>
                <w:szCs w:val="20"/>
                <w:color w:val="auto"/>
              </w:rPr>
            </w:pPr>
            <w:r>
              <w:rPr>
                <w:rFonts w:ascii="Arial" w:cs="Arial" w:eastAsia="Arial" w:hAnsi="Arial"/>
                <w:sz w:val="16"/>
                <w:szCs w:val="16"/>
                <w:i w:val="1"/>
                <w:i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-724535</wp:posOffset>
            </wp:positionV>
            <wp:extent cx="805815" cy="969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-724535</wp:posOffset>
            </wp:positionV>
            <wp:extent cx="805815" cy="969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-724535</wp:posOffset>
            </wp:positionV>
            <wp:extent cx="805815" cy="969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860" w:type="dxa"/>
        <w:tblCellMar>
          <w:top w:w="0" w:type="dxa"/>
          <w:left w:w="0" w:type="dxa"/>
          <w:bottom w:w="0" w:type="dxa"/>
          <w:right w:w="0" w:type="dxa"/>
        </w:tblCellMar>
      </w:tblPr>
      <w:tr>
        <w:trPr>
          <w:trHeight w:val="209"/>
        </w:trPr>
        <w:tc>
          <w:tcPr>
            <w:tcW w:w="2720" w:type="dxa"/>
            <w:vAlign w:val="bottom"/>
          </w:tcPr>
          <w:p>
            <w:pPr>
              <w:spacing w:after="0"/>
              <w:rPr>
                <w:sz w:val="20"/>
                <w:szCs w:val="20"/>
                <w:color w:val="auto"/>
              </w:rPr>
            </w:pPr>
            <w:r>
              <w:rPr>
                <w:rFonts w:ascii="Arial" w:cs="Arial" w:eastAsia="Arial" w:hAnsi="Arial"/>
                <w:sz w:val="16"/>
                <w:szCs w:val="16"/>
                <w:b w:val="1"/>
                <w:bCs w:val="1"/>
                <w:color w:val="auto"/>
              </w:rPr>
              <w:t>TODD M. BLUEDORN</w:t>
            </w:r>
          </w:p>
        </w:tc>
        <w:tc>
          <w:tcPr>
            <w:tcW w:w="3560" w:type="dxa"/>
            <w:vAlign w:val="bottom"/>
          </w:tcPr>
          <w:p>
            <w:pPr>
              <w:ind w:left="1060"/>
              <w:spacing w:after="0"/>
              <w:rPr>
                <w:sz w:val="20"/>
                <w:szCs w:val="20"/>
                <w:color w:val="auto"/>
              </w:rPr>
            </w:pPr>
            <w:r>
              <w:rPr>
                <w:rFonts w:ascii="Arial" w:cs="Arial" w:eastAsia="Arial" w:hAnsi="Arial"/>
                <w:sz w:val="16"/>
                <w:szCs w:val="16"/>
                <w:b w:val="1"/>
                <w:bCs w:val="1"/>
                <w:color w:val="auto"/>
              </w:rPr>
              <w:t>JEAN M. HOBBY</w:t>
            </w:r>
          </w:p>
        </w:tc>
        <w:tc>
          <w:tcPr>
            <w:tcW w:w="2780" w:type="dxa"/>
            <w:vAlign w:val="bottom"/>
          </w:tcPr>
          <w:p>
            <w:pPr>
              <w:ind w:left="1120"/>
              <w:spacing w:after="0"/>
              <w:rPr>
                <w:sz w:val="20"/>
                <w:szCs w:val="20"/>
                <w:color w:val="auto"/>
              </w:rPr>
            </w:pPr>
            <w:r>
              <w:rPr>
                <w:rFonts w:ascii="Arial" w:cs="Arial" w:eastAsia="Arial" w:hAnsi="Arial"/>
                <w:sz w:val="16"/>
                <w:szCs w:val="16"/>
                <w:b w:val="1"/>
                <w:bCs w:val="1"/>
                <w:color w:val="auto"/>
              </w:rPr>
              <w:t>WAYNE R. SANDERS</w:t>
            </w: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Age 53</w:t>
            </w:r>
          </w:p>
        </w:tc>
        <w:tc>
          <w:tcPr>
            <w:tcW w:w="3560" w:type="dxa"/>
            <w:vAlign w:val="bottom"/>
          </w:tcPr>
          <w:p>
            <w:pPr>
              <w:ind w:left="1060"/>
              <w:spacing w:after="0"/>
              <w:rPr>
                <w:sz w:val="20"/>
                <w:szCs w:val="20"/>
                <w:color w:val="auto"/>
              </w:rPr>
            </w:pPr>
            <w:r>
              <w:rPr>
                <w:rFonts w:ascii="Arial" w:cs="Arial" w:eastAsia="Arial" w:hAnsi="Arial"/>
                <w:sz w:val="16"/>
                <w:szCs w:val="16"/>
                <w:color w:val="auto"/>
              </w:rPr>
              <w:t>Age 56</w:t>
            </w:r>
          </w:p>
        </w:tc>
        <w:tc>
          <w:tcPr>
            <w:tcW w:w="2780" w:type="dxa"/>
            <w:vAlign w:val="bottom"/>
          </w:tcPr>
          <w:p>
            <w:pPr>
              <w:ind w:left="1120"/>
              <w:spacing w:after="0"/>
              <w:rPr>
                <w:sz w:val="20"/>
                <w:szCs w:val="20"/>
                <w:color w:val="auto"/>
              </w:rPr>
            </w:pPr>
            <w:r>
              <w:rPr>
                <w:rFonts w:ascii="Arial" w:cs="Arial" w:eastAsia="Arial" w:hAnsi="Arial"/>
                <w:sz w:val="16"/>
                <w:szCs w:val="16"/>
                <w:color w:val="auto"/>
              </w:rPr>
              <w:t>Age 69</w:t>
            </w:r>
          </w:p>
        </w:tc>
      </w:tr>
      <w:tr>
        <w:trPr>
          <w:trHeight w:val="173"/>
        </w:trPr>
        <w:tc>
          <w:tcPr>
            <w:tcW w:w="2720" w:type="dxa"/>
            <w:vAlign w:val="bottom"/>
          </w:tcPr>
          <w:p>
            <w:pPr>
              <w:spacing w:after="0" w:line="173" w:lineRule="exact"/>
              <w:rPr>
                <w:sz w:val="20"/>
                <w:szCs w:val="20"/>
                <w:color w:val="auto"/>
              </w:rPr>
            </w:pPr>
            <w:r>
              <w:rPr>
                <w:rFonts w:ascii="Arial" w:cs="Arial" w:eastAsia="Arial" w:hAnsi="Arial"/>
                <w:sz w:val="16"/>
                <w:szCs w:val="16"/>
                <w:color w:val="auto"/>
              </w:rPr>
              <w:t>Director since 2017</w:t>
            </w:r>
          </w:p>
        </w:tc>
        <w:tc>
          <w:tcPr>
            <w:tcW w:w="3560" w:type="dxa"/>
            <w:vAlign w:val="bottom"/>
          </w:tcPr>
          <w:p>
            <w:pPr>
              <w:ind w:left="1060"/>
              <w:spacing w:after="0" w:line="173" w:lineRule="exact"/>
              <w:rPr>
                <w:sz w:val="20"/>
                <w:szCs w:val="20"/>
                <w:color w:val="auto"/>
              </w:rPr>
            </w:pPr>
            <w:r>
              <w:rPr>
                <w:rFonts w:ascii="Arial" w:cs="Arial" w:eastAsia="Arial" w:hAnsi="Arial"/>
                <w:sz w:val="16"/>
                <w:szCs w:val="16"/>
                <w:color w:val="auto"/>
              </w:rPr>
              <w:t>Director since 2016</w:t>
            </w:r>
          </w:p>
        </w:tc>
        <w:tc>
          <w:tcPr>
            <w:tcW w:w="2780" w:type="dxa"/>
            <w:vAlign w:val="bottom"/>
          </w:tcPr>
          <w:p>
            <w:pPr>
              <w:ind w:left="1120"/>
              <w:spacing w:after="0" w:line="173" w:lineRule="exact"/>
              <w:rPr>
                <w:sz w:val="20"/>
                <w:szCs w:val="20"/>
                <w:color w:val="auto"/>
              </w:rPr>
            </w:pPr>
            <w:r>
              <w:rPr>
                <w:rFonts w:ascii="Arial" w:cs="Arial" w:eastAsia="Arial" w:hAnsi="Arial"/>
                <w:sz w:val="16"/>
                <w:szCs w:val="16"/>
                <w:color w:val="auto"/>
              </w:rPr>
              <w:t>Director since 1997</w:t>
            </w:r>
          </w:p>
        </w:tc>
      </w:tr>
      <w:tr>
        <w:trPr>
          <w:trHeight w:val="189"/>
        </w:trPr>
        <w:tc>
          <w:tcPr>
            <w:tcW w:w="2720" w:type="dxa"/>
            <w:vAlign w:val="bottom"/>
          </w:tcPr>
          <w:p>
            <w:pPr>
              <w:spacing w:after="0"/>
              <w:rPr>
                <w:sz w:val="20"/>
                <w:szCs w:val="20"/>
                <w:color w:val="auto"/>
              </w:rPr>
            </w:pPr>
            <w:r>
              <w:rPr>
                <w:rFonts w:ascii="Arial" w:cs="Arial" w:eastAsia="Arial" w:hAnsi="Arial"/>
                <w:sz w:val="16"/>
                <w:szCs w:val="16"/>
                <w:i w:val="1"/>
                <w:iCs w:val="1"/>
                <w:color w:val="auto"/>
              </w:rPr>
              <w:t>Member, Audit</w:t>
            </w:r>
          </w:p>
        </w:tc>
        <w:tc>
          <w:tcPr>
            <w:tcW w:w="3560" w:type="dxa"/>
            <w:vAlign w:val="bottom"/>
          </w:tcPr>
          <w:p>
            <w:pPr>
              <w:ind w:left="1060"/>
              <w:spacing w:after="0"/>
              <w:rPr>
                <w:sz w:val="20"/>
                <w:szCs w:val="20"/>
                <w:color w:val="auto"/>
              </w:rPr>
            </w:pPr>
            <w:r>
              <w:rPr>
                <w:rFonts w:ascii="Arial" w:cs="Arial" w:eastAsia="Arial" w:hAnsi="Arial"/>
                <w:sz w:val="16"/>
                <w:szCs w:val="16"/>
                <w:i w:val="1"/>
                <w:iCs w:val="1"/>
                <w:color w:val="auto"/>
              </w:rPr>
              <w:t>Member, Audit</w:t>
            </w:r>
          </w:p>
        </w:tc>
        <w:tc>
          <w:tcPr>
            <w:tcW w:w="2780" w:type="dxa"/>
            <w:vAlign w:val="bottom"/>
          </w:tcPr>
          <w:p>
            <w:pPr>
              <w:ind w:left="1120"/>
              <w:spacing w:after="0"/>
              <w:rPr>
                <w:sz w:val="20"/>
                <w:szCs w:val="20"/>
                <w:color w:val="auto"/>
              </w:rPr>
            </w:pPr>
            <w:r>
              <w:rPr>
                <w:rFonts w:ascii="Arial" w:cs="Arial" w:eastAsia="Arial" w:hAnsi="Arial"/>
                <w:sz w:val="16"/>
                <w:szCs w:val="16"/>
                <w:i w:val="1"/>
                <w:iCs w:val="1"/>
                <w:color w:val="auto"/>
                <w:w w:val="99"/>
              </w:rPr>
              <w:t>Chair, Governance and</w:t>
            </w:r>
          </w:p>
        </w:tc>
      </w:tr>
      <w:tr>
        <w:trPr>
          <w:trHeight w:val="189"/>
        </w:trPr>
        <w:tc>
          <w:tcPr>
            <w:tcW w:w="2720" w:type="dxa"/>
            <w:vAlign w:val="bottom"/>
          </w:tcPr>
          <w:p>
            <w:pPr>
              <w:spacing w:after="0"/>
              <w:rPr>
                <w:sz w:val="20"/>
                <w:szCs w:val="20"/>
                <w:color w:val="auto"/>
              </w:rPr>
            </w:pPr>
            <w:r>
              <w:rPr>
                <w:rFonts w:ascii="Arial" w:cs="Arial" w:eastAsia="Arial" w:hAnsi="Arial"/>
                <w:sz w:val="16"/>
                <w:szCs w:val="16"/>
                <w:i w:val="1"/>
                <w:iCs w:val="1"/>
                <w:color w:val="auto"/>
              </w:rPr>
              <w:t>Committee</w:t>
            </w:r>
          </w:p>
        </w:tc>
        <w:tc>
          <w:tcPr>
            <w:tcW w:w="3560" w:type="dxa"/>
            <w:vAlign w:val="bottom"/>
          </w:tcPr>
          <w:p>
            <w:pPr>
              <w:ind w:left="1060"/>
              <w:spacing w:after="0"/>
              <w:rPr>
                <w:sz w:val="20"/>
                <w:szCs w:val="20"/>
                <w:color w:val="auto"/>
              </w:rPr>
            </w:pPr>
            <w:r>
              <w:rPr>
                <w:rFonts w:ascii="Arial" w:cs="Arial" w:eastAsia="Arial" w:hAnsi="Arial"/>
                <w:sz w:val="16"/>
                <w:szCs w:val="16"/>
                <w:i w:val="1"/>
                <w:iCs w:val="1"/>
                <w:color w:val="auto"/>
              </w:rPr>
              <w:t>Committee</w:t>
            </w:r>
          </w:p>
        </w:tc>
        <w:tc>
          <w:tcPr>
            <w:tcW w:w="2780" w:type="dxa"/>
            <w:vAlign w:val="bottom"/>
          </w:tcPr>
          <w:p>
            <w:pPr>
              <w:ind w:left="1120"/>
              <w:spacing w:after="0"/>
              <w:rPr>
                <w:sz w:val="20"/>
                <w:szCs w:val="20"/>
                <w:color w:val="auto"/>
              </w:rPr>
            </w:pPr>
            <w:r>
              <w:rPr>
                <w:rFonts w:ascii="Arial" w:cs="Arial" w:eastAsia="Arial" w:hAnsi="Arial"/>
                <w:sz w:val="16"/>
                <w:szCs w:val="16"/>
                <w:i w:val="1"/>
                <w:iCs w:val="1"/>
                <w:color w:val="auto"/>
              </w:rPr>
              <w:t>Stockholder Relations</w:t>
            </w:r>
          </w:p>
        </w:tc>
      </w:tr>
      <w:tr>
        <w:trPr>
          <w:trHeight w:val="211"/>
        </w:trPr>
        <w:tc>
          <w:tcPr>
            <w:tcW w:w="27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80" w:type="dxa"/>
            <w:vAlign w:val="bottom"/>
          </w:tcPr>
          <w:p>
            <w:pPr>
              <w:ind w:left="1120"/>
              <w:spacing w:after="0"/>
              <w:rPr>
                <w:sz w:val="20"/>
                <w:szCs w:val="20"/>
                <w:color w:val="auto"/>
              </w:rPr>
            </w:pPr>
            <w:r>
              <w:rPr>
                <w:rFonts w:ascii="Arial" w:cs="Arial" w:eastAsia="Arial" w:hAnsi="Arial"/>
                <w:sz w:val="16"/>
                <w:szCs w:val="16"/>
                <w:i w:val="1"/>
                <w:i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-724535</wp:posOffset>
            </wp:positionV>
            <wp:extent cx="805815" cy="969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-724535</wp:posOffset>
            </wp:positionV>
            <wp:extent cx="805815" cy="969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-724535</wp:posOffset>
            </wp:positionV>
            <wp:extent cx="805815" cy="969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860" w:type="dxa"/>
        <w:tblCellMar>
          <w:top w:w="0" w:type="dxa"/>
          <w:left w:w="0" w:type="dxa"/>
          <w:bottom w:w="0" w:type="dxa"/>
          <w:right w:w="0" w:type="dxa"/>
        </w:tblCellMar>
      </w:tblPr>
      <w:tr>
        <w:trPr>
          <w:trHeight w:val="209"/>
        </w:trPr>
        <w:tc>
          <w:tcPr>
            <w:tcW w:w="3680" w:type="dxa"/>
            <w:vAlign w:val="bottom"/>
          </w:tcPr>
          <w:p>
            <w:pPr>
              <w:spacing w:after="0"/>
              <w:rPr>
                <w:sz w:val="20"/>
                <w:szCs w:val="20"/>
                <w:color w:val="auto"/>
              </w:rPr>
            </w:pPr>
            <w:r>
              <w:rPr>
                <w:rFonts w:ascii="Arial" w:cs="Arial" w:eastAsia="Arial" w:hAnsi="Arial"/>
                <w:sz w:val="16"/>
                <w:szCs w:val="16"/>
                <w:b w:val="1"/>
                <w:bCs w:val="1"/>
                <w:color w:val="auto"/>
              </w:rPr>
              <w:t>DANIEL A. CARP</w:t>
            </w:r>
          </w:p>
        </w:tc>
        <w:tc>
          <w:tcPr>
            <w:tcW w:w="2760" w:type="dxa"/>
            <w:vAlign w:val="bottom"/>
          </w:tcPr>
          <w:p>
            <w:pPr>
              <w:ind w:left="100"/>
              <w:spacing w:after="0"/>
              <w:rPr>
                <w:sz w:val="20"/>
                <w:szCs w:val="20"/>
                <w:color w:val="auto"/>
              </w:rPr>
            </w:pPr>
            <w:r>
              <w:rPr>
                <w:rFonts w:ascii="Arial" w:cs="Arial" w:eastAsia="Arial" w:hAnsi="Arial"/>
                <w:sz w:val="16"/>
                <w:szCs w:val="16"/>
                <w:b w:val="1"/>
                <w:bCs w:val="1"/>
                <w:color w:val="auto"/>
              </w:rPr>
              <w:t>RONALD KIRK</w:t>
            </w:r>
          </w:p>
        </w:tc>
        <w:tc>
          <w:tcPr>
            <w:tcW w:w="3120" w:type="dxa"/>
            <w:vAlign w:val="bottom"/>
          </w:tcPr>
          <w:p>
            <w:pPr>
              <w:ind w:left="960"/>
              <w:spacing w:after="0"/>
              <w:rPr>
                <w:sz w:val="20"/>
                <w:szCs w:val="20"/>
                <w:color w:val="auto"/>
              </w:rPr>
            </w:pPr>
            <w:r>
              <w:rPr>
                <w:rFonts w:ascii="Arial" w:cs="Arial" w:eastAsia="Arial" w:hAnsi="Arial"/>
                <w:sz w:val="16"/>
                <w:szCs w:val="16"/>
                <w:b w:val="1"/>
                <w:bCs w:val="1"/>
                <w:color w:val="auto"/>
              </w:rPr>
              <w:t>RICHARD K. TEMPLETON</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Age 68</w:t>
            </w:r>
          </w:p>
        </w:tc>
        <w:tc>
          <w:tcPr>
            <w:tcW w:w="2760" w:type="dxa"/>
            <w:vAlign w:val="bottom"/>
          </w:tcPr>
          <w:p>
            <w:pPr>
              <w:ind w:left="100"/>
              <w:spacing w:after="0"/>
              <w:rPr>
                <w:sz w:val="20"/>
                <w:szCs w:val="20"/>
                <w:color w:val="auto"/>
              </w:rPr>
            </w:pPr>
            <w:r>
              <w:rPr>
                <w:rFonts w:ascii="Arial" w:cs="Arial" w:eastAsia="Arial" w:hAnsi="Arial"/>
                <w:sz w:val="16"/>
                <w:szCs w:val="16"/>
                <w:color w:val="auto"/>
              </w:rPr>
              <w:t>Age 62</w:t>
            </w:r>
          </w:p>
        </w:tc>
        <w:tc>
          <w:tcPr>
            <w:tcW w:w="3120" w:type="dxa"/>
            <w:vAlign w:val="bottom"/>
          </w:tcPr>
          <w:p>
            <w:pPr>
              <w:ind w:left="960"/>
              <w:spacing w:after="0"/>
              <w:rPr>
                <w:sz w:val="20"/>
                <w:szCs w:val="20"/>
                <w:color w:val="auto"/>
              </w:rPr>
            </w:pPr>
            <w:r>
              <w:rPr>
                <w:rFonts w:ascii="Arial" w:cs="Arial" w:eastAsia="Arial" w:hAnsi="Arial"/>
                <w:sz w:val="16"/>
                <w:szCs w:val="16"/>
                <w:color w:val="auto"/>
              </w:rPr>
              <w:t>Age 58</w:t>
            </w:r>
          </w:p>
        </w:tc>
      </w:tr>
      <w:tr>
        <w:trPr>
          <w:trHeight w:val="173"/>
        </w:trPr>
        <w:tc>
          <w:tcPr>
            <w:tcW w:w="3680" w:type="dxa"/>
            <w:vAlign w:val="bottom"/>
          </w:tcPr>
          <w:p>
            <w:pPr>
              <w:spacing w:after="0" w:line="173" w:lineRule="exact"/>
              <w:rPr>
                <w:sz w:val="20"/>
                <w:szCs w:val="20"/>
                <w:color w:val="auto"/>
              </w:rPr>
            </w:pPr>
            <w:r>
              <w:rPr>
                <w:rFonts w:ascii="Arial" w:cs="Arial" w:eastAsia="Arial" w:hAnsi="Arial"/>
                <w:sz w:val="16"/>
                <w:szCs w:val="16"/>
                <w:color w:val="auto"/>
              </w:rPr>
              <w:t>Director since 1997</w:t>
            </w:r>
          </w:p>
        </w:tc>
        <w:tc>
          <w:tcPr>
            <w:tcW w:w="2760" w:type="dxa"/>
            <w:vAlign w:val="bottom"/>
          </w:tcPr>
          <w:p>
            <w:pPr>
              <w:ind w:left="100"/>
              <w:spacing w:after="0" w:line="173" w:lineRule="exact"/>
              <w:rPr>
                <w:sz w:val="20"/>
                <w:szCs w:val="20"/>
                <w:color w:val="auto"/>
              </w:rPr>
            </w:pPr>
            <w:r>
              <w:rPr>
                <w:rFonts w:ascii="Arial" w:cs="Arial" w:eastAsia="Arial" w:hAnsi="Arial"/>
                <w:sz w:val="16"/>
                <w:szCs w:val="16"/>
                <w:color w:val="auto"/>
              </w:rPr>
              <w:t>Director since 2013</w:t>
            </w:r>
          </w:p>
        </w:tc>
        <w:tc>
          <w:tcPr>
            <w:tcW w:w="3120" w:type="dxa"/>
            <w:vAlign w:val="bottom"/>
          </w:tcPr>
          <w:p>
            <w:pPr>
              <w:ind w:left="960"/>
              <w:spacing w:after="0" w:line="173" w:lineRule="exact"/>
              <w:rPr>
                <w:sz w:val="20"/>
                <w:szCs w:val="20"/>
                <w:color w:val="auto"/>
              </w:rPr>
            </w:pPr>
            <w:r>
              <w:rPr>
                <w:rFonts w:ascii="Arial" w:cs="Arial" w:eastAsia="Arial" w:hAnsi="Arial"/>
                <w:sz w:val="16"/>
                <w:szCs w:val="16"/>
                <w:color w:val="auto"/>
              </w:rPr>
              <w:t>Chairman since 2008</w:t>
            </w:r>
          </w:p>
        </w:tc>
      </w:tr>
      <w:tr>
        <w:trPr>
          <w:trHeight w:val="189"/>
        </w:trPr>
        <w:tc>
          <w:tcPr>
            <w:tcW w:w="3680" w:type="dxa"/>
            <w:vAlign w:val="bottom"/>
          </w:tcPr>
          <w:p>
            <w:pPr>
              <w:spacing w:after="0"/>
              <w:rPr>
                <w:sz w:val="20"/>
                <w:szCs w:val="20"/>
                <w:color w:val="auto"/>
              </w:rPr>
            </w:pPr>
            <w:r>
              <w:rPr>
                <w:rFonts w:ascii="Arial" w:cs="Arial" w:eastAsia="Arial" w:hAnsi="Arial"/>
                <w:sz w:val="16"/>
                <w:szCs w:val="16"/>
                <w:i w:val="1"/>
                <w:iCs w:val="1"/>
                <w:color w:val="auto"/>
              </w:rPr>
              <w:t>Member, Compensation</w:t>
            </w:r>
          </w:p>
        </w:tc>
        <w:tc>
          <w:tcPr>
            <w:tcW w:w="2760" w:type="dxa"/>
            <w:vAlign w:val="bottom"/>
          </w:tcPr>
          <w:p>
            <w:pPr>
              <w:ind w:left="100"/>
              <w:spacing w:after="0"/>
              <w:rPr>
                <w:sz w:val="20"/>
                <w:szCs w:val="20"/>
                <w:color w:val="auto"/>
              </w:rPr>
            </w:pPr>
            <w:r>
              <w:rPr>
                <w:rFonts w:ascii="Arial" w:cs="Arial" w:eastAsia="Arial" w:hAnsi="Arial"/>
                <w:sz w:val="16"/>
                <w:szCs w:val="16"/>
                <w:i w:val="1"/>
                <w:iCs w:val="1"/>
                <w:color w:val="auto"/>
              </w:rPr>
              <w:t>Member, Governance</w:t>
            </w:r>
          </w:p>
        </w:tc>
        <w:tc>
          <w:tcPr>
            <w:tcW w:w="3120" w:type="dxa"/>
            <w:vAlign w:val="bottom"/>
          </w:tcPr>
          <w:p>
            <w:pPr>
              <w:ind w:left="960"/>
              <w:spacing w:after="0"/>
              <w:rPr>
                <w:sz w:val="20"/>
                <w:szCs w:val="20"/>
                <w:color w:val="auto"/>
              </w:rPr>
            </w:pPr>
            <w:r>
              <w:rPr>
                <w:rFonts w:ascii="Arial" w:cs="Arial" w:eastAsia="Arial" w:hAnsi="Arial"/>
                <w:sz w:val="16"/>
                <w:szCs w:val="16"/>
                <w:color w:val="auto"/>
              </w:rPr>
              <w:t>and director since 2003</w:t>
            </w:r>
          </w:p>
        </w:tc>
      </w:tr>
      <w:tr>
        <w:trPr>
          <w:trHeight w:val="189"/>
        </w:trPr>
        <w:tc>
          <w:tcPr>
            <w:tcW w:w="3680" w:type="dxa"/>
            <w:vAlign w:val="bottom"/>
          </w:tcPr>
          <w:p>
            <w:pPr>
              <w:spacing w:after="0"/>
              <w:rPr>
                <w:sz w:val="20"/>
                <w:szCs w:val="20"/>
                <w:color w:val="auto"/>
              </w:rPr>
            </w:pPr>
            <w:r>
              <w:rPr>
                <w:rFonts w:ascii="Arial" w:cs="Arial" w:eastAsia="Arial" w:hAnsi="Arial"/>
                <w:sz w:val="16"/>
                <w:szCs w:val="16"/>
                <w:i w:val="1"/>
                <w:iCs w:val="1"/>
                <w:color w:val="auto"/>
              </w:rPr>
              <w:t>Committee</w:t>
            </w:r>
          </w:p>
        </w:tc>
        <w:tc>
          <w:tcPr>
            <w:tcW w:w="2760" w:type="dxa"/>
            <w:vAlign w:val="bottom"/>
          </w:tcPr>
          <w:p>
            <w:pPr>
              <w:ind w:left="100"/>
              <w:spacing w:after="0"/>
              <w:rPr>
                <w:sz w:val="20"/>
                <w:szCs w:val="20"/>
                <w:color w:val="auto"/>
              </w:rPr>
            </w:pPr>
            <w:r>
              <w:rPr>
                <w:rFonts w:ascii="Arial" w:cs="Arial" w:eastAsia="Arial" w:hAnsi="Arial"/>
                <w:sz w:val="16"/>
                <w:szCs w:val="16"/>
                <w:i w:val="1"/>
                <w:iCs w:val="1"/>
                <w:color w:val="auto"/>
              </w:rPr>
              <w:t>and Stockholder</w:t>
            </w:r>
          </w:p>
        </w:tc>
        <w:tc>
          <w:tcPr>
            <w:tcW w:w="3120" w:type="dxa"/>
            <w:vAlign w:val="bottom"/>
          </w:tcPr>
          <w:p>
            <w:pPr>
              <w:spacing w:after="0"/>
              <w:rPr>
                <w:sz w:val="16"/>
                <w:szCs w:val="16"/>
                <w:color w:val="auto"/>
              </w:rPr>
            </w:pPr>
          </w:p>
        </w:tc>
      </w:tr>
      <w:tr>
        <w:trPr>
          <w:trHeight w:val="211"/>
        </w:trPr>
        <w:tc>
          <w:tcPr>
            <w:tcW w:w="368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6"/>
                <w:szCs w:val="16"/>
                <w:i w:val="1"/>
                <w:iCs w:val="1"/>
                <w:color w:val="auto"/>
              </w:rPr>
              <w:t>Relations Committee</w:t>
            </w:r>
          </w:p>
        </w:tc>
        <w:tc>
          <w:tcPr>
            <w:tcW w:w="3120" w:type="dxa"/>
            <w:vAlign w:val="bottom"/>
          </w:tcPr>
          <w:p>
            <w:pPr>
              <w:spacing w:after="0"/>
              <w:rPr>
                <w:sz w:val="18"/>
                <w:szCs w:val="18"/>
                <w:color w:val="auto"/>
              </w:rPr>
            </w:pPr>
          </w:p>
        </w:tc>
      </w:tr>
      <w:tr>
        <w:trPr>
          <w:trHeight w:val="679"/>
        </w:trPr>
        <w:tc>
          <w:tcPr>
            <w:tcW w:w="3680" w:type="dxa"/>
            <w:vAlign w:val="bottom"/>
          </w:tcPr>
          <w:p>
            <w:pPr>
              <w:ind w:left="2260"/>
              <w:spacing w:after="0"/>
              <w:rPr>
                <w:sz w:val="20"/>
                <w:szCs w:val="20"/>
                <w:color w:val="auto"/>
              </w:rPr>
            </w:pPr>
            <w:r>
              <w:rPr>
                <w:rFonts w:ascii="Arial" w:cs="Arial" w:eastAsia="Arial" w:hAnsi="Arial"/>
                <w:sz w:val="13"/>
                <w:szCs w:val="13"/>
                <w:color w:val="666666"/>
                <w:w w:val="99"/>
              </w:rPr>
              <w:t>TEXAS INSTRUMENTS</w:t>
            </w:r>
          </w:p>
        </w:tc>
        <w:tc>
          <w:tcPr>
            <w:tcW w:w="2760" w:type="dxa"/>
            <w:vAlign w:val="bottom"/>
          </w:tcPr>
          <w:p>
            <w:pPr>
              <w:ind w:left="80"/>
              <w:spacing w:after="0"/>
              <w:rPr>
                <w:sz w:val="20"/>
                <w:szCs w:val="20"/>
                <w:color w:val="auto"/>
              </w:rPr>
            </w:pPr>
            <w:r>
              <w:rPr>
                <w:rFonts w:ascii="Arial" w:cs="Arial" w:eastAsia="Arial" w:hAnsi="Arial"/>
                <w:sz w:val="13"/>
                <w:szCs w:val="13"/>
                <w:color w:val="666666"/>
              </w:rPr>
              <w:t>•  2017 PROXY STATEMENT</w:t>
            </w:r>
          </w:p>
        </w:tc>
        <w:tc>
          <w:tcPr>
            <w:tcW w:w="3120" w:type="dxa"/>
            <w:vAlign w:val="bottom"/>
          </w:tcPr>
          <w:p>
            <w:pPr>
              <w:ind w:left="3040"/>
              <w:spacing w:after="0"/>
              <w:rPr>
                <w:sz w:val="20"/>
                <w:szCs w:val="20"/>
                <w:color w:val="auto"/>
              </w:rPr>
            </w:pPr>
            <w:r>
              <w:rPr>
                <w:rFonts w:ascii="Arial" w:cs="Arial" w:eastAsia="Arial" w:hAnsi="Arial"/>
                <w:sz w:val="13"/>
                <w:szCs w:val="13"/>
                <w:color w:val="666666"/>
                <w:w w:val="82"/>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-1155700</wp:posOffset>
            </wp:positionV>
            <wp:extent cx="805815" cy="969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-1155700</wp:posOffset>
            </wp:positionV>
            <wp:extent cx="805815" cy="969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-1155700</wp:posOffset>
            </wp:positionV>
            <wp:extent cx="805815" cy="969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Director not standing for re-election</w:t>
      </w:r>
    </w:p>
    <w:p>
      <w:pPr>
        <w:spacing w:after="0" w:line="9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CHRISTINE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05815" cy="969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WHITMAN</w:t>
      </w:r>
    </w:p>
    <w:p>
      <w:pPr>
        <w:ind w:left="1840"/>
        <w:spacing w:after="0" w:line="234" w:lineRule="auto"/>
        <w:rPr>
          <w:sz w:val="20"/>
          <w:szCs w:val="20"/>
          <w:color w:val="auto"/>
        </w:rPr>
      </w:pPr>
      <w:r>
        <w:rPr>
          <w:rFonts w:ascii="Arial" w:cs="Arial" w:eastAsia="Arial" w:hAnsi="Arial"/>
          <w:sz w:val="18"/>
          <w:szCs w:val="18"/>
          <w:color w:val="auto"/>
        </w:rPr>
        <w:t>Age 70</w:t>
      </w:r>
    </w:p>
    <w:p>
      <w:pPr>
        <w:ind w:left="1840"/>
        <w:spacing w:after="0" w:line="235" w:lineRule="auto"/>
        <w:rPr>
          <w:sz w:val="20"/>
          <w:szCs w:val="20"/>
          <w:color w:val="auto"/>
        </w:rPr>
      </w:pPr>
      <w:r>
        <w:rPr>
          <w:rFonts w:ascii="Arial" w:cs="Arial" w:eastAsia="Arial" w:hAnsi="Arial"/>
          <w:sz w:val="18"/>
          <w:szCs w:val="18"/>
          <w:i w:val="1"/>
          <w:iCs w:val="1"/>
          <w:color w:val="auto"/>
        </w:rPr>
        <w:t>Member, Compensation</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Ms. Whitman, a highly valued director since 2003, has attained the age of 70 and is therefore ineligible under the company’s by-laws to stand for re-election at the 2017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Director nomination process</w:t>
      </w:r>
    </w:p>
    <w:p>
      <w:pPr>
        <w:spacing w:after="0" w:line="20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NASDAQ Stock Market (NASDAQ) and the board’s corporate governance guidelines. Our board of directors has adopted a written charter for the G&amp;SR Committee. It can be found on our website at www.ti.com/corporategovernance.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Director candidate recommendations</w:t>
      </w:r>
    </w:p>
    <w:p>
      <w:pPr>
        <w:spacing w:after="0" w:line="20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 Box 655936, MS 8658, Dallas, TX 75265-5936. The G&amp;SR Committee will evaluate the stockholder’s prospective board nominee in the same manner as it evaluates other nominees.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the G&amp;SR Committee looks for the following minimum qualifications, qualities and skills:</w:t>
      </w:r>
    </w:p>
    <w:p>
      <w:pPr>
        <w:spacing w:after="0" w:line="234" w:lineRule="exact"/>
        <w:rPr>
          <w:sz w:val="20"/>
          <w:szCs w:val="20"/>
          <w:color w:val="auto"/>
        </w:rPr>
      </w:pPr>
    </w:p>
    <w:p>
      <w:pPr>
        <w:ind w:left="780" w:hanging="55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experience.</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Soundness of judgment.</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ind w:left="78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contribute to a diversity of viewpoints among board members.</w:t>
      </w:r>
    </w:p>
    <w:p>
      <w:pPr>
        <w:jc w:val="both"/>
        <w:ind w:left="780" w:right="320" w:hanging="556"/>
        <w:spacing w:after="0" w:line="23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2" w:lineRule="exact"/>
        <w:rPr>
          <w:rFonts w:ascii="Arial" w:cs="Arial" w:eastAsia="Arial" w:hAnsi="Arial"/>
          <w:sz w:val="18"/>
          <w:szCs w:val="18"/>
          <w:color w:val="auto"/>
        </w:rPr>
      </w:pPr>
    </w:p>
    <w:p>
      <w:pPr>
        <w:ind w:left="780" w:hanging="556"/>
        <w:spacing w:after="0" w:line="24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will he or she be expected to, represent the interests of any particular group).</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Stockholder nomination of directors</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company’s by-laws, a stockholder, or a group of up to 20 stockholders, owning at least 3 percent of the company’s outstanding common stock continuously for at least three years, may nominate and include in the company’s proxy materials director nominees constituting up to the greater of two individuals or 20 percent of the board of directors, provided that the stockholder(s) and the nominee(s) satisfy the requirements specified in the by-laws.</w:t>
      </w:r>
    </w:p>
    <w:p>
      <w:pPr>
        <w:spacing w:after="0" w:line="20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company’s by-laws also allow stockholders to nominate directors without involving the G&amp;SR Committee or including the nominee in the company’s proxy materials. To do so, stockholders must comply with the requirements set forth in the by-laws, which can be found on our website at www.ti.com/corporategovernance.</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Director nominees</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All nominees for directorship are currently directors of the company, including two new directors. Ms. Hobby was elected to the board effective July 20, 2016, and Mr. Bluedorn was elected to the board effective March 1, 2017. They are the only director nominees at the 2017 annual meeting of stockholders who are standing for election by the stockholders for the first time. A search firm retained by the company to assist the G&amp;SR Committee in identifying and evaluating potential nominees initially identified Ms. Hobby and Mr. Bluedorn as potential director candidates. The search firm conducted research to identify a number of potential candidates, based on qualifications and skills the G&amp;SR Committee determined that candidates should possess. It then conducted further research on the candidates in whom the G&amp;SR Committee had the most 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Board diversity and nominee qualifications</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Maintaining a balance of tenure among the directors is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20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As it considered director nominees for the 2017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Eleven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20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(except as to Mr. Bluedorn who joined the board effective March 1, 2017), born of previous service on the board, that each of the nominees brings insight to board deliberations as well as a willingness to ask challenging questions.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Babb</w:t>
      </w:r>
    </w:p>
    <w:p>
      <w:pPr>
        <w:spacing w:after="0" w:line="239" w:lineRule="exact"/>
        <w:rPr>
          <w:sz w:val="20"/>
          <w:szCs w:val="20"/>
          <w:color w:val="auto"/>
        </w:rPr>
      </w:pPr>
    </w:p>
    <w:p>
      <w:pPr>
        <w:ind w:left="780" w:right="540" w:hanging="556"/>
        <w:spacing w:after="0" w:line="23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chairman and CEO of Comerica Incorporated and Comerica Bank (2002-present) and through a long career in banking, has gained first-hand experience in managing large, complex institutions, as well as insight into financial markets.</w:t>
      </w:r>
    </w:p>
    <w:p>
      <w:pPr>
        <w:spacing w:after="0" w:line="1" w:lineRule="exact"/>
        <w:rPr>
          <w:rFonts w:ascii="Arial" w:cs="Arial" w:eastAsia="Arial" w:hAnsi="Arial"/>
          <w:sz w:val="18"/>
          <w:szCs w:val="18"/>
          <w:color w:val="auto"/>
        </w:rPr>
      </w:pPr>
    </w:p>
    <w:p>
      <w:pPr>
        <w:ind w:left="780" w:right="20" w:hanging="55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Audit Committee chair at the company (April 19, 2013-present), chief financial officer of Comerica Incorporated and Comerica Bank (1995-2002), controller and later chief financial officer of Mercantile Bancorporation (1978-1995), and auditor and later audit manager at the accounting firm of Peat Marwick Mitchell &amp; Co. (1971-1978), has gained extensive audit knowledge and experience in audit- and financial control-related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Blinn</w:t>
      </w:r>
    </w:p>
    <w:p>
      <w:pPr>
        <w:spacing w:after="0" w:line="239" w:lineRule="exact"/>
        <w:rPr>
          <w:sz w:val="20"/>
          <w:szCs w:val="20"/>
          <w:color w:val="auto"/>
        </w:rPr>
      </w:pPr>
    </w:p>
    <w:p>
      <w:pPr>
        <w:ind w:left="780" w:right="500" w:hanging="55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CEO and a director of Flowserve Corporation (2009-March 31, 2017), has gained first-hand experience in managing a large, multinational corporation operating in global industrial markets, with ultimate management responsibility for the organization’s financial performance and significant capital and R&amp;D investments.</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7</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80" w:right="140" w:hanging="55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chief financial officer of Flowserve Corporation (2004-2009), chief financial officer of FedEx Kinko’s Office and Print Services Inc. (2003-2004) and vice president and controller of Centex Corporation (2000-2002), has developed a keen appreciation for audit- and financial control-related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Bluedorn</w:t>
      </w:r>
    </w:p>
    <w:p>
      <w:pPr>
        <w:spacing w:after="0" w:line="239" w:lineRule="exact"/>
        <w:rPr>
          <w:sz w:val="20"/>
          <w:szCs w:val="20"/>
          <w:color w:val="auto"/>
        </w:rPr>
      </w:pPr>
    </w:p>
    <w:p>
      <w:pPr>
        <w:ind w:left="780" w:right="100" w:hanging="55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chairman (2012-present) and CEO and a director (2007-present) of Lennox International Inc., has gained first-hand experience in managing a large, multinational corporation operating in global industrial markets, with ultimate management responsibility for the corporation’s financial performance and its significant investments in capital and R&amp;D. Is also a director of Eaton Corporation plc (2010-present).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Carp</w:t>
      </w:r>
    </w:p>
    <w:p>
      <w:pPr>
        <w:spacing w:after="0" w:line="239" w:lineRule="exact"/>
        <w:rPr>
          <w:sz w:val="20"/>
          <w:szCs w:val="20"/>
          <w:color w:val="auto"/>
        </w:rPr>
      </w:pPr>
    </w:p>
    <w:p>
      <w:pPr>
        <w:ind w:left="780" w:right="460" w:hanging="556"/>
        <w:spacing w:after="0" w:line="23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chairman and CEO (2000-2005) and president (1997-2001, 2002-2003) of Eastman Kodak Company, has gained first-hand experience in managing a large, multinational corporation focused on worldwide electronics markets, with ultimate management responsibility for the corporation’s financial performance and its significant investments in capital and R&amp;D.</w:t>
      </w:r>
    </w:p>
    <w:p>
      <w:pPr>
        <w:spacing w:after="0" w:line="2" w:lineRule="exact"/>
        <w:rPr>
          <w:rFonts w:ascii="Arial" w:cs="Arial" w:eastAsia="Arial" w:hAnsi="Arial"/>
          <w:sz w:val="18"/>
          <w:szCs w:val="18"/>
          <w:color w:val="auto"/>
        </w:rPr>
      </w:pPr>
    </w:p>
    <w:p>
      <w:pPr>
        <w:ind w:left="780" w:right="40" w:hanging="55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director of Delta Air Lines, Inc. (2007-present), a director of Norfolk Southern Corporation (2006-present) and a director of Liz Claiborne, Inc. (2006-2009), has helped oversee the strategy and operations of major multinational corporations in various industries, including some that are capital-intensive.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Clark</w:t>
      </w:r>
    </w:p>
    <w:p>
      <w:pPr>
        <w:spacing w:after="0" w:line="239" w:lineRule="exact"/>
        <w:rPr>
          <w:sz w:val="20"/>
          <w:szCs w:val="20"/>
          <w:color w:val="auto"/>
        </w:rPr>
      </w:pPr>
    </w:p>
    <w:p>
      <w:pPr>
        <w:ind w:left="780" w:right="220" w:hanging="556"/>
        <w:spacing w:after="0" w:line="23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executive vice president (2007-2013) and chief financial officer (2004-2013) of Marathon Oil Corporation, has developed a keen appreciation for audit- and financial control-related matters.</w:t>
      </w:r>
    </w:p>
    <w:p>
      <w:pPr>
        <w:spacing w:after="0" w:line="1" w:lineRule="exact"/>
        <w:rPr>
          <w:rFonts w:ascii="Arial" w:cs="Arial" w:eastAsia="Arial" w:hAnsi="Arial"/>
          <w:sz w:val="18"/>
          <w:szCs w:val="18"/>
          <w:color w:val="auto"/>
        </w:rPr>
      </w:pPr>
    </w:p>
    <w:p>
      <w:pPr>
        <w:ind w:left="780" w:right="180" w:hanging="556"/>
        <w:spacing w:after="0" w:line="23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director of Goldman Sachs Private Middle Market Credit LLC (2016-present), Goldman Sachs BDC, Inc. (2015-present) and EOG Resources, Inc. (2014-present) and as a former director of Exterran Holdings, Inc. (and its predecessor company, Universal Compression Holdings, Inc.) (2003-2011) and Dell Inc. (2011-2013), has helped oversee the strategy and operations of other large, multinational corporations, including one with a focus on technology.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Cox</w:t>
      </w:r>
    </w:p>
    <w:p>
      <w:pPr>
        <w:spacing w:after="0" w:line="239" w:lineRule="exact"/>
        <w:rPr>
          <w:sz w:val="20"/>
          <w:szCs w:val="20"/>
          <w:color w:val="auto"/>
        </w:rPr>
      </w:pPr>
    </w:p>
    <w:p>
      <w:pPr>
        <w:ind w:left="780" w:right="40" w:hanging="556"/>
        <w:spacing w:after="0" w:line="23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chairman (2013-present), CEO and a director (2010-present) of Humacyte, Inc.,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with responsibility for those organizations’ financial performance and significant capital and R&amp;D investments. Is also a director of Cardinal Health, Inc. (2009-present) and Celgene Corporation (2009-present).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Hobby</w:t>
      </w:r>
    </w:p>
    <w:p>
      <w:pPr>
        <w:spacing w:after="0" w:line="239" w:lineRule="exact"/>
        <w:rPr>
          <w:sz w:val="20"/>
          <w:szCs w:val="20"/>
          <w:color w:val="auto"/>
        </w:rPr>
      </w:pPr>
    </w:p>
    <w:p>
      <w:pPr>
        <w:ind w:left="780" w:right="160" w:hanging="556"/>
        <w:spacing w:after="0" w:line="23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global strategy officer (2013-2015), technology, media and telecom sector leader (2008-2013) and chief financial officer (2005-2008) at PricewaterhouseCoopers LLP, has gained extensive audit knowledge and experience in audit- and financial control-related matters and technology.</w:t>
      </w:r>
    </w:p>
    <w:p>
      <w:pPr>
        <w:spacing w:after="0" w:line="2" w:lineRule="exact"/>
        <w:rPr>
          <w:rFonts w:ascii="Arial" w:cs="Arial" w:eastAsia="Arial" w:hAnsi="Arial"/>
          <w:sz w:val="18"/>
          <w:szCs w:val="18"/>
          <w:color w:val="auto"/>
        </w:rPr>
      </w:pPr>
    </w:p>
    <w:p>
      <w:pPr>
        <w:ind w:left="780" w:right="260" w:hanging="556"/>
        <w:spacing w:after="0" w:line="24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director of Integer Holdings Corporation (and its predecessor company, Greatbatch, Inc.) (2015-present), has helped oversee the strategy and operations of another multinational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Kirk</w:t>
      </w:r>
    </w:p>
    <w:p>
      <w:pPr>
        <w:spacing w:after="0" w:line="239" w:lineRule="exact"/>
        <w:rPr>
          <w:sz w:val="20"/>
          <w:szCs w:val="20"/>
          <w:color w:val="auto"/>
        </w:rPr>
      </w:pPr>
    </w:p>
    <w:p>
      <w:pPr>
        <w:ind w:left="780" w:hanging="556"/>
        <w:spacing w:after="0" w:line="23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U.S. Trade Representative (2009-2013), has gained first-hand experience in managing a complex organization that operates on an international scale and developed insight into issues bearing on global economic activity, international trade policies and strategies and the workings of foreign governments.</w:t>
      </w:r>
    </w:p>
    <w:p>
      <w:pPr>
        <w:spacing w:after="0" w:line="2" w:lineRule="exact"/>
        <w:rPr>
          <w:rFonts w:ascii="Arial" w:cs="Arial" w:eastAsia="Arial" w:hAnsi="Arial"/>
          <w:sz w:val="18"/>
          <w:szCs w:val="18"/>
          <w:color w:val="auto"/>
        </w:rPr>
      </w:pPr>
    </w:p>
    <w:p>
      <w:pPr>
        <w:ind w:left="780" w:right="280" w:hanging="556"/>
        <w:spacing w:after="0" w:line="23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Senior Of Counsel of Gibson, Dunn &amp; Crutcher LLP (2013-present), and as a partner of Vinson &amp; Elkins, LLP (2005-2009), has gained first-hand experience as an advisor to numerous multinational companies.</w:t>
      </w:r>
    </w:p>
    <w:p>
      <w:pPr>
        <w:spacing w:after="0" w:line="1" w:lineRule="exact"/>
        <w:rPr>
          <w:rFonts w:ascii="Arial" w:cs="Arial" w:eastAsia="Arial" w:hAnsi="Arial"/>
          <w:sz w:val="18"/>
          <w:szCs w:val="18"/>
          <w:color w:val="auto"/>
        </w:rPr>
      </w:pPr>
    </w:p>
    <w:p>
      <w:pPr>
        <w:ind w:left="780" w:hanging="556"/>
        <w:spacing w:after="0" w:line="24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director of Brinker International, Inc. (1997-2009), Dean Foods Company (1997-2009), and Macquarie Infrastructure Corporation (2016-present), has helped oversee the strategy and operations of other large corporations.</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 Patsley</w:t>
      </w:r>
    </w:p>
    <w:p>
      <w:pPr>
        <w:spacing w:after="0" w:line="239" w:lineRule="exact"/>
        <w:rPr>
          <w:sz w:val="20"/>
          <w:szCs w:val="20"/>
          <w:color w:val="auto"/>
        </w:rPr>
      </w:pPr>
    </w:p>
    <w:p>
      <w:pPr>
        <w:ind w:left="780" w:right="40" w:hanging="556"/>
        <w:spacing w:after="0" w:line="23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executive chairman (2016-present) and chairman and CEO (2009-2015) of MoneyGram International, Inc., senior executive vice president of First Data Corporation (2000-2007) and president and CEO of Paymentech, Inc. (1991-2000), has gained first-hand experience in managing large, multinational organizations, including the application of technology in the financial services sector, with ultimate management responsibility for financial performance and significant capital investments.</w:t>
      </w:r>
    </w:p>
    <w:p>
      <w:pPr>
        <w:spacing w:after="0" w:line="3" w:lineRule="exact"/>
        <w:rPr>
          <w:rFonts w:ascii="Arial" w:cs="Arial" w:eastAsia="Arial" w:hAnsi="Arial"/>
          <w:sz w:val="18"/>
          <w:szCs w:val="18"/>
          <w:color w:val="auto"/>
        </w:rPr>
      </w:pPr>
    </w:p>
    <w:p>
      <w:pPr>
        <w:ind w:left="780" w:right="140" w:hanging="556"/>
        <w:spacing w:after="0" w:line="23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audit committee chair at the company (2006-April 18, 2013), a member of the audit committee at Dr Pepper Snapple Group, Inc., chief financial officer of First USA, Inc. (1987-1994) and an auditor at KPMG Peat Marwick for almost six years before joining First USA, has developed a keen appreciation for audit- and financial control-related matters.</w:t>
      </w:r>
    </w:p>
    <w:p>
      <w:pPr>
        <w:spacing w:after="0" w:line="2" w:lineRule="exact"/>
        <w:rPr>
          <w:rFonts w:ascii="Arial" w:cs="Arial" w:eastAsia="Arial" w:hAnsi="Arial"/>
          <w:sz w:val="18"/>
          <w:szCs w:val="18"/>
          <w:color w:val="auto"/>
        </w:rPr>
      </w:pPr>
    </w:p>
    <w:p>
      <w:pPr>
        <w:ind w:left="780" w:right="80" w:hanging="55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director of Dr Pepper Snapple Group, Inc. (2008-present), Hilton Grand Vacations, Inc. (January 2017-present) and a director of Molson Coors Brewing Company (2005-2009), has helped oversee the strategy and operations of other major multinational corporations.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Sanchez</w:t>
      </w:r>
    </w:p>
    <w:p>
      <w:pPr>
        <w:spacing w:after="0" w:line="239" w:lineRule="exact"/>
        <w:rPr>
          <w:sz w:val="20"/>
          <w:szCs w:val="20"/>
          <w:color w:val="auto"/>
        </w:rPr>
      </w:pPr>
    </w:p>
    <w:p>
      <w:pPr>
        <w:ind w:left="780" w:right="80" w:hanging="556"/>
        <w:spacing w:after="0" w:line="23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chairman and CEO (2013-present), president (2012-2014) and chief operating officer (2012) of Ryder System, Inc. and as president of its Global Fleet Management Solutions business segment (2010-2012), has gained first-hand experience in managing a large, multinational, transportation-related organization, with responsibility for the organization’s financial performance and significant capital investments.</w:t>
      </w:r>
    </w:p>
    <w:p>
      <w:pPr>
        <w:spacing w:after="0" w:line="3" w:lineRule="exact"/>
        <w:rPr>
          <w:rFonts w:ascii="Arial" w:cs="Arial" w:eastAsia="Arial" w:hAnsi="Arial"/>
          <w:sz w:val="18"/>
          <w:szCs w:val="18"/>
          <w:color w:val="auto"/>
        </w:rPr>
      </w:pPr>
    </w:p>
    <w:p>
      <w:pPr>
        <w:ind w:left="780" w:right="200" w:hanging="55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executive vice president and chief financial officer (2007-2010) and as senior vice president and chief information officer (2003-2005) of Ryder System, Inc., has developed a keen appreciation for audit- and financial control-related issues and gained first-hand experience with all technology-related functions of a large, multinational corporation focused on transportation and logistics.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Sanders</w:t>
      </w:r>
    </w:p>
    <w:p>
      <w:pPr>
        <w:spacing w:after="0" w:line="239" w:lineRule="exact"/>
        <w:rPr>
          <w:sz w:val="20"/>
          <w:szCs w:val="20"/>
          <w:color w:val="auto"/>
        </w:rPr>
      </w:pPr>
    </w:p>
    <w:p>
      <w:pPr>
        <w:ind w:left="780" w:right="480" w:hanging="556"/>
        <w:spacing w:after="0" w:line="23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chairman (1992-2003) and CEO (1991-2002) of Kimberly-Clark Corporation, has gained first-hand experience in managing a large, multinational consumer goods corporation, with ultimate management responsibility for its financial performance and its significant capital and R&amp;D investments.</w:t>
      </w:r>
    </w:p>
    <w:p>
      <w:pPr>
        <w:spacing w:after="0" w:line="2" w:lineRule="exact"/>
        <w:rPr>
          <w:rFonts w:ascii="Arial" w:cs="Arial" w:eastAsia="Arial" w:hAnsi="Arial"/>
          <w:sz w:val="18"/>
          <w:szCs w:val="18"/>
          <w:color w:val="auto"/>
        </w:rPr>
      </w:pPr>
    </w:p>
    <w:p>
      <w:pPr>
        <w:ind w:left="780" w:right="240" w:hanging="556"/>
        <w:spacing w:after="0" w:line="24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chairman of Dr Pepper Snapple Group, Inc. (2008-present) and a director of Belo Corporation (2003-2013), has helped oversee the strategy and operations of other large corporations.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 Templeton</w:t>
      </w:r>
    </w:p>
    <w:p>
      <w:pPr>
        <w:spacing w:after="0" w:line="239" w:lineRule="exact"/>
        <w:rPr>
          <w:sz w:val="20"/>
          <w:szCs w:val="20"/>
          <w:color w:val="auto"/>
        </w:rPr>
      </w:pPr>
    </w:p>
    <w:p>
      <w:pPr>
        <w:ind w:left="780" w:right="120" w:hanging="55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36-year veteran of the semiconductor industry, serving the last 21 years at a senior level at the company, including as chairman since 2008, CEO since 2004 and director since 2003, has developed a deep knowledge of all aspects of the company and of the semiconductor industry.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Communications with the board</w:t>
      </w:r>
    </w:p>
    <w:p>
      <w:pPr>
        <w:spacing w:after="0" w:line="20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sent to this address will be shared with the board, committee or individual director as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Corporate governance</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 specific to governance and executive compensation matters. The board’s corporate governance guidelines (which include the director independence standards), the charters of each of the board’s committees, TI’s code of conduct, our code of ethics for our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33"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22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080" w:type="dxa"/>
            <w:vAlign w:val="bottom"/>
          </w:tcPr>
          <w:p>
            <w:pPr>
              <w:jc w:val="right"/>
              <w:spacing w:after="0"/>
              <w:rPr>
                <w:sz w:val="20"/>
                <w:szCs w:val="20"/>
                <w:color w:val="auto"/>
              </w:rPr>
            </w:pPr>
            <w:r>
              <w:rPr>
                <w:rFonts w:ascii="Arial" w:cs="Arial" w:eastAsia="Arial" w:hAnsi="Arial"/>
                <w:sz w:val="13"/>
                <w:szCs w:val="13"/>
                <w:color w:val="666666"/>
              </w:rPr>
              <w:t>9</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Annual meeting attendance</w:t>
      </w:r>
    </w:p>
    <w:p>
      <w:pPr>
        <w:spacing w:after="0" w:line="20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It is a policy of the board to encourage directors to attend each annual meeting of stockholders. Such attendance allows for direct interaction between stockholders and board members. In 2016, all directors then in office and standing for re-election attended TI’s annual meeting of stockholders.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Director independence</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22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ind w:left="90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ind w:left="900" w:right="46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900" w:right="8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5" w:lineRule="exact"/>
        <w:rPr>
          <w:rFonts w:ascii="Arial" w:cs="Arial" w:eastAsia="Arial" w:hAnsi="Arial"/>
          <w:sz w:val="18"/>
          <w:szCs w:val="18"/>
          <w:color w:val="auto"/>
        </w:rPr>
      </w:pPr>
    </w:p>
    <w:p>
      <w:pPr>
        <w:ind w:left="900" w:right="80" w:hanging="446"/>
        <w:spacing w:after="0" w:line="23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ind w:left="900" w:right="28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ind w:left="900" w:right="340"/>
        <w:spacing w:after="0" w:line="234" w:lineRule="auto"/>
        <w:rPr>
          <w:rFonts w:ascii="Arial" w:cs="Arial" w:eastAsia="Arial" w:hAnsi="Arial"/>
          <w:sz w:val="18"/>
          <w:szCs w:val="18"/>
          <w:color w:val="auto"/>
        </w:rPr>
      </w:pPr>
      <w:r>
        <w:rPr>
          <w:rFonts w:ascii="Arial" w:cs="Arial" w:eastAsia="Arial" w:hAnsi="Arial"/>
          <w:sz w:val="18"/>
          <w:szCs w:val="18"/>
          <w:color w:val="auto"/>
        </w:rPr>
        <w:t>(a) 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2"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ind w:left="900" w:right="22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900" w:right="14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900" w:right="6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900" w:right="140" w:hanging="446"/>
        <w:spacing w:after="0" w:line="23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900" w:hanging="446"/>
        <w:spacing w:after="0" w:line="246"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223" w:lineRule="exact"/>
        <w:rPr>
          <w:rFonts w:ascii="Arial" w:cs="Arial" w:eastAsia="Arial" w:hAnsi="Arial"/>
          <w:sz w:val="18"/>
          <w:szCs w:val="18"/>
          <w:color w:val="auto"/>
        </w:rPr>
      </w:pPr>
    </w:p>
    <w:p>
      <w:pPr>
        <w:ind w:left="460" w:right="40" w:hanging="452"/>
        <w:spacing w:after="0" w:line="23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00" w:hanging="452"/>
        <w:spacing w:after="0" w:line="23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2" w:lineRule="exact"/>
        <w:rPr>
          <w:rFonts w:ascii="Arial" w:cs="Arial" w:eastAsia="Arial" w:hAnsi="Arial"/>
          <w:sz w:val="18"/>
          <w:szCs w:val="18"/>
          <w:color w:val="auto"/>
        </w:rPr>
      </w:pPr>
    </w:p>
    <w:p>
      <w:pPr>
        <w:ind w:left="900" w:right="420" w:hanging="446"/>
        <w:spacing w:after="0" w:line="23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238" w:lineRule="exact"/>
        <w:rPr>
          <w:rFonts w:ascii="Arial" w:cs="Arial" w:eastAsia="Arial" w:hAnsi="Arial"/>
          <w:sz w:val="18"/>
          <w:szCs w:val="18"/>
          <w:color w:val="auto"/>
        </w:rPr>
      </w:pPr>
    </w:p>
    <w:p>
      <w:pPr>
        <w:ind w:left="460" w:right="8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organization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Board and committee meetings</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2016, the board held ten meetings. The board has three standing committees described below. The committees of the board collectively held 29 meetings in 2016. Each director attended at least 75 percent of the board and relevant committee meetings combined. Overall attendance at board and committee meetings was approximately 97 percent.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Committees of the board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July 14, 2015, to April 21, 2016, the committee members were Mr. Babb (chair), Mr. Blinn, Ms. Clark and Ruth J. Simmons (who reached the age of 70 by the 2016 annual meeting and was therefore ineligible to stand for re-election). From April 22, 2016, to July 19, 2016, the committee members were Mr. Babb (chair), Mr. Blinn and Ms. Clark. Since July 20, 2016, the committee members have been Mr. Babb (chair), Mr. Blinn, Ms. Clark and Ms. Hobby with Mr. Bluedorn joining the committee March 1, 2017. The Audit Committee is generally responsible for:</w:t>
      </w:r>
    </w:p>
    <w:p>
      <w:pPr>
        <w:spacing w:after="0" w:line="226" w:lineRule="exact"/>
        <w:rPr>
          <w:sz w:val="20"/>
          <w:szCs w:val="20"/>
          <w:color w:val="auto"/>
        </w:rPr>
      </w:pPr>
    </w:p>
    <w:p>
      <w:pPr>
        <w:ind w:left="780" w:hanging="55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annual report of TI’s independent registered public accounting firm related to quality control.</w:t>
      </w:r>
    </w:p>
    <w:p>
      <w:pPr>
        <w:ind w:left="780" w:right="30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TI’s audit plans.</w:t>
      </w:r>
    </w:p>
    <w:p>
      <w:pPr>
        <w:ind w:left="780" w:right="26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8"/>
          <w:szCs w:val="18"/>
          <w:color w:val="auto"/>
        </w:rPr>
      </w:pPr>
    </w:p>
    <w:p>
      <w:pPr>
        <w:ind w:left="780" w:right="3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relationships between the independent registered public accounting firm and TI.</w:t>
      </w:r>
    </w:p>
    <w:p>
      <w:pPr>
        <w:ind w:left="780" w:right="30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discussing the adequacy of TI’s internal accounting controls and other factors affecting the integrity of TI’s financial reports with management and with the independent registered public accounting firm.</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TI’s risk assessment and risk management policies.</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TI’s compliance and ethics program.</w:t>
      </w:r>
    </w:p>
    <w:p>
      <w:pPr>
        <w:ind w:left="780" w:right="6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TI’s non-employee-related insurance programs.</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changes, if any, in major accounting policies of the company.</w:t>
      </w:r>
    </w:p>
    <w:p>
      <w:pPr>
        <w:ind w:left="780" w:hanging="556"/>
        <w:spacing w:after="0" w:line="23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trends in accounting policy changes that are relevant to the company.</w:t>
      </w:r>
    </w:p>
    <w:p>
      <w:pPr>
        <w:ind w:left="780" w:hanging="55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company’s policy regarding investments and financial derivative products.</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11</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Mr. Babb as the audit committee financial expert as defined in the Securities Exchange Act of 1934, as amended.</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Audit Committee met six times in 2016.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pages 42-43 for a report of the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the Compensation Committee are independent. Since April 17, 2015, the committee members have been Mr. Sanchez (chair),</w:t>
      </w:r>
    </w:p>
    <w:p>
      <w:pPr>
        <w:spacing w:after="0"/>
        <w:rPr>
          <w:sz w:val="20"/>
          <w:szCs w:val="20"/>
          <w:color w:val="auto"/>
        </w:rPr>
      </w:pPr>
      <w:r>
        <w:rPr>
          <w:rFonts w:ascii="Arial" w:cs="Arial" w:eastAsia="Arial" w:hAnsi="Arial"/>
          <w:sz w:val="18"/>
          <w:szCs w:val="18"/>
          <w:color w:val="auto"/>
        </w:rPr>
        <w:t>Mr. Carp, Ms. Patsley and Ms. Whitman. The committee is responsible for:</w:t>
      </w:r>
    </w:p>
    <w:p>
      <w:pPr>
        <w:spacing w:after="0" w:line="234" w:lineRule="exact"/>
        <w:rPr>
          <w:sz w:val="20"/>
          <w:szCs w:val="20"/>
          <w:color w:val="auto"/>
        </w:rPr>
      </w:pPr>
    </w:p>
    <w:p>
      <w:pPr>
        <w:ind w:left="780" w:hanging="55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ind w:left="780" w:hanging="556"/>
        <w:spacing w:after="0" w:line="23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ind w:left="780" w:hanging="556"/>
        <w:spacing w:after="0" w:line="23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ind w:left="780" w:hanging="556"/>
        <w:spacing w:after="0" w:line="23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jc w:val="both"/>
        <w:ind w:left="1000" w:hanging="317"/>
        <w:spacing w:after="0" w:line="234" w:lineRule="auto"/>
        <w:tabs>
          <w:tab w:leader="none" w:pos="1000" w:val="left"/>
        </w:tabs>
        <w:numPr>
          <w:ilvl w:val="1"/>
          <w:numId w:val="25"/>
        </w:numPr>
        <w:rPr>
          <w:rFonts w:ascii="Arial" w:cs="Arial" w:eastAsia="Arial" w:hAnsi="Arial"/>
          <w:sz w:val="15"/>
          <w:szCs w:val="15"/>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 w:lineRule="exact"/>
        <w:rPr>
          <w:rFonts w:ascii="Arial" w:cs="Arial" w:eastAsia="Arial" w:hAnsi="Arial"/>
          <w:sz w:val="15"/>
          <w:szCs w:val="15"/>
          <w:color w:val="auto"/>
        </w:rPr>
      </w:pPr>
    </w:p>
    <w:p>
      <w:pPr>
        <w:ind w:left="1000" w:right="80" w:hanging="317"/>
        <w:spacing w:after="0" w:line="234" w:lineRule="auto"/>
        <w:tabs>
          <w:tab w:leader="none" w:pos="1000" w:val="left"/>
        </w:tabs>
        <w:numPr>
          <w:ilvl w:val="1"/>
          <w:numId w:val="25"/>
        </w:numPr>
        <w:rPr>
          <w:rFonts w:ascii="Arial" w:cs="Arial" w:eastAsia="Arial" w:hAnsi="Arial"/>
          <w:sz w:val="15"/>
          <w:szCs w:val="15"/>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5"/>
          <w:szCs w:val="15"/>
          <w:color w:val="auto"/>
        </w:rPr>
      </w:pPr>
    </w:p>
    <w:p>
      <w:pPr>
        <w:ind w:left="780" w:right="240" w:hanging="556"/>
        <w:spacing w:after="0" w:line="23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780" w:right="460" w:hanging="556"/>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Compensation Committee met six times in 2016. The Compensation Committee holds regularly scheduled meetings, reports its activities to the board, and consults with the board before setting annual executive compensation. Please see page 30 for a report of the committee.</w:t>
      </w:r>
    </w:p>
    <w:p>
      <w:pPr>
        <w:spacing w:after="0" w:line="1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2016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2016, the committee determined that its compensation consultant was independent of the company and had no conflict of interest.</w:t>
      </w:r>
    </w:p>
    <w:p>
      <w:pPr>
        <w:spacing w:after="0" w:line="20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136"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grant a limited number of stock options and restricted stock units (RSUs) under the company’s long-term incentive plans. The sole member of the special committee is Mr. Templeton. The special committee has no authority to grant, amend or terminate any form of compensation for TI’s executive officers. The Compensation Committee reviews the grant activity of the special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 and Stockholder Relations Committee</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All members of the G&amp;SR Committee are independent. Since April 17, 2015, the committee members have been Mr. Sanders (chair), Ms. Cox and Mr. Kirk. The G&amp;SR Committee is generally responsible for:</w:t>
      </w:r>
    </w:p>
    <w:p>
      <w:pPr>
        <w:spacing w:after="0" w:line="220" w:lineRule="exact"/>
        <w:rPr>
          <w:sz w:val="20"/>
          <w:szCs w:val="20"/>
          <w:color w:val="auto"/>
        </w:rPr>
      </w:pPr>
    </w:p>
    <w:p>
      <w:pPr>
        <w:ind w:left="780" w:hanging="55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The development and revision of our corporate governance principles.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The size, composition and functioning of the board and board committees.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Candidates to fill board positions.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Nominees to be designated for election as directors.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Compensation of board members.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Organization and responsibilities of board committees.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Succession planning by the company.</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Issues of potential conflicts of interest involving a board member raised under TI’s conflict of interest policy.</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Election of executive officers of the company.</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Topics affecting the relationship between the company and stockholders.</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Public issues likely to affect the company.</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Responses to proposals submitted by stockholders.</w:t>
      </w:r>
    </w:p>
    <w:p>
      <w:pPr>
        <w:ind w:left="780" w:hanging="556"/>
        <w:spacing w:after="0" w:line="234"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Contribution policies of the company and the TI Foundation.</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Scope of activities of the company’s political action committee.</w:t>
      </w:r>
    </w:p>
    <w:p>
      <w:pPr>
        <w:ind w:left="1120" w:hanging="321"/>
        <w:spacing w:after="0" w:line="234" w:lineRule="auto"/>
        <w:tabs>
          <w:tab w:leader="none" w:pos="11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Revisions to TI’s code of conduct.</w:t>
      </w:r>
    </w:p>
    <w:p>
      <w:pPr>
        <w:ind w:left="780" w:hanging="556"/>
        <w:spacing w:after="0" w:line="234"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ind w:left="780" w:hanging="55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G&amp;SR Committee met seven times in 2016. The G&amp;SR Committee holds regularly scheduled meetings and reports its activities to the board. Please see “Director candidate recommendations” and “Stockholder nomination of directors” for a discussion of stockholder nominations and recommendations and “Communications with the board” for details on how to contact the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Board leadership structure</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of the independent directors at each board meeting), allows it to maintain the active engagement of independent directors and appropriate oversight of management.</w:t>
      </w:r>
    </w:p>
    <w:p>
      <w:pPr>
        <w:spacing w:after="0" w:line="203"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Mr. Sanchez to serve as lead director. The duties of the lead director are to:</w:t>
      </w:r>
    </w:p>
    <w:p>
      <w:pPr>
        <w:spacing w:after="0" w:line="220" w:lineRule="exact"/>
        <w:rPr>
          <w:sz w:val="20"/>
          <w:szCs w:val="20"/>
          <w:color w:val="auto"/>
        </w:rPr>
      </w:pPr>
    </w:p>
    <w:p>
      <w:pPr>
        <w:ind w:left="780" w:hanging="55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ind w:left="780" w:hanging="556"/>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ind w:left="780" w:hanging="556"/>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ind w:left="780" w:hanging="556"/>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ind w:left="780" w:hanging="556"/>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ind w:left="780" w:hanging="55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13</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1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board, led by its G&amp;SR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20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Risk oversight by the board</w:t>
      </w:r>
    </w:p>
    <w:p>
      <w:pPr>
        <w:spacing w:after="0" w:line="20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R&amp;D).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20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Audit Committee oversees the company’s approach to risk management as a whole. It reviews the company’s risk management process at least annually by means of a presentation by the CFO.</w:t>
      </w:r>
    </w:p>
    <w:p>
      <w:pPr>
        <w:spacing w:after="0" w:line="1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3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2016 for the non-employee directors were:</w:t>
      </w:r>
    </w:p>
    <w:p>
      <w:pPr>
        <w:spacing w:after="0" w:line="234" w:lineRule="exact"/>
        <w:rPr>
          <w:sz w:val="20"/>
          <w:szCs w:val="20"/>
          <w:color w:val="auto"/>
        </w:rPr>
      </w:pPr>
    </w:p>
    <w:p>
      <w:pPr>
        <w:ind w:left="780" w:hanging="55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retainer of $85,000 for board and committee service.</w:t>
      </w:r>
    </w:p>
    <w:p>
      <w:pPr>
        <w:ind w:left="780" w:hanging="556"/>
        <w:spacing w:after="0" w:line="23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annual retainer of $25,000 for service as the lead director.</w:t>
      </w:r>
    </w:p>
    <w:p>
      <w:pPr>
        <w:ind w:left="780" w:right="220" w:hanging="556"/>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$15,000 for service as chair of the G&amp;SR Committee.</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20" w:hanging="556"/>
        <w:spacing w:after="0" w:line="248" w:lineRule="auto"/>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5" w:lineRule="exact"/>
        <w:rPr>
          <w:rFonts w:ascii="Arial" w:cs="Arial" w:eastAsia="Arial" w:hAnsi="Arial"/>
          <w:sz w:val="17"/>
          <w:szCs w:val="17"/>
          <w:color w:val="auto"/>
        </w:rPr>
      </w:pPr>
    </w:p>
    <w:p>
      <w:pPr>
        <w:ind w:left="780" w:right="60" w:hanging="556"/>
        <w:spacing w:after="0" w:line="23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6" w:lineRule="exact"/>
        <w:rPr>
          <w:rFonts w:ascii="Arial" w:cs="Arial" w:eastAsia="Arial" w:hAnsi="Arial"/>
          <w:sz w:val="18"/>
          <w:szCs w:val="18"/>
          <w:color w:val="auto"/>
        </w:rPr>
      </w:pPr>
    </w:p>
    <w:p>
      <w:pPr>
        <w:ind w:left="780" w:hanging="556"/>
        <w:spacing w:after="0" w:line="234"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ind w:left="780" w:hanging="55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one-time grant of 2,000 restricted stock units upon a director’s initial election to the board.</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when grants are made to our U.S. employees in connection with the annual compensation review process. Accordingly, such equity grants to non-employee directors are made in January. Please see “Process for equity grants” for a discussion regarding the timing of equity compensation grants.</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2016, that rate was 4.00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15</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2016 director compensation</w:t>
      </w:r>
    </w:p>
    <w:p>
      <w:pPr>
        <w:spacing w:after="0" w:line="20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2016 for services in all capacities to TI in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in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Fees Earned</w:t>
            </w:r>
          </w:p>
        </w:tc>
        <w:tc>
          <w:tcPr>
            <w:tcW w:w="300" w:type="dxa"/>
            <w:vAlign w:val="bottom"/>
          </w:tcPr>
          <w:p>
            <w:pPr>
              <w:spacing w:after="0"/>
              <w:rPr>
                <w:sz w:val="14"/>
                <w:szCs w:val="14"/>
                <w:color w:val="auto"/>
              </w:rPr>
            </w:pPr>
          </w:p>
        </w:tc>
        <w:tc>
          <w:tcPr>
            <w:tcW w:w="900" w:type="dxa"/>
            <w:vAlign w:val="bottom"/>
          </w:tcPr>
          <w:p>
            <w:pPr>
              <w:jc w:val="center"/>
              <w:ind w:right="274"/>
              <w:spacing w:after="0"/>
              <w:rPr>
                <w:sz w:val="20"/>
                <w:szCs w:val="20"/>
                <w:color w:val="auto"/>
              </w:rPr>
            </w:pPr>
            <w:r>
              <w:rPr>
                <w:rFonts w:ascii="Arial" w:cs="Arial" w:eastAsia="Arial" w:hAnsi="Arial"/>
                <w:sz w:val="14"/>
                <w:szCs w:val="14"/>
                <w:b w:val="1"/>
                <w:bCs w:val="1"/>
                <w:color w:val="auto"/>
                <w:w w:val="99"/>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Deferred</w:t>
            </w:r>
          </w:p>
        </w:tc>
        <w:tc>
          <w:tcPr>
            <w:tcW w:w="360" w:type="dxa"/>
            <w:vAlign w:val="bottom"/>
          </w:tcPr>
          <w:p>
            <w:pPr>
              <w:spacing w:after="0"/>
              <w:rPr>
                <w:sz w:val="14"/>
                <w:szCs w:val="14"/>
                <w:color w:val="auto"/>
              </w:rPr>
            </w:pPr>
          </w:p>
        </w:tc>
        <w:tc>
          <w:tcPr>
            <w:tcW w:w="1020" w:type="dxa"/>
            <w:vAlign w:val="bottom"/>
          </w:tcPr>
          <w:p>
            <w:pPr>
              <w:jc w:val="center"/>
              <w:ind w:right="293"/>
              <w:spacing w:after="0"/>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9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or Paid in</w:t>
            </w:r>
          </w:p>
        </w:tc>
        <w:tc>
          <w:tcPr>
            <w:tcW w:w="300" w:type="dxa"/>
            <w:vAlign w:val="bottom"/>
          </w:tcPr>
          <w:p>
            <w:pPr>
              <w:spacing w:after="0"/>
              <w:rPr>
                <w:sz w:val="14"/>
                <w:szCs w:val="14"/>
                <w:color w:val="auto"/>
              </w:rPr>
            </w:pPr>
          </w:p>
        </w:tc>
        <w:tc>
          <w:tcPr>
            <w:tcW w:w="900" w:type="dxa"/>
            <w:vAlign w:val="bottom"/>
          </w:tcPr>
          <w:p>
            <w:pPr>
              <w:jc w:val="center"/>
              <w:ind w:right="254"/>
              <w:spacing w:after="0"/>
              <w:rPr>
                <w:sz w:val="20"/>
                <w:szCs w:val="20"/>
                <w:color w:val="auto"/>
              </w:rPr>
            </w:pPr>
            <w:r>
              <w:rPr>
                <w:rFonts w:ascii="Arial" w:cs="Arial" w:eastAsia="Arial" w:hAnsi="Arial"/>
                <w:sz w:val="14"/>
                <w:szCs w:val="14"/>
                <w:b w:val="1"/>
                <w:bCs w:val="1"/>
                <w:color w:val="auto"/>
              </w:rPr>
              <w:t>Awards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tcPr>
          <w:p>
            <w:pPr>
              <w:spacing w:after="0"/>
              <w:rPr>
                <w:sz w:val="14"/>
                <w:szCs w:val="14"/>
                <w:color w:val="auto"/>
              </w:rPr>
            </w:pPr>
          </w:p>
        </w:tc>
      </w:tr>
      <w:tr>
        <w:trPr>
          <w:trHeight w:val="189"/>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19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Cash ($) (2)</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9"/>
              </w:rPr>
              <w:t>($) (3)</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Earnings (5)</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rPr>
              <w:t>($) (6)</w:t>
            </w:r>
          </w:p>
        </w:tc>
        <w:tc>
          <w:tcPr>
            <w:tcW w:w="106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rPr>
              <w:t>Total ($)</w:t>
            </w:r>
          </w:p>
        </w:tc>
      </w:tr>
      <w:tr>
        <w:trPr>
          <w:trHeight w:val="196"/>
        </w:trPr>
        <w:tc>
          <w:tcPr>
            <w:tcW w:w="2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1920" w:type="dxa"/>
            <w:vAlign w:val="bottom"/>
            <w:gridSpan w:val="2"/>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$ 123,333</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99,985</w:t>
            </w:r>
          </w:p>
        </w:tc>
        <w:tc>
          <w:tcPr>
            <w:tcW w:w="108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$ 99,991</w:t>
            </w:r>
          </w:p>
        </w:tc>
        <w:tc>
          <w:tcPr>
            <w:tcW w:w="136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40</w:t>
            </w:r>
          </w:p>
        </w:tc>
        <w:tc>
          <w:tcPr>
            <w:tcW w:w="1060" w:type="dxa"/>
            <w:vAlign w:val="bottom"/>
            <w:shd w:val="clear" w:color="auto" w:fill="CCEEFF"/>
          </w:tcPr>
          <w:p>
            <w:pPr>
              <w:jc w:val="center"/>
              <w:ind w:left="71"/>
              <w:spacing w:after="0" w:line="196" w:lineRule="exact"/>
              <w:rPr>
                <w:sz w:val="20"/>
                <w:szCs w:val="20"/>
                <w:color w:val="auto"/>
              </w:rPr>
            </w:pPr>
            <w:r>
              <w:rPr>
                <w:rFonts w:ascii="Arial" w:cs="Arial" w:eastAsia="Arial" w:hAnsi="Arial"/>
                <w:sz w:val="18"/>
                <w:szCs w:val="18"/>
                <w:color w:val="auto"/>
              </w:rPr>
              <w:t>$ 323,349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1100" w:type="dxa"/>
            <w:vAlign w:val="bottom"/>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6,540</w:t>
            </w:r>
          </w:p>
        </w:tc>
        <w:tc>
          <w:tcPr>
            <w:tcW w:w="1060" w:type="dxa"/>
            <w:vAlign w:val="bottom"/>
          </w:tcPr>
          <w:p>
            <w:pPr>
              <w:jc w:val="center"/>
              <w:ind w:left="71"/>
              <w:spacing w:after="0" w:line="202" w:lineRule="exact"/>
              <w:rPr>
                <w:sz w:val="20"/>
                <w:szCs w:val="20"/>
                <w:color w:val="auto"/>
              </w:rPr>
            </w:pPr>
            <w:r>
              <w:rPr>
                <w:rFonts w:ascii="Arial" w:cs="Arial" w:eastAsia="Arial" w:hAnsi="Arial"/>
                <w:sz w:val="18"/>
                <w:szCs w:val="18"/>
                <w:color w:val="auto"/>
              </w:rPr>
              <w:t>$ 291,516</w:t>
            </w: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1100" w:type="dxa"/>
            <w:vAlign w:val="bottom"/>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818</w:t>
            </w:r>
          </w:p>
        </w:tc>
        <w:tc>
          <w:tcPr>
            <w:tcW w:w="1060" w:type="dxa"/>
            <w:vAlign w:val="bottom"/>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$ 285,794</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1100" w:type="dxa"/>
            <w:vAlign w:val="bottom"/>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20,040</w:t>
            </w:r>
          </w:p>
        </w:tc>
        <w:tc>
          <w:tcPr>
            <w:tcW w:w="1060" w:type="dxa"/>
            <w:vAlign w:val="bottom"/>
          </w:tcPr>
          <w:p>
            <w:pPr>
              <w:jc w:val="center"/>
              <w:ind w:left="71"/>
              <w:spacing w:after="0" w:line="202" w:lineRule="exact"/>
              <w:rPr>
                <w:sz w:val="20"/>
                <w:szCs w:val="20"/>
                <w:color w:val="auto"/>
              </w:rPr>
            </w:pPr>
            <w:r>
              <w:rPr>
                <w:rFonts w:ascii="Arial" w:cs="Arial" w:eastAsia="Arial" w:hAnsi="Arial"/>
                <w:sz w:val="18"/>
                <w:szCs w:val="18"/>
                <w:color w:val="auto"/>
              </w:rPr>
              <w:t>$ 305,016</w:t>
            </w: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1100" w:type="dxa"/>
            <w:vAlign w:val="bottom"/>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7,324</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5,040</w:t>
            </w:r>
          </w:p>
        </w:tc>
        <w:tc>
          <w:tcPr>
            <w:tcW w:w="1060" w:type="dxa"/>
            <w:vAlign w:val="bottom"/>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$ 297,340</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1100" w:type="dxa"/>
            <w:vAlign w:val="bottom"/>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38,159</w:t>
            </w:r>
          </w:p>
        </w:tc>
        <w:tc>
          <w:tcPr>
            <w:tcW w:w="120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$ 130,900</w:t>
            </w:r>
          </w:p>
        </w:tc>
        <w:tc>
          <w:tcPr>
            <w:tcW w:w="10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40</w:t>
            </w:r>
          </w:p>
        </w:tc>
        <w:tc>
          <w:tcPr>
            <w:tcW w:w="1060" w:type="dxa"/>
            <w:vAlign w:val="bottom"/>
          </w:tcPr>
          <w:p>
            <w:pPr>
              <w:jc w:val="center"/>
              <w:ind w:left="71"/>
              <w:spacing w:after="0" w:line="202" w:lineRule="exact"/>
              <w:rPr>
                <w:sz w:val="20"/>
                <w:szCs w:val="20"/>
                <w:color w:val="auto"/>
              </w:rPr>
            </w:pPr>
            <w:r>
              <w:rPr>
                <w:rFonts w:ascii="Arial" w:cs="Arial" w:eastAsia="Arial" w:hAnsi="Arial"/>
                <w:sz w:val="18"/>
                <w:szCs w:val="18"/>
                <w:color w:val="auto"/>
              </w:rPr>
              <w:t>$ 169,099</w:t>
            </w: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Kirk</w:t>
            </w:r>
          </w:p>
        </w:tc>
        <w:tc>
          <w:tcPr>
            <w:tcW w:w="1100" w:type="dxa"/>
            <w:vAlign w:val="bottom"/>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40</w:t>
            </w:r>
          </w:p>
        </w:tc>
        <w:tc>
          <w:tcPr>
            <w:tcW w:w="1060" w:type="dxa"/>
            <w:vAlign w:val="bottom"/>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$ 285,016</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1100" w:type="dxa"/>
            <w:vAlign w:val="bottom"/>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40</w:t>
            </w:r>
          </w:p>
        </w:tc>
        <w:tc>
          <w:tcPr>
            <w:tcW w:w="1060" w:type="dxa"/>
            <w:vAlign w:val="bottom"/>
          </w:tcPr>
          <w:p>
            <w:pPr>
              <w:jc w:val="center"/>
              <w:ind w:left="71"/>
              <w:spacing w:after="0" w:line="202" w:lineRule="exact"/>
              <w:rPr>
                <w:sz w:val="20"/>
                <w:szCs w:val="20"/>
                <w:color w:val="auto"/>
              </w:rPr>
            </w:pPr>
            <w:r>
              <w:rPr>
                <w:rFonts w:ascii="Arial" w:cs="Arial" w:eastAsia="Arial" w:hAnsi="Arial"/>
                <w:sz w:val="18"/>
                <w:szCs w:val="18"/>
                <w:color w:val="auto"/>
              </w:rPr>
              <w:t>$ 285,016</w:t>
            </w: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E. Sanchez</w:t>
            </w:r>
          </w:p>
        </w:tc>
        <w:tc>
          <w:tcPr>
            <w:tcW w:w="19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$ 121,667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10,040</w:t>
            </w:r>
          </w:p>
        </w:tc>
        <w:tc>
          <w:tcPr>
            <w:tcW w:w="1060" w:type="dxa"/>
            <w:vAlign w:val="bottom"/>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$ 331,683</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W. R. Sanders</w:t>
            </w:r>
          </w:p>
        </w:tc>
        <w:tc>
          <w:tcPr>
            <w:tcW w:w="1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$ 100,000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818</w:t>
            </w:r>
          </w:p>
        </w:tc>
        <w:tc>
          <w:tcPr>
            <w:tcW w:w="1060" w:type="dxa"/>
            <w:vAlign w:val="bottom"/>
          </w:tcPr>
          <w:p>
            <w:pPr>
              <w:jc w:val="center"/>
              <w:ind w:left="71"/>
              <w:spacing w:after="0" w:line="202" w:lineRule="exact"/>
              <w:rPr>
                <w:sz w:val="20"/>
                <w:szCs w:val="20"/>
                <w:color w:val="auto"/>
              </w:rPr>
            </w:pPr>
            <w:r>
              <w:rPr>
                <w:rFonts w:ascii="Arial" w:cs="Arial" w:eastAsia="Arial" w:hAnsi="Arial"/>
                <w:sz w:val="18"/>
                <w:szCs w:val="18"/>
                <w:color w:val="auto"/>
              </w:rPr>
              <w:t>$ 300,794</w:t>
            </w: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J. Simmons</w:t>
            </w:r>
          </w:p>
        </w:tc>
        <w:tc>
          <w:tcPr>
            <w:tcW w:w="1100" w:type="dxa"/>
            <w:vAlign w:val="bottom"/>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28,335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99,985</w:t>
            </w:r>
          </w:p>
        </w:tc>
        <w:tc>
          <w:tcPr>
            <w:tcW w:w="10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$ 99,991</w:t>
            </w:r>
          </w:p>
        </w:tc>
        <w:tc>
          <w:tcPr>
            <w:tcW w:w="13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831</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10,040</w:t>
            </w:r>
          </w:p>
        </w:tc>
        <w:tc>
          <w:tcPr>
            <w:tcW w:w="1060" w:type="dxa"/>
            <w:vAlign w:val="bottom"/>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$ 239,182</w:t>
            </w: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auto"/>
              </w:rPr>
              <w:t>C. T. Whitman</w:t>
            </w:r>
          </w:p>
        </w:tc>
        <w:tc>
          <w:tcPr>
            <w:tcW w:w="110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99,985</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$ 99,991</w:t>
            </w:r>
          </w:p>
        </w:tc>
        <w:tc>
          <w:tcPr>
            <w:tcW w:w="1360" w:type="dxa"/>
            <w:vAlign w:val="bottom"/>
          </w:tcPr>
          <w:p>
            <w:pPr>
              <w:ind w:lef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1,040</w:t>
            </w:r>
          </w:p>
        </w:tc>
        <w:tc>
          <w:tcPr>
            <w:tcW w:w="1060" w:type="dxa"/>
            <w:vAlign w:val="bottom"/>
          </w:tcPr>
          <w:p>
            <w:pPr>
              <w:jc w:val="center"/>
              <w:ind w:left="71"/>
              <w:spacing w:after="0"/>
              <w:rPr>
                <w:sz w:val="20"/>
                <w:szCs w:val="20"/>
                <w:color w:val="auto"/>
              </w:rPr>
            </w:pPr>
            <w:r>
              <w:rPr>
                <w:rFonts w:ascii="Arial" w:cs="Arial" w:eastAsia="Arial" w:hAnsi="Arial"/>
                <w:sz w:val="18"/>
                <w:szCs w:val="18"/>
                <w:color w:val="auto"/>
              </w:rPr>
              <w:t>$ 286,016</w:t>
            </w:r>
          </w:p>
        </w:tc>
      </w:tr>
    </w:tbl>
    <w:p>
      <w:pPr>
        <w:spacing w:after="0" w:line="106" w:lineRule="exact"/>
        <w:rPr>
          <w:sz w:val="20"/>
          <w:szCs w:val="20"/>
          <w:color w:val="auto"/>
        </w:rPr>
      </w:pPr>
    </w:p>
    <w:p>
      <w:pPr>
        <w:ind w:left="460" w:right="100" w:hanging="452"/>
        <w:spacing w:after="0" w:line="261"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Ms. Hobby was elected to the board effective July 20, 2016. Ms. Simmons, an independent director, reached the age of 70 by the date of the 2016 annual meeting and therefore was ineligible under the company’s by-laws to stand for re-election at the meeting. Mr. Bluedorn was elected to the board effective March 1, 2017, and accordingly received no compensation for services as a TI director in 2016.</w:t>
      </w:r>
    </w:p>
    <w:p>
      <w:pPr>
        <w:spacing w:after="0" w:line="91" w:lineRule="exact"/>
        <w:rPr>
          <w:rFonts w:ascii="Arial" w:cs="Arial" w:eastAsia="Arial" w:hAnsi="Arial"/>
          <w:sz w:val="17"/>
          <w:szCs w:val="17"/>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460" w:right="120" w:hanging="452"/>
        <w:spacing w:after="0" w:line="23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2016 calculated in accordance with Financial Accounting Standards Board Accounting Standards Codification™ Topic 718, Compensation-Stock Compensation (ASC 718). The discussion of the assumptions used for purposes of calculating the grant date fair value appears in Note 4 to the financial statements contained in Item 8 (“Note 4 to the Financial Statements”) in TI’s annual report on Form 10-K for the year ended December 31, 2016.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15. The table below shows the aggregate number of shares underlying outstanding restricted stock units held by the named individuals as of December 31, 2016. The value shown for Ms. Hobby represents the one-time restricted stock unit grant she received upon her initial election to the board.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380" w:type="dxa"/>
            <w:vAlign w:val="bottom"/>
          </w:tcPr>
          <w:p>
            <w:pPr>
              <w:jc w:val="center"/>
              <w:ind w:left="6515"/>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380" w:type="dxa"/>
            <w:vAlign w:val="bottom"/>
          </w:tcPr>
          <w:p>
            <w:pPr>
              <w:jc w:val="center"/>
              <w:ind w:left="6495"/>
              <w:spacing w:after="0"/>
              <w:rPr>
                <w:sz w:val="20"/>
                <w:szCs w:val="20"/>
                <w:color w:val="auto"/>
              </w:rPr>
            </w:pPr>
            <w:r>
              <w:rPr>
                <w:rFonts w:ascii="Arial" w:cs="Arial" w:eastAsia="Arial" w:hAnsi="Arial"/>
                <w:sz w:val="14"/>
                <w:szCs w:val="14"/>
                <w:b w:val="1"/>
                <w:bCs w:val="1"/>
                <w:color w:val="auto"/>
              </w:rPr>
              <w:t>Stock Units</w:t>
            </w:r>
          </w:p>
        </w:tc>
      </w:tr>
      <w:tr>
        <w:trPr>
          <w:trHeight w:val="189"/>
        </w:trPr>
        <w:tc>
          <w:tcPr>
            <w:tcW w:w="900" w:type="dxa"/>
            <w:vAlign w:val="bottom"/>
          </w:tcPr>
          <w:p>
            <w:pPr>
              <w:spacing w:after="0"/>
              <w:rPr>
                <w:sz w:val="16"/>
                <w:szCs w:val="16"/>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7380" w:type="dxa"/>
            <w:vAlign w:val="bottom"/>
            <w:tcBorders>
              <w:bottom w:val="single" w:sz="8" w:color="auto"/>
            </w:tcBorders>
          </w:tcPr>
          <w:p>
            <w:pPr>
              <w:jc w:val="center"/>
              <w:ind w:left="6515"/>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900" w:type="dxa"/>
            <w:vAlign w:val="bottom"/>
          </w:tcPr>
          <w:p>
            <w:pPr>
              <w:spacing w:after="0"/>
              <w:rPr>
                <w:sz w:val="17"/>
                <w:szCs w:val="17"/>
                <w:color w:val="auto"/>
              </w:rPr>
            </w:pPr>
          </w:p>
        </w:tc>
        <w:tc>
          <w:tcPr>
            <w:tcW w:w="2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738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17,035</w:t>
            </w:r>
          </w:p>
        </w:tc>
      </w:tr>
      <w:tr>
        <w:trPr>
          <w:trHeight w:val="203"/>
        </w:trPr>
        <w:tc>
          <w:tcPr>
            <w:tcW w:w="90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7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8,010</w:t>
            </w:r>
          </w:p>
        </w:tc>
      </w:tr>
      <w:tr>
        <w:trPr>
          <w:trHeight w:val="203"/>
        </w:trPr>
        <w:tc>
          <w:tcPr>
            <w:tcW w:w="90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73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33,699</w:t>
            </w:r>
          </w:p>
        </w:tc>
      </w:tr>
      <w:tr>
        <w:trPr>
          <w:trHeight w:val="203"/>
        </w:trPr>
        <w:tc>
          <w:tcPr>
            <w:tcW w:w="90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7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3,889</w:t>
            </w:r>
          </w:p>
        </w:tc>
      </w:tr>
      <w:tr>
        <w:trPr>
          <w:trHeight w:val="203"/>
        </w:trPr>
        <w:tc>
          <w:tcPr>
            <w:tcW w:w="90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73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27,035</w:t>
            </w:r>
          </w:p>
        </w:tc>
      </w:tr>
      <w:tr>
        <w:trPr>
          <w:trHeight w:val="203"/>
        </w:trPr>
        <w:tc>
          <w:tcPr>
            <w:tcW w:w="90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7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90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Kirk</w:t>
            </w:r>
          </w:p>
        </w:tc>
        <w:tc>
          <w:tcPr>
            <w:tcW w:w="73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8,010</w:t>
            </w:r>
          </w:p>
        </w:tc>
      </w:tr>
      <w:tr>
        <w:trPr>
          <w:trHeight w:val="203"/>
        </w:trPr>
        <w:tc>
          <w:tcPr>
            <w:tcW w:w="90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7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11,058</w:t>
            </w:r>
          </w:p>
        </w:tc>
      </w:tr>
      <w:tr>
        <w:trPr>
          <w:trHeight w:val="203"/>
        </w:trPr>
        <w:tc>
          <w:tcPr>
            <w:tcW w:w="90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E. Sanchez</w:t>
            </w:r>
          </w:p>
        </w:tc>
        <w:tc>
          <w:tcPr>
            <w:tcW w:w="73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9,058</w:t>
            </w:r>
          </w:p>
        </w:tc>
      </w:tr>
      <w:tr>
        <w:trPr>
          <w:trHeight w:val="203"/>
        </w:trPr>
        <w:tc>
          <w:tcPr>
            <w:tcW w:w="90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18"/>
                <w:szCs w:val="18"/>
                <w:color w:val="auto"/>
              </w:rPr>
              <w:t>W. R. Sanders</w:t>
            </w:r>
          </w:p>
        </w:tc>
        <w:tc>
          <w:tcPr>
            <w:tcW w:w="7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18,658</w:t>
            </w:r>
          </w:p>
        </w:tc>
      </w:tr>
      <w:tr>
        <w:trPr>
          <w:trHeight w:val="203"/>
        </w:trPr>
        <w:tc>
          <w:tcPr>
            <w:tcW w:w="90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J. Simmons</w:t>
            </w:r>
          </w:p>
        </w:tc>
        <w:tc>
          <w:tcPr>
            <w:tcW w:w="73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25,035</w:t>
            </w:r>
          </w:p>
        </w:tc>
      </w:tr>
      <w:tr>
        <w:trPr>
          <w:trHeight w:val="217"/>
        </w:trPr>
        <w:tc>
          <w:tcPr>
            <w:tcW w:w="9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 T. Whitman</w:t>
            </w:r>
          </w:p>
        </w:tc>
        <w:tc>
          <w:tcPr>
            <w:tcW w:w="7380" w:type="dxa"/>
            <w:vAlign w:val="bottom"/>
          </w:tcPr>
          <w:p>
            <w:pPr>
              <w:jc w:val="right"/>
              <w:ind w:right="35"/>
              <w:spacing w:after="0"/>
              <w:rPr>
                <w:sz w:val="20"/>
                <w:szCs w:val="20"/>
                <w:color w:val="auto"/>
              </w:rPr>
            </w:pPr>
            <w:r>
              <w:rPr>
                <w:rFonts w:ascii="Arial" w:cs="Arial" w:eastAsia="Arial" w:hAnsi="Arial"/>
                <w:sz w:val="18"/>
                <w:szCs w:val="18"/>
                <w:color w:val="auto"/>
              </w:rPr>
              <w:t>24,535</w:t>
            </w:r>
          </w:p>
        </w:tc>
      </w:tr>
      <w:tr>
        <w:trPr>
          <w:trHeight w:val="280"/>
        </w:trPr>
        <w:tc>
          <w:tcPr>
            <w:tcW w:w="900" w:type="dxa"/>
            <w:vAlign w:val="bottom"/>
          </w:tcPr>
          <w:p>
            <w:pPr>
              <w:jc w:val="right"/>
              <w:ind w:right="697"/>
              <w:spacing w:after="0"/>
              <w:rPr>
                <w:sz w:val="20"/>
                <w:szCs w:val="20"/>
                <w:color w:val="auto"/>
              </w:rPr>
            </w:pPr>
            <w:r>
              <w:rPr>
                <w:rFonts w:ascii="Arial" w:cs="Arial" w:eastAsia="Arial" w:hAnsi="Arial"/>
                <w:sz w:val="13"/>
                <w:szCs w:val="13"/>
                <w:color w:val="666666"/>
                <w:w w:val="82"/>
              </w:rPr>
              <w:t>16</w:t>
            </w:r>
          </w:p>
        </w:tc>
        <w:tc>
          <w:tcPr>
            <w:tcW w:w="2200" w:type="dxa"/>
            <w:vAlign w:val="bottom"/>
          </w:tcPr>
          <w:p>
            <w:pPr>
              <w:spacing w:after="0"/>
              <w:rPr>
                <w:sz w:val="24"/>
                <w:szCs w:val="24"/>
                <w:color w:val="auto"/>
              </w:rPr>
            </w:pPr>
          </w:p>
        </w:tc>
        <w:tc>
          <w:tcPr>
            <w:tcW w:w="7380" w:type="dxa"/>
            <w:vAlign w:val="bottom"/>
          </w:tcPr>
          <w:p>
            <w:pPr>
              <w:jc w:val="right"/>
              <w:ind w:right="3075"/>
              <w:spacing w:after="0"/>
              <w:rPr>
                <w:sz w:val="20"/>
                <w:szCs w:val="20"/>
                <w:color w:val="auto"/>
              </w:rPr>
            </w:pPr>
            <w:r>
              <w:rPr>
                <w:rFonts w:ascii="Arial" w:cs="Arial" w:eastAsia="Arial" w:hAnsi="Arial"/>
                <w:sz w:val="13"/>
                <w:szCs w:val="13"/>
                <w:color w:val="666666"/>
              </w:rPr>
              <w:t>TEXAS INSTRUMENTS  •  2017 PROXY STATEMENT</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40" w:hanging="452"/>
        <w:spacing w:after="0" w:line="23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2016 calculated in accordance with ASC 718. The discussion of the assumptions used for purposes of calculating the grant date fair value appears in Note 4 to the financial statements in TI’s annual report on Form 10-K for the year ended December 31, 2016. The terms of these options are as set forth on page 15 except that for options granted before 2010, the grant becomes fully exercisable upon a change in control of TI. The table below shows the aggregate number of shares underlying outstanding stock options held by the named individuals as of December 31, 2016.</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580" w:type="dxa"/>
            <w:vAlign w:val="bottom"/>
          </w:tcPr>
          <w:p>
            <w:pPr>
              <w:jc w:val="right"/>
              <w:ind w:right="73"/>
              <w:spacing w:after="0"/>
              <w:rPr>
                <w:sz w:val="20"/>
                <w:szCs w:val="20"/>
                <w:color w:val="auto"/>
              </w:rPr>
            </w:pPr>
            <w:r>
              <w:rPr>
                <w:rFonts w:ascii="Arial" w:cs="Arial" w:eastAsia="Arial" w:hAnsi="Arial"/>
                <w:sz w:val="14"/>
                <w:szCs w:val="14"/>
                <w:b w:val="1"/>
                <w:bCs w:val="1"/>
                <w:color w:val="auto"/>
              </w:rPr>
              <w:t>Options</w:t>
            </w:r>
          </w:p>
        </w:tc>
      </w:tr>
      <w:tr>
        <w:trPr>
          <w:trHeight w:val="189"/>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45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69,735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45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32,828</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4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90,735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45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9,990</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4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90,735</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45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Kirk</w:t>
            </w:r>
          </w:p>
        </w:tc>
        <w:tc>
          <w:tcPr>
            <w:tcW w:w="4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32,828</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45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90,735</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E. Sanchez</w:t>
            </w:r>
          </w:p>
        </w:tc>
        <w:tc>
          <w:tcPr>
            <w:tcW w:w="4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59,733</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W. R. Sanders</w:t>
            </w:r>
          </w:p>
        </w:tc>
        <w:tc>
          <w:tcPr>
            <w:tcW w:w="45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69,735</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J. Simmons</w:t>
            </w:r>
          </w:p>
        </w:tc>
        <w:tc>
          <w:tcPr>
            <w:tcW w:w="45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40,168</w:t>
            </w: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C. T. Whitman</w:t>
            </w:r>
          </w:p>
        </w:tc>
        <w:tc>
          <w:tcPr>
            <w:tcW w:w="4580" w:type="dxa"/>
            <w:vAlign w:val="bottom"/>
          </w:tcPr>
          <w:p>
            <w:pPr>
              <w:jc w:val="right"/>
              <w:ind w:right="73"/>
              <w:spacing w:after="0"/>
              <w:rPr>
                <w:sz w:val="20"/>
                <w:szCs w:val="20"/>
                <w:color w:val="auto"/>
              </w:rPr>
            </w:pPr>
            <w:r>
              <w:rPr>
                <w:rFonts w:ascii="Arial" w:cs="Arial" w:eastAsia="Arial" w:hAnsi="Arial"/>
                <w:sz w:val="18"/>
                <w:szCs w:val="18"/>
                <w:color w:val="auto"/>
              </w:rPr>
              <w:t>90,735</w:t>
            </w:r>
          </w:p>
        </w:tc>
      </w:tr>
    </w:tbl>
    <w:p>
      <w:pPr>
        <w:spacing w:after="0" w:line="106" w:lineRule="exact"/>
        <w:rPr>
          <w:sz w:val="20"/>
          <w:szCs w:val="20"/>
          <w:color w:val="auto"/>
        </w:rPr>
      </w:pPr>
    </w:p>
    <w:p>
      <w:pPr>
        <w:ind w:left="460" w:right="220" w:hanging="452"/>
        <w:spacing w:after="0" w:line="23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2016, this interest rate exceeded the Federal Rate by 1.74 percentage points. Shown is the amount of interest earned on the directors’ deferred compensation accounts that was in excess of the Federal Rate.</w:t>
      </w:r>
    </w:p>
    <w:p>
      <w:pPr>
        <w:spacing w:after="0" w:line="108" w:lineRule="exact"/>
        <w:rPr>
          <w:rFonts w:ascii="Arial" w:cs="Arial" w:eastAsia="Arial" w:hAnsi="Arial"/>
          <w:sz w:val="18"/>
          <w:szCs w:val="18"/>
          <w:color w:val="auto"/>
        </w:rPr>
      </w:pPr>
    </w:p>
    <w:p>
      <w:pPr>
        <w:ind w:left="460" w:right="20" w:hanging="452"/>
        <w:spacing w:after="0" w:line="23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(b) contributions under the TI Foundation matching gift program of $6,500 for Mr. Blinn, $20,000 for Ms. Clark, $5,000 for Ms. Cox, $10,000 for Mr. Sanchez and Ms. Simmons, and $1,000 for Ms. Whitman and (c)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$778.</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w:t>
      </w:r>
    </w:p>
    <w:p>
      <w:pPr>
        <w:spacing w:after="0" w:line="23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Proposal regarding advisory approval of the company’s executive compensation</w:t>
      </w:r>
    </w:p>
    <w:p>
      <w:pPr>
        <w:spacing w:after="0" w:line="20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“named executive officers” are the chief executive officer, chief financial officer and the three other most highly compensated executive officers, as named in the compensation tables on pages 31-42.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ask shareholders to approve the following resolution:</w:t>
      </w:r>
    </w:p>
    <w:p>
      <w:pPr>
        <w:spacing w:after="0" w:line="212" w:lineRule="exact"/>
        <w:rPr>
          <w:sz w:val="20"/>
          <w:szCs w:val="20"/>
          <w:color w:val="auto"/>
        </w:rPr>
      </w:pPr>
    </w:p>
    <w:p>
      <w:pPr>
        <w:ind w:left="460" w:right="80"/>
        <w:spacing w:after="0"/>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18-42 of this proxy statement, is hereby approved.</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2016. We believe that the policies and programs serve the interests of our shareholders and that the compensation received by the named executive officers is commensurate with the performance and strategic position of the company.</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17</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2016, as disclosed in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Proposal regarding advisory vote on future advisory votes on executive officer compensation</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board asks shareholders to cast an advisory vote on whether future advisory votes on executive officer compensation should be held every year, every two years or every three years.</w:t>
      </w:r>
    </w:p>
    <w:p>
      <w:pPr>
        <w:spacing w:after="0" w:line="19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board requests that shareholders vote in favor of future advisory votes to be held annually. An annual advisory vote will allow our shareholders to provide us with their direct and timely input on our compensation philosophy, policies and practices and is consistent with our policy of seeking input from, and engaging in discussions with, our shareholders on corporate governance matters and our executive compensation philosophy, policies and practices.</w:t>
      </w:r>
    </w:p>
    <w:p>
      <w:pPr>
        <w:spacing w:after="0" w:line="20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Although the outcome of the vote is not binding on the company, the board will consider the outcome when setting the frequency of future advisory votes.</w:t>
      </w:r>
    </w:p>
    <w:p>
      <w:pPr>
        <w:spacing w:after="0" w:line="175"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auto"/>
        </w:rPr>
        <w:t>The board of directors recommends a vote of EVERY YEAR for future advisory votes on the compensation of the company’s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34" w:lineRule="exact"/>
        <w:rPr>
          <w:sz w:val="20"/>
          <w:szCs w:val="20"/>
          <w:color w:val="auto"/>
        </w:rPr>
      </w:pPr>
    </w:p>
    <w:p>
      <w:pPr>
        <w:ind w:left="780" w:hanging="55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elements of the 2016 compensation program, why we selected them and how they relate to one another; and</w:t>
      </w:r>
    </w:p>
    <w:p>
      <w:pPr>
        <w:ind w:left="780" w:hanging="55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2016.</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2016 (collectively called the “named executive officers”) can be found in the tables following the Compensation Committee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summary</w:t>
      </w:r>
    </w:p>
    <w:p>
      <w:pPr>
        <w:spacing w:after="0" w:line="217" w:lineRule="exact"/>
        <w:rPr>
          <w:sz w:val="20"/>
          <w:szCs w:val="20"/>
          <w:color w:val="auto"/>
        </w:rPr>
      </w:pPr>
    </w:p>
    <w:p>
      <w:pPr>
        <w:ind w:left="780" w:right="20" w:hanging="556"/>
        <w:spacing w:after="0" w:line="244" w:lineRule="auto"/>
        <w:tabs>
          <w:tab w:leader="none" w:pos="7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126"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80" w:hanging="556"/>
        <w:spacing w:after="0"/>
        <w:tabs>
          <w:tab w:leader="none" w:pos="7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2016 compensation decisions for the CEO:</w:t>
      </w:r>
    </w:p>
    <w:p>
      <w:pPr>
        <w:spacing w:after="0" w:line="17" w:lineRule="exact"/>
        <w:rPr>
          <w:rFonts w:ascii="Arial" w:cs="Arial" w:eastAsia="Arial" w:hAnsi="Arial"/>
          <w:sz w:val="18"/>
          <w:szCs w:val="18"/>
          <w:b w:val="1"/>
          <w:bCs w:val="1"/>
          <w:color w:val="auto"/>
        </w:rPr>
      </w:pPr>
    </w:p>
    <w:p>
      <w:pPr>
        <w:ind w:left="1000" w:hanging="317"/>
        <w:spacing w:after="0" w:line="234" w:lineRule="auto"/>
        <w:tabs>
          <w:tab w:leader="none" w:pos="1000" w:val="left"/>
        </w:tabs>
        <w:numPr>
          <w:ilvl w:val="1"/>
          <w:numId w:val="35"/>
        </w:numPr>
        <w:rPr>
          <w:rFonts w:ascii="Arial" w:cs="Arial" w:eastAsia="Arial" w:hAnsi="Arial"/>
          <w:sz w:val="15"/>
          <w:szCs w:val="15"/>
          <w:color w:val="auto"/>
        </w:rPr>
      </w:pPr>
      <w:r>
        <w:rPr>
          <w:rFonts w:ascii="Arial" w:cs="Arial" w:eastAsia="Arial" w:hAnsi="Arial"/>
          <w:sz w:val="18"/>
          <w:szCs w:val="18"/>
          <w:color w:val="auto"/>
        </w:rPr>
        <w:t>Base salary was increased by 2 percent over 2015.</w:t>
      </w:r>
    </w:p>
    <w:p>
      <w:pPr>
        <w:ind w:left="1000" w:hanging="317"/>
        <w:spacing w:after="0" w:line="234" w:lineRule="auto"/>
        <w:tabs>
          <w:tab w:leader="none" w:pos="1000" w:val="left"/>
        </w:tabs>
        <w:numPr>
          <w:ilvl w:val="1"/>
          <w:numId w:val="35"/>
        </w:numPr>
        <w:rPr>
          <w:rFonts w:ascii="Arial" w:cs="Arial" w:eastAsia="Arial" w:hAnsi="Arial"/>
          <w:sz w:val="15"/>
          <w:szCs w:val="15"/>
          <w:color w:val="auto"/>
        </w:rPr>
      </w:pPr>
      <w:r>
        <w:rPr>
          <w:rFonts w:ascii="Arial" w:cs="Arial" w:eastAsia="Arial" w:hAnsi="Arial"/>
          <w:sz w:val="18"/>
          <w:szCs w:val="18"/>
          <w:color w:val="auto"/>
        </w:rPr>
        <w:t>The grant date fair value of equity compensation awarded in 2016 was unchanged from 2015.</w:t>
      </w:r>
    </w:p>
    <w:p>
      <w:pPr>
        <w:ind w:left="1000" w:hanging="317"/>
        <w:spacing w:after="0"/>
        <w:tabs>
          <w:tab w:leader="none" w:pos="1000" w:val="left"/>
        </w:tabs>
        <w:numPr>
          <w:ilvl w:val="1"/>
          <w:numId w:val="35"/>
        </w:numPr>
        <w:rPr>
          <w:rFonts w:ascii="Arial" w:cs="Arial" w:eastAsia="Arial" w:hAnsi="Arial"/>
          <w:sz w:val="15"/>
          <w:szCs w:val="15"/>
          <w:color w:val="auto"/>
        </w:rPr>
      </w:pPr>
      <w:r>
        <w:rPr>
          <w:rFonts w:ascii="Arial" w:cs="Arial" w:eastAsia="Arial" w:hAnsi="Arial"/>
          <w:sz w:val="18"/>
          <w:szCs w:val="18"/>
          <w:color w:val="auto"/>
        </w:rPr>
        <w:t>The bonus decision was based primarily on the following performance results in 2016:</w:t>
      </w:r>
    </w:p>
    <w:p>
      <w:pPr>
        <w:spacing w:after="0" w:line="220" w:lineRule="exact"/>
        <w:rPr>
          <w:sz w:val="20"/>
          <w:szCs w:val="20"/>
          <w:color w:val="auto"/>
        </w:rPr>
      </w:pPr>
    </w:p>
    <w:tbl>
      <w:tblPr>
        <w:tblLayout w:type="fixed"/>
        <w:tblInd w:w="310" w:type="dxa"/>
        <w:tblCellMar>
          <w:top w:w="0" w:type="dxa"/>
          <w:left w:w="0" w:type="dxa"/>
          <w:bottom w:w="0" w:type="dxa"/>
          <w:right w:w="0" w:type="dxa"/>
        </w:tblCellMar>
      </w:tblPr>
      <w:tr>
        <w:trPr>
          <w:trHeight w:val="216"/>
        </w:trPr>
        <w:tc>
          <w:tcPr>
            <w:tcW w:w="1560" w:type="dxa"/>
            <w:vAlign w:val="bottom"/>
            <w:tcBorders>
              <w:bottom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380" w:type="dxa"/>
            <w:vAlign w:val="bottom"/>
            <w:tcBorders>
              <w:top w:val="single" w:sz="8" w:color="auto"/>
              <w:bottom w:val="single" w:sz="8" w:color="auto"/>
            </w:tcBorders>
            <w:shd w:val="clear" w:color="auto" w:fill="E5E5E5"/>
          </w:tcPr>
          <w:p>
            <w:pPr>
              <w:spacing w:after="0"/>
              <w:rPr>
                <w:sz w:val="18"/>
                <w:szCs w:val="18"/>
                <w:color w:val="auto"/>
              </w:rPr>
            </w:pPr>
          </w:p>
        </w:tc>
        <w:tc>
          <w:tcPr>
            <w:tcW w:w="2820" w:type="dxa"/>
            <w:vAlign w:val="bottom"/>
            <w:tcBorders>
              <w:top w:val="single" w:sz="8" w:color="auto"/>
              <w:bottom w:val="single" w:sz="8" w:color="auto"/>
              <w:right w:val="single" w:sz="8" w:color="auto"/>
            </w:tcBorders>
            <w:gridSpan w:val="2"/>
            <w:shd w:val="clear" w:color="auto" w:fill="E5E5E5"/>
          </w:tcPr>
          <w:p>
            <w:pPr>
              <w:jc w:val="right"/>
              <w:ind w:right="290"/>
              <w:spacing w:after="0"/>
              <w:rPr>
                <w:sz w:val="20"/>
                <w:szCs w:val="20"/>
                <w:color w:val="auto"/>
              </w:rPr>
            </w:pPr>
            <w:r>
              <w:rPr>
                <w:rFonts w:ascii="Arial" w:cs="Arial" w:eastAsia="Arial" w:hAnsi="Arial"/>
                <w:sz w:val="18"/>
                <w:szCs w:val="18"/>
                <w:color w:val="auto"/>
              </w:rPr>
              <w:t>2016 Absolute Performance</w:t>
            </w:r>
          </w:p>
        </w:tc>
        <w:tc>
          <w:tcPr>
            <w:tcW w:w="380" w:type="dxa"/>
            <w:vAlign w:val="bottom"/>
            <w:tcBorders>
              <w:top w:val="single" w:sz="8" w:color="auto"/>
              <w:bottom w:val="single" w:sz="8" w:color="auto"/>
            </w:tcBorders>
            <w:shd w:val="clear" w:color="auto" w:fill="E5E5E5"/>
          </w:tcPr>
          <w:p>
            <w:pPr>
              <w:spacing w:after="0"/>
              <w:rPr>
                <w:sz w:val="18"/>
                <w:szCs w:val="18"/>
                <w:color w:val="auto"/>
              </w:rPr>
            </w:pPr>
          </w:p>
        </w:tc>
        <w:tc>
          <w:tcPr>
            <w:tcW w:w="2820" w:type="dxa"/>
            <w:vAlign w:val="bottom"/>
            <w:tcBorders>
              <w:top w:val="single" w:sz="8" w:color="auto"/>
              <w:bottom w:val="single" w:sz="8" w:color="auto"/>
              <w:right w:val="single" w:sz="8" w:color="auto"/>
            </w:tcBorders>
            <w:gridSpan w:val="2"/>
            <w:shd w:val="clear" w:color="auto" w:fill="E5E5E5"/>
          </w:tcPr>
          <w:p>
            <w:pPr>
              <w:jc w:val="center"/>
              <w:ind w:right="340"/>
              <w:spacing w:after="0"/>
              <w:rPr>
                <w:sz w:val="20"/>
                <w:szCs w:val="20"/>
                <w:color w:val="auto"/>
              </w:rPr>
            </w:pPr>
            <w:r>
              <w:rPr>
                <w:rFonts w:ascii="Arial" w:cs="Arial" w:eastAsia="Arial" w:hAnsi="Arial"/>
                <w:sz w:val="18"/>
                <w:szCs w:val="18"/>
                <w:color w:val="auto"/>
              </w:rPr>
              <w:t>2016 Relative Performance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gridSpan w:val="2"/>
            <w:shd w:val="clear" w:color="auto" w:fill="E5E5E5"/>
          </w:tcPr>
          <w:p>
            <w:pPr>
              <w:ind w:left="340"/>
              <w:spacing w:after="0"/>
              <w:rPr>
                <w:sz w:val="20"/>
                <w:szCs w:val="20"/>
                <w:color w:val="auto"/>
              </w:rPr>
            </w:pPr>
            <w:r>
              <w:rPr>
                <w:rFonts w:ascii="Arial" w:cs="Arial" w:eastAsia="Arial" w:hAnsi="Arial"/>
                <w:sz w:val="18"/>
                <w:szCs w:val="18"/>
                <w:color w:val="auto"/>
              </w:rPr>
              <w:t>Revenue Growth: Total TI</w:t>
            </w:r>
          </w:p>
        </w:tc>
        <w:tc>
          <w:tcPr>
            <w:tcW w:w="38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gridSpan w:val="2"/>
          </w:tcPr>
          <w:p>
            <w:pPr>
              <w:jc w:val="right"/>
              <w:ind w:right="123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gridSpan w:val="2"/>
            <w:shd w:val="clear" w:color="auto" w:fill="E5E5E5"/>
          </w:tcPr>
          <w:p>
            <w:pPr>
              <w:ind w:left="340"/>
              <w:spacing w:after="0"/>
              <w:rPr>
                <w:sz w:val="20"/>
                <w:szCs w:val="20"/>
                <w:color w:val="auto"/>
              </w:rPr>
            </w:pPr>
            <w:r>
              <w:rPr>
                <w:rFonts w:ascii="Arial" w:cs="Arial" w:eastAsia="Arial" w:hAnsi="Arial"/>
                <w:sz w:val="18"/>
                <w:szCs w:val="18"/>
                <w:color w:val="auto"/>
              </w:rPr>
              <w:t>Profit from Operations as a % of Revenue (PFO%)</w:t>
            </w:r>
          </w:p>
        </w:tc>
        <w:tc>
          <w:tcPr>
            <w:tcW w:w="38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gridSpan w:val="2"/>
          </w:tcPr>
          <w:p>
            <w:pPr>
              <w:jc w:val="right"/>
              <w:ind w:right="1230"/>
              <w:spacing w:after="0"/>
              <w:rPr>
                <w:sz w:val="20"/>
                <w:szCs w:val="20"/>
                <w:color w:val="auto"/>
              </w:rPr>
            </w:pPr>
            <w:r>
              <w:rPr>
                <w:rFonts w:ascii="Arial" w:cs="Arial" w:eastAsia="Arial" w:hAnsi="Arial"/>
                <w:sz w:val="18"/>
                <w:szCs w:val="18"/>
                <w:color w:val="auto"/>
              </w:rPr>
              <w:t>35.9%</w:t>
            </w:r>
          </w:p>
        </w:tc>
        <w:tc>
          <w:tcPr>
            <w:tcW w:w="38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gridSpan w:val="2"/>
            <w:shd w:val="clear" w:color="auto" w:fill="E5E5E5"/>
          </w:tcPr>
          <w:p>
            <w:pPr>
              <w:ind w:left="340"/>
              <w:spacing w:after="0"/>
              <w:rPr>
                <w:sz w:val="20"/>
                <w:szCs w:val="20"/>
                <w:color w:val="auto"/>
              </w:rPr>
            </w:pPr>
            <w:r>
              <w:rPr>
                <w:rFonts w:ascii="Arial" w:cs="Arial" w:eastAsia="Arial" w:hAnsi="Arial"/>
                <w:sz w:val="18"/>
                <w:szCs w:val="18"/>
                <w:color w:val="auto"/>
              </w:rPr>
              <w:t>Total Shareholder Return (TSR)</w:t>
            </w:r>
          </w:p>
        </w:tc>
        <w:tc>
          <w:tcPr>
            <w:tcW w:w="38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gridSpan w:val="2"/>
          </w:tcPr>
          <w:p>
            <w:pPr>
              <w:jc w:val="right"/>
              <w:ind w:right="1230"/>
              <w:spacing w:after="0"/>
              <w:rPr>
                <w:sz w:val="20"/>
                <w:szCs w:val="20"/>
                <w:color w:val="auto"/>
              </w:rPr>
            </w:pPr>
            <w:r>
              <w:rPr>
                <w:rFonts w:ascii="Arial" w:cs="Arial" w:eastAsia="Arial" w:hAnsi="Arial"/>
                <w:sz w:val="18"/>
                <w:szCs w:val="18"/>
                <w:color w:val="auto"/>
              </w:rPr>
              <w:t>36.7%</w:t>
            </w:r>
          </w:p>
        </w:tc>
        <w:tc>
          <w:tcPr>
            <w:tcW w:w="380" w:type="dxa"/>
            <w:vAlign w:val="bottom"/>
            <w:tcBorders>
              <w:bottom w:val="single" w:sz="8" w:color="auto"/>
            </w:tcBorders>
          </w:tcPr>
          <w:p>
            <w:pPr>
              <w:spacing w:after="0"/>
              <w:rPr>
                <w:sz w:val="21"/>
                <w:szCs w:val="21"/>
                <w:color w:val="auto"/>
              </w:rPr>
            </w:pPr>
          </w:p>
        </w:tc>
        <w:tc>
          <w:tcPr>
            <w:tcW w:w="282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3280" w:type="dxa"/>
            <w:vAlign w:val="bottom"/>
            <w:tcBorders>
              <w:bottom w:val="single" w:sz="8" w:color="auto"/>
            </w:tcBorders>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560" w:type="dxa"/>
            <w:vAlign w:val="bottom"/>
            <w:tcBorders>
              <w:right w:val="single" w:sz="8" w:color="auto"/>
            </w:tcBorders>
          </w:tcPr>
          <w:p>
            <w:pPr>
              <w:spacing w:after="0"/>
              <w:rPr>
                <w:sz w:val="24"/>
                <w:szCs w:val="24"/>
                <w:color w:val="auto"/>
              </w:rPr>
            </w:pPr>
          </w:p>
        </w:tc>
        <w:tc>
          <w:tcPr>
            <w:tcW w:w="3280" w:type="dxa"/>
            <w:vAlign w:val="bottom"/>
            <w:gridSpan w:val="2"/>
            <w:shd w:val="clear" w:color="auto" w:fill="E5E5E5"/>
          </w:tcPr>
          <w:p>
            <w:pPr>
              <w:ind w:left="140"/>
              <w:spacing w:after="0"/>
              <w:rPr>
                <w:sz w:val="20"/>
                <w:szCs w:val="20"/>
                <w:color w:val="auto"/>
              </w:rPr>
            </w:pPr>
            <w:r>
              <w:rPr>
                <w:rFonts w:ascii="Arial" w:cs="Arial" w:eastAsia="Arial" w:hAnsi="Arial"/>
                <w:sz w:val="18"/>
                <w:szCs w:val="18"/>
                <w:color w:val="auto"/>
              </w:rPr>
              <w:t>Year-on-Year Change in CEO Bonus</w:t>
            </w:r>
          </w:p>
        </w:tc>
        <w:tc>
          <w:tcPr>
            <w:tcW w:w="380" w:type="dxa"/>
            <w:vAlign w:val="bottom"/>
            <w:tcBorders>
              <w:right w:val="single" w:sz="8" w:color="auto"/>
            </w:tcBorders>
            <w:shd w:val="clear" w:color="auto" w:fill="E5E5E5"/>
          </w:tcPr>
          <w:p>
            <w:pPr>
              <w:spacing w:after="0"/>
              <w:rPr>
                <w:sz w:val="24"/>
                <w:szCs w:val="24"/>
                <w:color w:val="auto"/>
              </w:rPr>
            </w:pPr>
          </w:p>
        </w:tc>
        <w:tc>
          <w:tcPr>
            <w:tcW w:w="2820" w:type="dxa"/>
            <w:vAlign w:val="bottom"/>
            <w:gridSpan w:val="2"/>
            <w:vMerge w:val="restart"/>
          </w:tcPr>
          <w:p>
            <w:pPr>
              <w:ind w:left="1820"/>
              <w:spacing w:after="0"/>
              <w:rPr>
                <w:sz w:val="20"/>
                <w:szCs w:val="20"/>
                <w:color w:val="auto"/>
              </w:rPr>
            </w:pPr>
            <w:r>
              <w:rPr>
                <w:rFonts w:ascii="Arial" w:cs="Arial" w:eastAsia="Arial" w:hAnsi="Arial"/>
                <w:sz w:val="18"/>
                <w:szCs w:val="18"/>
                <w:color w:val="auto"/>
              </w:rPr>
              <w:t>0% change</w:t>
            </w:r>
          </w:p>
        </w:tc>
        <w:tc>
          <w:tcPr>
            <w:tcW w:w="1280" w:type="dxa"/>
            <w:vAlign w:val="bottom"/>
            <w:tcBorders>
              <w:right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560" w:type="dxa"/>
            <w:vAlign w:val="bottom"/>
            <w:tcBorders>
              <w:right w:val="single" w:sz="8" w:color="auto"/>
            </w:tcBorders>
          </w:tcPr>
          <w:p>
            <w:pPr>
              <w:spacing w:after="0"/>
              <w:rPr>
                <w:sz w:val="10"/>
                <w:szCs w:val="10"/>
                <w:color w:val="auto"/>
              </w:rPr>
            </w:pPr>
          </w:p>
        </w:tc>
        <w:tc>
          <w:tcPr>
            <w:tcW w:w="3280" w:type="dxa"/>
            <w:vAlign w:val="bottom"/>
            <w:gridSpan w:val="2"/>
            <w:vMerge w:val="restart"/>
            <w:shd w:val="clear" w:color="auto" w:fill="E5E5E5"/>
          </w:tcPr>
          <w:p>
            <w:pPr>
              <w:ind w:left="140"/>
              <w:spacing w:after="0"/>
              <w:rPr>
                <w:sz w:val="20"/>
                <w:szCs w:val="20"/>
                <w:color w:val="auto"/>
              </w:rPr>
            </w:pPr>
            <w:r>
              <w:rPr>
                <w:rFonts w:ascii="Arial" w:cs="Arial" w:eastAsia="Arial" w:hAnsi="Arial"/>
                <w:sz w:val="18"/>
                <w:szCs w:val="18"/>
                <w:color w:val="auto"/>
              </w:rPr>
              <w:t>(2016 bonus compared with 2015)</w:t>
            </w:r>
          </w:p>
        </w:tc>
        <w:tc>
          <w:tcPr>
            <w:tcW w:w="380" w:type="dxa"/>
            <w:vAlign w:val="bottom"/>
            <w:tcBorders>
              <w:right w:val="single" w:sz="8" w:color="auto"/>
            </w:tcBorders>
            <w:shd w:val="clear" w:color="auto" w:fill="E5E5E5"/>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60" w:type="dxa"/>
            <w:vAlign w:val="bottom"/>
            <w:tcBorders>
              <w:right w:val="single" w:sz="8" w:color="auto"/>
            </w:tcBorders>
          </w:tcPr>
          <w:p>
            <w:pPr>
              <w:spacing w:after="0"/>
              <w:rPr>
                <w:sz w:val="8"/>
                <w:szCs w:val="8"/>
                <w:color w:val="auto"/>
              </w:rPr>
            </w:pPr>
          </w:p>
        </w:tc>
        <w:tc>
          <w:tcPr>
            <w:tcW w:w="3280" w:type="dxa"/>
            <w:vAlign w:val="bottom"/>
            <w:gridSpan w:val="2"/>
            <w:vMerge w:val="continue"/>
            <w:shd w:val="clear" w:color="auto" w:fill="E5E5E5"/>
          </w:tcPr>
          <w:p>
            <w:pPr>
              <w:spacing w:after="0"/>
              <w:rPr>
                <w:sz w:val="8"/>
                <w:szCs w:val="8"/>
                <w:color w:val="auto"/>
              </w:rPr>
            </w:pPr>
          </w:p>
        </w:tc>
        <w:tc>
          <w:tcPr>
            <w:tcW w:w="380" w:type="dxa"/>
            <w:vAlign w:val="bottom"/>
            <w:tcBorders>
              <w:right w:val="single" w:sz="8" w:color="auto"/>
            </w:tcBorders>
            <w:shd w:val="clear" w:color="auto" w:fill="E5E5E5"/>
          </w:tcPr>
          <w:p>
            <w:pPr>
              <w:spacing w:after="0"/>
              <w:rPr>
                <w:sz w:val="8"/>
                <w:szCs w:val="8"/>
                <w:color w:val="auto"/>
              </w:rPr>
            </w:pPr>
          </w:p>
        </w:tc>
        <w:tc>
          <w:tcPr>
            <w:tcW w:w="2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tcPr>
          <w:p>
            <w:pPr>
              <w:spacing w:after="0"/>
              <w:rPr>
                <w:sz w:val="9"/>
                <w:szCs w:val="9"/>
                <w:color w:val="auto"/>
              </w:rPr>
            </w:pPr>
          </w:p>
        </w:tc>
        <w:tc>
          <w:tcPr>
            <w:tcW w:w="2900" w:type="dxa"/>
            <w:vAlign w:val="bottom"/>
            <w:tcBorders>
              <w:bottom w:val="single" w:sz="8" w:color="auto"/>
              <w:right w:val="single" w:sz="8" w:color="E5E5E5"/>
            </w:tcBorders>
            <w:shd w:val="clear" w:color="auto" w:fill="E5E5E5"/>
          </w:tcPr>
          <w:p>
            <w:pPr>
              <w:spacing w:after="0"/>
              <w:rPr>
                <w:sz w:val="9"/>
                <w:szCs w:val="9"/>
                <w:color w:val="auto"/>
              </w:rPr>
            </w:pPr>
          </w:p>
        </w:tc>
        <w:tc>
          <w:tcPr>
            <w:tcW w:w="380" w:type="dxa"/>
            <w:vAlign w:val="bottom"/>
            <w:tcBorders>
              <w:bottom w:val="single" w:sz="8" w:color="auto"/>
            </w:tcBorders>
            <w:shd w:val="clear" w:color="auto" w:fill="E5E5E5"/>
          </w:tcPr>
          <w:p>
            <w:pPr>
              <w:spacing w:after="0"/>
              <w:rPr>
                <w:sz w:val="9"/>
                <w:szCs w:val="9"/>
                <w:color w:val="auto"/>
              </w:rPr>
            </w:pPr>
          </w:p>
        </w:tc>
        <w:tc>
          <w:tcPr>
            <w:tcW w:w="380" w:type="dxa"/>
            <w:vAlign w:val="bottom"/>
            <w:tcBorders>
              <w:bottom w:val="single" w:sz="8" w:color="auto"/>
              <w:right w:val="single" w:sz="8" w:color="auto"/>
            </w:tcBorders>
            <w:shd w:val="clear" w:color="auto" w:fill="E5E5E5"/>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020" w:right="240" w:hanging="337"/>
        <w:spacing w:after="0" w:line="255" w:lineRule="auto"/>
        <w:tabs>
          <w:tab w:leader="none" w:pos="10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Relative to semiconductor competitors as outlined under “Comparator group.” Includes estimates and projections of certain competitors’ financial results. See “Analysis of compensation determinations – Bonus – Assessment of 2016 performance” for details of the Compensation Committee’s assessment of TI’s performance. (It is important to note that the median growth rate of competitor companies includes the effect of acquisitions, whereas TI’s growth rate is entirely organic. If the effect of acquisitions were excluded from competitor companies, we estimate that TI’s growth rate would be at or above the median growth rate.)</w:t>
      </w:r>
    </w:p>
    <w:p>
      <w:pPr>
        <w:spacing w:after="0" w:line="91" w:lineRule="exact"/>
        <w:rPr>
          <w:rFonts w:ascii="Arial" w:cs="Arial" w:eastAsia="Arial" w:hAnsi="Arial"/>
          <w:sz w:val="17"/>
          <w:szCs w:val="17"/>
          <w:color w:val="auto"/>
        </w:rPr>
      </w:pPr>
    </w:p>
    <w:p>
      <w:pPr>
        <w:ind w:left="780" w:hanging="55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interests of the</w:t>
      </w:r>
    </w:p>
    <w:p>
      <w:pPr>
        <w:ind w:left="780" w:right="100"/>
        <w:spacing w:after="0" w:line="234" w:lineRule="auto"/>
        <w:rPr>
          <w:sz w:val="20"/>
          <w:szCs w:val="20"/>
          <w:color w:val="auto"/>
        </w:rPr>
      </w:pPr>
      <w:r>
        <w:rPr>
          <w:rFonts w:ascii="Arial" w:cs="Arial" w:eastAsia="Arial" w:hAnsi="Arial"/>
          <w:sz w:val="18"/>
          <w:szCs w:val="18"/>
          <w:color w:val="auto"/>
        </w:rPr>
        <w:t>company and shareholders, and not to promote excessive risk-taking by our executives. It is built on a foundation of sound corporate governance and includes:</w:t>
      </w:r>
    </w:p>
    <w:p>
      <w:pPr>
        <w:spacing w:after="0" w:line="2" w:lineRule="exact"/>
        <w:rPr>
          <w:sz w:val="20"/>
          <w:szCs w:val="20"/>
          <w:color w:val="auto"/>
        </w:rPr>
      </w:pPr>
    </w:p>
    <w:p>
      <w:pPr>
        <w:ind w:left="1000" w:right="20" w:hanging="317"/>
        <w:spacing w:after="0" w:line="234"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Executive officers do not have employment contracts and are not guaranteed salary increases, bonus amounts or awards of equity compensation.</w:t>
      </w:r>
    </w:p>
    <w:p>
      <w:pPr>
        <w:spacing w:after="0" w:line="1" w:lineRule="exact"/>
        <w:rPr>
          <w:rFonts w:ascii="Arial" w:cs="Arial" w:eastAsia="Arial" w:hAnsi="Arial"/>
          <w:sz w:val="15"/>
          <w:szCs w:val="15"/>
          <w:color w:val="auto"/>
        </w:rPr>
      </w:pPr>
    </w:p>
    <w:p>
      <w:pPr>
        <w:ind w:left="1000" w:hanging="317"/>
        <w:spacing w:after="0" w:line="234"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2" w:lineRule="exact"/>
        <w:rPr>
          <w:rFonts w:ascii="Arial" w:cs="Arial" w:eastAsia="Arial" w:hAnsi="Arial"/>
          <w:sz w:val="15"/>
          <w:szCs w:val="15"/>
          <w:color w:val="auto"/>
        </w:rPr>
      </w:pPr>
    </w:p>
    <w:p>
      <w:pPr>
        <w:ind w:left="1000" w:hanging="317"/>
        <w:spacing w:after="0" w:line="234"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Bonus and equity compensation awards are subject to clawback as described under “Recoupment policy” below.</w:t>
      </w:r>
    </w:p>
    <w:p>
      <w:pPr>
        <w:ind w:left="1000" w:hanging="317"/>
        <w:spacing w:after="0" w:line="234"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We do not provide excessive perquisites. We provide no tax gross-ups for perquisites.</w:t>
      </w:r>
    </w:p>
    <w:p>
      <w:pPr>
        <w:ind w:left="1000" w:hanging="317"/>
        <w:spacing w:after="0" w:line="234"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We do not guarantee a return or provide above-market returns on compensation that has been deferred.</w:t>
      </w:r>
    </w:p>
    <w:p>
      <w:pPr>
        <w:ind w:left="1000" w:right="360" w:hanging="317"/>
        <w:spacing w:after="0" w:line="246"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Pension benefits are calculated on salary and bonus only; the proceeds earned on equity or other performance awards are not part of the pension calculation.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Detailed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 and elements</w:t>
      </w:r>
    </w:p>
    <w:p>
      <w:pPr>
        <w:spacing w:after="0" w:line="12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 Salary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92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c>
          <w:tcPr>
            <w:tcW w:w="1060" w:type="dxa"/>
            <w:vAlign w:val="bottom"/>
            <w:tcBorders>
              <w:top w:val="single" w:sz="8" w:color="auto"/>
            </w:tcBorders>
          </w:tcPr>
          <w:p>
            <w:pPr>
              <w:spacing w:after="0"/>
              <w:rPr>
                <w:sz w:val="18"/>
                <w:szCs w:val="18"/>
                <w:color w:val="auto"/>
              </w:rPr>
            </w:pPr>
          </w:p>
        </w:tc>
      </w:tr>
      <w:tr>
        <w:trPr>
          <w:trHeight w:val="397"/>
        </w:trPr>
        <w:tc>
          <w:tcPr>
            <w:tcW w:w="1080" w:type="dxa"/>
            <w:vAlign w:val="bottom"/>
          </w:tcPr>
          <w:p>
            <w:pPr>
              <w:spacing w:after="0"/>
              <w:rPr>
                <w:sz w:val="20"/>
                <w:szCs w:val="20"/>
                <w:color w:val="auto"/>
              </w:rPr>
            </w:pPr>
            <w:r>
              <w:rPr>
                <w:rFonts w:ascii="Arial" w:cs="Arial" w:eastAsia="Arial" w:hAnsi="Arial"/>
                <w:sz w:val="18"/>
                <w:szCs w:val="18"/>
                <w:color w:val="auto"/>
              </w:rPr>
              <w:t>Strategy</w:t>
            </w:r>
          </w:p>
        </w:tc>
        <w:tc>
          <w:tcPr>
            <w:tcW w:w="9280" w:type="dxa"/>
            <w:vAlign w:val="bottom"/>
          </w:tcPr>
          <w:p>
            <w:pPr>
              <w:ind w:left="420"/>
              <w:spacing w:after="0"/>
              <w:rPr>
                <w:sz w:val="20"/>
                <w:szCs w:val="20"/>
                <w:color w:val="auto"/>
              </w:rPr>
            </w:pPr>
            <w:r>
              <w:rPr>
                <w:rFonts w:ascii="Arial" w:cs="Arial" w:eastAsia="Arial" w:hAnsi="Arial"/>
                <w:sz w:val="18"/>
                <w:szCs w:val="18"/>
                <w:color w:val="auto"/>
              </w:rPr>
              <w:t>Pay below market median in order to weight total compensation to the performance-based elements</w:t>
            </w:r>
          </w:p>
        </w:tc>
        <w:tc>
          <w:tcPr>
            <w:tcW w:w="1060" w:type="dxa"/>
            <w:vAlign w:val="bottom"/>
          </w:tcPr>
          <w:p>
            <w:pPr>
              <w:spacing w:after="0"/>
              <w:rPr>
                <w:sz w:val="24"/>
                <w:szCs w:val="24"/>
                <w:color w:val="auto"/>
              </w:rPr>
            </w:pPr>
          </w:p>
        </w:tc>
      </w:tr>
      <w:tr>
        <w:trPr>
          <w:trHeight w:val="217"/>
        </w:trPr>
        <w:tc>
          <w:tcPr>
            <w:tcW w:w="108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described below</w:t>
            </w:r>
          </w:p>
        </w:tc>
        <w:tc>
          <w:tcPr>
            <w:tcW w:w="1060" w:type="dxa"/>
            <w:vAlign w:val="bottom"/>
          </w:tcPr>
          <w:p>
            <w:pPr>
              <w:spacing w:after="0"/>
              <w:rPr>
                <w:sz w:val="18"/>
                <w:szCs w:val="18"/>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Terms</w:t>
            </w:r>
          </w:p>
        </w:tc>
        <w:tc>
          <w:tcPr>
            <w:tcW w:w="9280" w:type="dxa"/>
            <w:vAlign w:val="bottom"/>
          </w:tcPr>
          <w:p>
            <w:pPr>
              <w:ind w:left="420"/>
              <w:spacing w:after="0"/>
              <w:rPr>
                <w:sz w:val="20"/>
                <w:szCs w:val="20"/>
                <w:color w:val="auto"/>
              </w:rPr>
            </w:pPr>
            <w:r>
              <w:rPr>
                <w:rFonts w:ascii="Arial" w:cs="Arial" w:eastAsia="Arial" w:hAnsi="Arial"/>
                <w:sz w:val="18"/>
                <w:szCs w:val="18"/>
                <w:color w:val="auto"/>
              </w:rPr>
              <w:t>Paid twice monthly</w:t>
            </w:r>
          </w:p>
        </w:tc>
        <w:tc>
          <w:tcPr>
            <w:tcW w:w="1060" w:type="dxa"/>
            <w:vAlign w:val="bottom"/>
          </w:tcPr>
          <w:p>
            <w:pPr>
              <w:spacing w:after="0"/>
              <w:rPr>
                <w:sz w:val="24"/>
                <w:szCs w:val="24"/>
                <w:color w:val="auto"/>
              </w:rPr>
            </w:pPr>
          </w:p>
        </w:tc>
      </w:tr>
      <w:tr>
        <w:trPr>
          <w:trHeight w:val="281"/>
        </w:trPr>
        <w:tc>
          <w:tcPr>
            <w:tcW w:w="1080" w:type="dxa"/>
            <w:vAlign w:val="bottom"/>
          </w:tcPr>
          <w:p>
            <w:pPr>
              <w:spacing w:after="0"/>
              <w:rPr>
                <w:sz w:val="24"/>
                <w:szCs w:val="24"/>
                <w:color w:val="auto"/>
              </w:rPr>
            </w:pPr>
          </w:p>
        </w:tc>
        <w:tc>
          <w:tcPr>
            <w:tcW w:w="9280" w:type="dxa"/>
            <w:vAlign w:val="bottom"/>
          </w:tcPr>
          <w:p>
            <w:pPr>
              <w:ind w:left="3040"/>
              <w:spacing w:after="0"/>
              <w:rPr>
                <w:sz w:val="20"/>
                <w:szCs w:val="20"/>
                <w:color w:val="auto"/>
              </w:rPr>
            </w:pPr>
            <w:r>
              <w:rPr>
                <w:rFonts w:ascii="Arial" w:cs="Arial" w:eastAsia="Arial" w:hAnsi="Arial"/>
                <w:sz w:val="13"/>
                <w:szCs w:val="13"/>
                <w:color w:val="666666"/>
              </w:rPr>
              <w:t>TEXAS INSTRUMENTS  •  2017 PROXY STATEMENT</w:t>
            </w:r>
          </w:p>
        </w:tc>
        <w:tc>
          <w:tcPr>
            <w:tcW w:w="1060" w:type="dxa"/>
            <w:vAlign w:val="bottom"/>
          </w:tcPr>
          <w:p>
            <w:pPr>
              <w:jc w:val="right"/>
              <w:spacing w:after="0"/>
              <w:rPr>
                <w:sz w:val="20"/>
                <w:szCs w:val="20"/>
                <w:color w:val="auto"/>
              </w:rPr>
            </w:pPr>
            <w:r>
              <w:rPr>
                <w:rFonts w:ascii="Arial" w:cs="Arial" w:eastAsia="Arial" w:hAnsi="Arial"/>
                <w:sz w:val="13"/>
                <w:szCs w:val="13"/>
                <w:color w:val="666666"/>
              </w:rPr>
              <w:t>19</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Profit Sharing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Purpose</w:t>
            </w:r>
          </w:p>
        </w:tc>
        <w:tc>
          <w:tcPr>
            <w:tcW w:w="1034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w w:val="99"/>
              </w:rPr>
              <w:t>Broad-based program designed to emphasize that each employee contributes to the company’s profitability and can share in</w:t>
            </w:r>
          </w:p>
        </w:tc>
      </w:tr>
      <w:tr>
        <w:trPr>
          <w:trHeight w:val="217"/>
        </w:trPr>
        <w:tc>
          <w:tcPr>
            <w:tcW w:w="1080" w:type="dxa"/>
            <w:vAlign w:val="bottom"/>
          </w:tcPr>
          <w:p>
            <w:pPr>
              <w:spacing w:after="0"/>
              <w:rPr>
                <w:sz w:val="18"/>
                <w:szCs w:val="18"/>
                <w:color w:val="auto"/>
              </w:rPr>
            </w:pPr>
          </w:p>
        </w:tc>
        <w:tc>
          <w:tcPr>
            <w:tcW w:w="10340" w:type="dxa"/>
            <w:vAlign w:val="bottom"/>
          </w:tcPr>
          <w:p>
            <w:pPr>
              <w:ind w:left="420"/>
              <w:spacing w:after="0"/>
              <w:rPr>
                <w:sz w:val="20"/>
                <w:szCs w:val="20"/>
                <w:color w:val="auto"/>
              </w:rPr>
            </w:pPr>
            <w:r>
              <w:rPr>
                <w:rFonts w:ascii="Arial" w:cs="Arial" w:eastAsia="Arial" w:hAnsi="Arial"/>
                <w:sz w:val="18"/>
                <w:szCs w:val="18"/>
                <w:color w:val="auto"/>
              </w:rPr>
              <w:t>it</w:t>
            </w:r>
          </w:p>
        </w:tc>
      </w:tr>
      <w:tr>
        <w:trPr>
          <w:trHeight w:val="404"/>
        </w:trPr>
        <w:tc>
          <w:tcPr>
            <w:tcW w:w="1080" w:type="dxa"/>
            <w:vAlign w:val="bottom"/>
          </w:tcPr>
          <w:p>
            <w:pPr>
              <w:spacing w:after="0"/>
              <w:rPr>
                <w:sz w:val="20"/>
                <w:szCs w:val="20"/>
                <w:color w:val="auto"/>
              </w:rPr>
            </w:pPr>
            <w:r>
              <w:rPr>
                <w:rFonts w:ascii="Arial" w:cs="Arial" w:eastAsia="Arial" w:hAnsi="Arial"/>
                <w:sz w:val="18"/>
                <w:szCs w:val="18"/>
                <w:color w:val="auto"/>
              </w:rPr>
              <w:t>Strategy</w:t>
            </w:r>
          </w:p>
        </w:tc>
        <w:tc>
          <w:tcPr>
            <w:tcW w:w="10340" w:type="dxa"/>
            <w:vAlign w:val="bottom"/>
          </w:tcPr>
          <w:p>
            <w:pPr>
              <w:ind w:left="420"/>
              <w:spacing w:after="0"/>
              <w:rPr>
                <w:sz w:val="20"/>
                <w:szCs w:val="20"/>
                <w:color w:val="auto"/>
              </w:rPr>
            </w:pPr>
            <w:r>
              <w:rPr>
                <w:rFonts w:ascii="Arial" w:cs="Arial" w:eastAsia="Arial" w:hAnsi="Arial"/>
                <w:sz w:val="18"/>
                <w:szCs w:val="18"/>
                <w:color w:val="auto"/>
              </w:rPr>
              <w:t>Pay according to a formula that focuses employees on a company goal, and at a level that will affect behavior. Profit sharing</w:t>
            </w:r>
          </w:p>
        </w:tc>
      </w:tr>
      <w:tr>
        <w:trPr>
          <w:trHeight w:val="217"/>
        </w:trPr>
        <w:tc>
          <w:tcPr>
            <w:tcW w:w="1080" w:type="dxa"/>
            <w:vAlign w:val="bottom"/>
          </w:tcPr>
          <w:p>
            <w:pPr>
              <w:spacing w:after="0"/>
              <w:rPr>
                <w:sz w:val="18"/>
                <w:szCs w:val="18"/>
                <w:color w:val="auto"/>
              </w:rPr>
            </w:pPr>
          </w:p>
        </w:tc>
        <w:tc>
          <w:tcPr>
            <w:tcW w:w="10340" w:type="dxa"/>
            <w:vAlign w:val="bottom"/>
          </w:tcPr>
          <w:p>
            <w:pPr>
              <w:ind w:left="420"/>
              <w:spacing w:after="0"/>
              <w:rPr>
                <w:sz w:val="20"/>
                <w:szCs w:val="20"/>
                <w:color w:val="auto"/>
              </w:rPr>
            </w:pPr>
            <w:r>
              <w:rPr>
                <w:rFonts w:ascii="Arial" w:cs="Arial" w:eastAsia="Arial" w:hAnsi="Arial"/>
                <w:sz w:val="18"/>
                <w:szCs w:val="18"/>
                <w:color w:val="auto"/>
              </w:rPr>
              <w:t>is paid in addition to any performance bonus awarded for the year.</w:t>
            </w:r>
          </w:p>
        </w:tc>
      </w:tr>
      <w:tr>
        <w:trPr>
          <w:trHeight w:val="431"/>
        </w:trPr>
        <w:tc>
          <w:tcPr>
            <w:tcW w:w="1080" w:type="dxa"/>
            <w:vAlign w:val="bottom"/>
          </w:tcPr>
          <w:p>
            <w:pPr>
              <w:spacing w:after="0"/>
              <w:rPr>
                <w:sz w:val="24"/>
                <w:szCs w:val="24"/>
                <w:color w:val="auto"/>
              </w:rPr>
            </w:pPr>
          </w:p>
        </w:tc>
        <w:tc>
          <w:tcPr>
            <w:tcW w:w="10340" w:type="dxa"/>
            <w:vAlign w:val="bottom"/>
          </w:tcPr>
          <w:p>
            <w:pPr>
              <w:ind w:left="420"/>
              <w:spacing w:after="0"/>
              <w:rPr>
                <w:sz w:val="20"/>
                <w:szCs w:val="20"/>
                <w:color w:val="auto"/>
              </w:rPr>
            </w:pPr>
            <w:r>
              <w:rPr>
                <w:rFonts w:ascii="Arial" w:cs="Arial" w:eastAsia="Arial" w:hAnsi="Arial"/>
                <w:sz w:val="18"/>
                <w:szCs w:val="18"/>
                <w:color w:val="auto"/>
              </w:rPr>
              <w:t>For the last 12 years, the formula has been based on company-level annual operating profit margin. The formula was set by</w:t>
            </w:r>
          </w:p>
        </w:tc>
      </w:tr>
      <w:tr>
        <w:trPr>
          <w:trHeight w:val="217"/>
        </w:trPr>
        <w:tc>
          <w:tcPr>
            <w:tcW w:w="1080" w:type="dxa"/>
            <w:vAlign w:val="bottom"/>
          </w:tcPr>
          <w:p>
            <w:pPr>
              <w:spacing w:after="0"/>
              <w:rPr>
                <w:sz w:val="18"/>
                <w:szCs w:val="18"/>
                <w:color w:val="auto"/>
              </w:rPr>
            </w:pPr>
          </w:p>
        </w:tc>
        <w:tc>
          <w:tcPr>
            <w:tcW w:w="10340" w:type="dxa"/>
            <w:vAlign w:val="bottom"/>
          </w:tcPr>
          <w:p>
            <w:pPr>
              <w:ind w:left="420"/>
              <w:spacing w:after="0"/>
              <w:rPr>
                <w:sz w:val="20"/>
                <w:szCs w:val="20"/>
                <w:color w:val="auto"/>
              </w:rPr>
            </w:pPr>
            <w:r>
              <w:rPr>
                <w:rFonts w:ascii="Arial" w:cs="Arial" w:eastAsia="Arial" w:hAnsi="Arial"/>
                <w:sz w:val="18"/>
                <w:szCs w:val="18"/>
                <w:color w:val="auto"/>
              </w:rPr>
              <w:t>the TI board. The committee’s practice has been not to adjust amounts earned under the formula.</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Terms</w:t>
            </w:r>
          </w:p>
        </w:tc>
        <w:tc>
          <w:tcPr>
            <w:tcW w:w="10340" w:type="dxa"/>
            <w:vAlign w:val="bottom"/>
          </w:tcPr>
          <w:p>
            <w:pPr>
              <w:ind w:left="42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446"/>
        </w:trPr>
        <w:tc>
          <w:tcPr>
            <w:tcW w:w="1080" w:type="dxa"/>
            <w:vAlign w:val="bottom"/>
          </w:tcPr>
          <w:p>
            <w:pPr>
              <w:spacing w:after="0"/>
              <w:rPr>
                <w:sz w:val="24"/>
                <w:szCs w:val="24"/>
                <w:color w:val="auto"/>
              </w:rPr>
            </w:pPr>
          </w:p>
        </w:tc>
        <w:tc>
          <w:tcPr>
            <w:tcW w:w="10340" w:type="dxa"/>
            <w:vAlign w:val="bottom"/>
          </w:tcPr>
          <w:p>
            <w:pPr>
              <w:ind w:left="420"/>
              <w:spacing w:after="0"/>
              <w:rPr>
                <w:sz w:val="20"/>
                <w:szCs w:val="20"/>
                <w:color w:val="auto"/>
              </w:rPr>
            </w:pPr>
            <w:r>
              <w:rPr>
                <w:rFonts w:ascii="Arial" w:cs="Arial" w:eastAsia="Arial" w:hAnsi="Arial"/>
                <w:sz w:val="18"/>
                <w:szCs w:val="18"/>
                <w:color w:val="auto"/>
              </w:rPr>
              <w:t>As in recent years, the formula for 2016 was:</w:t>
            </w:r>
          </w:p>
        </w:tc>
      </w:tr>
    </w:tbl>
    <w:p>
      <w:pPr>
        <w:spacing w:after="0" w:line="224" w:lineRule="exact"/>
        <w:rPr>
          <w:sz w:val="20"/>
          <w:szCs w:val="20"/>
          <w:color w:val="auto"/>
        </w:rPr>
      </w:pPr>
    </w:p>
    <w:p>
      <w:pPr>
        <w:ind w:left="2000" w:hanging="263"/>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(“Margin”): no profit sharing</w:t>
      </w:r>
    </w:p>
    <w:p>
      <w:pPr>
        <w:ind w:left="1980" w:hanging="243"/>
        <w:spacing w:after="0" w:line="23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ind w:left="1980" w:right="80" w:hanging="243"/>
        <w:spacing w:after="0"/>
        <w:tabs>
          <w:tab w:leader="none" w:pos="198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In 2016, TI delivered Margin of 35.9%. As a result, all eligible employees, including executive officers, received profit sharing</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of 20.0% of base salary.</w:t>
            </w:r>
          </w:p>
        </w:tc>
      </w:tr>
      <w:tr>
        <w:trPr>
          <w:trHeight w:val="378"/>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Bonus</w:t>
            </w:r>
          </w:p>
        </w:tc>
        <w:tc>
          <w:tcPr>
            <w:tcW w:w="206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r>
      <w:tr>
        <w:trPr>
          <w:trHeight w:val="195"/>
        </w:trPr>
        <w:tc>
          <w:tcPr>
            <w:tcW w:w="1440" w:type="dxa"/>
            <w:vAlign w:val="bottom"/>
          </w:tcPr>
          <w:p>
            <w:pPr>
              <w:spacing w:after="0" w:line="195" w:lineRule="exact"/>
              <w:rPr>
                <w:sz w:val="20"/>
                <w:szCs w:val="20"/>
                <w:color w:val="auto"/>
              </w:rPr>
            </w:pPr>
            <w:r>
              <w:rPr>
                <w:rFonts w:ascii="Arial" w:cs="Arial" w:eastAsia="Arial" w:hAnsi="Arial"/>
                <w:sz w:val="18"/>
                <w:szCs w:val="18"/>
                <w:color w:val="auto"/>
              </w:rPr>
              <w:t>Purpose</w:t>
            </w:r>
          </w:p>
        </w:tc>
        <w:tc>
          <w:tcPr>
            <w:tcW w:w="998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To motivate executives and reward them according to the company’s relative and absolute performance and the executive’s</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individual performance</w:t>
            </w:r>
          </w:p>
        </w:tc>
      </w:tr>
      <w:tr>
        <w:trPr>
          <w:trHeight w:val="402"/>
        </w:trPr>
        <w:tc>
          <w:tcPr>
            <w:tcW w:w="1440" w:type="dxa"/>
            <w:vAlign w:val="bottom"/>
          </w:tcPr>
          <w:p>
            <w:pPr>
              <w:spacing w:after="0"/>
              <w:rPr>
                <w:sz w:val="20"/>
                <w:szCs w:val="20"/>
                <w:color w:val="auto"/>
              </w:rPr>
            </w:pPr>
            <w:r>
              <w:rPr>
                <w:rFonts w:ascii="Arial" w:cs="Arial" w:eastAsia="Arial" w:hAnsi="Arial"/>
                <w:sz w:val="18"/>
                <w:szCs w:val="18"/>
                <w:color w:val="auto"/>
              </w:rPr>
              <w:t>Strategy</w:t>
            </w: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05"/>
        </w:trPr>
        <w:tc>
          <w:tcPr>
            <w:tcW w:w="1440" w:type="dxa"/>
            <w:vAlign w:val="bottom"/>
          </w:tcPr>
          <w:p>
            <w:pPr>
              <w:spacing w:after="0"/>
              <w:rPr>
                <w:sz w:val="17"/>
                <w:szCs w:val="17"/>
                <w:color w:val="auto"/>
              </w:rPr>
            </w:pPr>
          </w:p>
        </w:tc>
        <w:tc>
          <w:tcPr>
            <w:tcW w:w="9980" w:type="dxa"/>
            <w:vAlign w:val="bottom"/>
            <w:gridSpan w:val="2"/>
          </w:tcPr>
          <w:p>
            <w:pPr>
              <w:ind w:left="60"/>
              <w:spacing w:after="0" w:line="205" w:lineRule="exact"/>
              <w:rPr>
                <w:sz w:val="20"/>
                <w:szCs w:val="20"/>
                <w:color w:val="auto"/>
              </w:rPr>
            </w:pPr>
            <w:r>
              <w:rPr>
                <w:rFonts w:ascii="Arial" w:cs="Arial" w:eastAsia="Arial" w:hAnsi="Arial"/>
                <w:sz w:val="18"/>
                <w:szCs w:val="18"/>
                <w:color w:val="auto"/>
              </w:rPr>
              <w:t>percent, operating margin and total shareholder return</w:t>
            </w:r>
            <w:r>
              <w:rPr>
                <w:rFonts w:ascii="Arial" w:cs="Arial" w:eastAsia="Arial" w:hAnsi="Arial"/>
                <w:sz w:val="15"/>
                <w:szCs w:val="15"/>
                <w:color w:val="auto"/>
              </w:rPr>
              <w:t>1</w:t>
            </w:r>
            <w:r>
              <w:rPr>
                <w:rFonts w:ascii="Arial" w:cs="Arial" w:eastAsia="Arial" w:hAnsi="Arial"/>
                <w:sz w:val="18"/>
                <w:szCs w:val="18"/>
                <w:color w:val="auto"/>
              </w:rPr>
              <w:t>) as compared with competitors and on our strategic progress in key</w:t>
            </w:r>
          </w:p>
        </w:tc>
      </w:tr>
      <w:tr>
        <w:trPr>
          <w:trHeight w:val="203"/>
        </w:trPr>
        <w:tc>
          <w:tcPr>
            <w:tcW w:w="1440" w:type="dxa"/>
            <w:vAlign w:val="bottom"/>
          </w:tcPr>
          <w:p>
            <w:pPr>
              <w:spacing w:after="0"/>
              <w:rPr>
                <w:sz w:val="17"/>
                <w:szCs w:val="17"/>
                <w:color w:val="auto"/>
              </w:rPr>
            </w:pPr>
          </w:p>
        </w:tc>
        <w:tc>
          <w:tcPr>
            <w:tcW w:w="99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markets and with customers. These factors have been chosen to reflect our near-term financial performance as well as our</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progress in building long-term shareholder value.</w:t>
            </w:r>
          </w:p>
        </w:tc>
      </w:tr>
      <w:tr>
        <w:trPr>
          <w:trHeight w:val="431"/>
        </w:trPr>
        <w:tc>
          <w:tcPr>
            <w:tcW w:w="1440" w:type="dxa"/>
            <w:vAlign w:val="bottom"/>
          </w:tcPr>
          <w:p>
            <w:pPr>
              <w:spacing w:after="0"/>
              <w:rPr>
                <w:sz w:val="24"/>
                <w:szCs w:val="24"/>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 if</w:t>
            </w:r>
          </w:p>
        </w:tc>
      </w:tr>
      <w:tr>
        <w:trPr>
          <w:trHeight w:val="203"/>
        </w:trPr>
        <w:tc>
          <w:tcPr>
            <w:tcW w:w="1440" w:type="dxa"/>
            <w:vAlign w:val="bottom"/>
          </w:tcPr>
          <w:p>
            <w:pPr>
              <w:spacing w:after="0"/>
              <w:rPr>
                <w:sz w:val="17"/>
                <w:szCs w:val="17"/>
                <w:color w:val="auto"/>
              </w:rPr>
            </w:pPr>
          </w:p>
        </w:tc>
        <w:tc>
          <w:tcPr>
            <w:tcW w:w="99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company performance is above that of competitors, and pay total cash compensation appropriately below the median if</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company performance is below competitors.</w:t>
            </w:r>
          </w:p>
        </w:tc>
      </w:tr>
      <w:tr>
        <w:trPr>
          <w:trHeight w:val="431"/>
        </w:trPr>
        <w:tc>
          <w:tcPr>
            <w:tcW w:w="1440" w:type="dxa"/>
            <w:vAlign w:val="bottom"/>
          </w:tcPr>
          <w:p>
            <w:pPr>
              <w:spacing w:after="0"/>
              <w:rPr>
                <w:sz w:val="24"/>
                <w:szCs w:val="24"/>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 judgment based on its</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assessment of the factors described above.</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Terms</w:t>
            </w: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r>
        <w:trPr>
          <w:trHeight w:val="378"/>
        </w:trPr>
        <w:tc>
          <w:tcPr>
            <w:tcW w:w="11420" w:type="dxa"/>
            <w:vAlign w:val="bottom"/>
            <w:gridSpan w:val="3"/>
          </w:tcPr>
          <w:p>
            <w:pPr>
              <w:spacing w:after="0"/>
              <w:rPr>
                <w:sz w:val="20"/>
                <w:szCs w:val="20"/>
                <w:color w:val="auto"/>
              </w:rPr>
            </w:pPr>
            <w:r>
              <w:rPr>
                <w:rFonts w:ascii="Arial" w:cs="Arial" w:eastAsia="Arial" w:hAnsi="Arial"/>
                <w:sz w:val="18"/>
                <w:szCs w:val="18"/>
                <w:i w:val="1"/>
                <w:iCs w:val="1"/>
                <w:color w:val="auto"/>
              </w:rPr>
              <w:t>Long-term compensation, awarded in equity</w:t>
            </w:r>
          </w:p>
        </w:tc>
      </w:tr>
      <w:tr>
        <w:trPr>
          <w:trHeight w:val="412"/>
        </w:trPr>
        <w:tc>
          <w:tcPr>
            <w:tcW w:w="3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Stock Options and Restricted Stock Units</w:t>
            </w:r>
          </w:p>
        </w:tc>
        <w:tc>
          <w:tcPr>
            <w:tcW w:w="7920" w:type="dxa"/>
            <w:vAlign w:val="bottom"/>
            <w:tcBorders>
              <w:bottom w:val="single" w:sz="8" w:color="auto"/>
            </w:tcBorders>
          </w:tcPr>
          <w:p>
            <w:pPr>
              <w:spacing w:after="0"/>
              <w:rPr>
                <w:sz w:val="24"/>
                <w:szCs w:val="24"/>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Purpose</w:t>
            </w: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Alignment with shareholders; long-term focus; retention, particularly with respect to restricted stock units</w:t>
            </w:r>
          </w:p>
        </w:tc>
      </w:tr>
      <w:tr>
        <w:trPr>
          <w:trHeight w:val="403"/>
        </w:trPr>
        <w:tc>
          <w:tcPr>
            <w:tcW w:w="1440" w:type="dxa"/>
            <w:vAlign w:val="bottom"/>
          </w:tcPr>
          <w:p>
            <w:pPr>
              <w:spacing w:after="0"/>
              <w:rPr>
                <w:sz w:val="20"/>
                <w:szCs w:val="20"/>
                <w:color w:val="auto"/>
              </w:rPr>
            </w:pPr>
            <w:r>
              <w:rPr>
                <w:rFonts w:ascii="Arial" w:cs="Arial" w:eastAsia="Arial" w:hAnsi="Arial"/>
                <w:sz w:val="18"/>
                <w:szCs w:val="18"/>
                <w:color w:val="auto"/>
              </w:rPr>
              <w:t>Strategy</w:t>
            </w: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equity compensation awarded to executives in similar positions within the Comparator Group.</w:t>
            </w:r>
          </w:p>
        </w:tc>
      </w:tr>
      <w:tr>
        <w:trPr>
          <w:trHeight w:val="404"/>
        </w:trPr>
        <w:tc>
          <w:tcPr>
            <w:tcW w:w="1440" w:type="dxa"/>
            <w:vAlign w:val="bottom"/>
          </w:tcPr>
          <w:p>
            <w:pPr>
              <w:spacing w:after="0"/>
              <w:rPr>
                <w:sz w:val="20"/>
                <w:szCs w:val="20"/>
                <w:color w:val="auto"/>
              </w:rPr>
            </w:pPr>
            <w:r>
              <w:rPr>
                <w:rFonts w:ascii="Arial" w:cs="Arial" w:eastAsia="Arial" w:hAnsi="Arial"/>
                <w:sz w:val="18"/>
                <w:szCs w:val="18"/>
                <w:color w:val="auto"/>
              </w:rPr>
              <w:t>Terms</w:t>
            </w: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w:t>
            </w:r>
          </w:p>
        </w:tc>
      </w:tr>
      <w:tr>
        <w:trPr>
          <w:trHeight w:val="217"/>
        </w:trPr>
        <w:tc>
          <w:tcPr>
            <w:tcW w:w="1440" w:type="dxa"/>
            <w:vAlign w:val="bottom"/>
          </w:tcPr>
          <w:p>
            <w:pPr>
              <w:spacing w:after="0"/>
              <w:rPr>
                <w:sz w:val="18"/>
                <w:szCs w:val="18"/>
                <w:color w:val="auto"/>
              </w:rPr>
            </w:pPr>
          </w:p>
        </w:tc>
        <w:tc>
          <w:tcPr>
            <w:tcW w:w="9980" w:type="dxa"/>
            <w:vAlign w:val="bottom"/>
            <w:gridSpan w:val="2"/>
          </w:tcPr>
          <w:p>
            <w:pPr>
              <w:ind w:left="60"/>
              <w:spacing w:after="0"/>
              <w:rPr>
                <w:sz w:val="20"/>
                <w:szCs w:val="20"/>
                <w:color w:val="auto"/>
              </w:rPr>
            </w:pPr>
            <w:r>
              <w:rPr>
                <w:rFonts w:ascii="Arial" w:cs="Arial" w:eastAsia="Arial" w:hAnsi="Arial"/>
                <w:sz w:val="18"/>
                <w:szCs w:val="18"/>
                <w:color w:val="auto"/>
              </w:rPr>
              <w:t>fiscal year-end 2016.” The committee’s grant procedures are described under “Process for equity grants.”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4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Comparator group</w:t>
      </w:r>
    </w:p>
    <w:p>
      <w:pPr>
        <w:spacing w:after="0" w:line="12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The committee targets salary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sets the Comparator Group. Historically,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Shown in the table below is the Comparator Group used for the compensation decisions for 2016.</w:t>
      </w:r>
    </w:p>
    <w:p>
      <w:pPr>
        <w:sectPr>
          <w:pgSz w:w="11900" w:h="16838" w:orient="portrait"/>
          <w:cols w:equalWidth="0" w:num="1">
            <w:col w:w="11420"/>
          </w:cols>
          <w:pgMar w:left="240" w:top="459" w:right="239" w:bottom="1440" w:gutter="0" w:footer="0" w:header="0"/>
        </w:sect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ind w:left="360"/>
        <w:spacing w:after="0" w:line="234" w:lineRule="auto"/>
        <w:rPr>
          <w:sz w:val="20"/>
          <w:szCs w:val="20"/>
          <w:color w:val="auto"/>
        </w:rPr>
      </w:pPr>
      <w:r>
        <w:rPr>
          <w:rFonts w:ascii="Arial" w:cs="Arial" w:eastAsia="Arial" w:hAnsi="Arial"/>
          <w:sz w:val="18"/>
          <w:szCs w:val="18"/>
          <w:color w:val="auto"/>
        </w:rPr>
        <w:t>Applied Materials, Inc.</w:t>
      </w:r>
    </w:p>
    <w:p>
      <w:pPr>
        <w:ind w:left="360"/>
        <w:spacing w:after="0" w:line="235" w:lineRule="auto"/>
        <w:rPr>
          <w:sz w:val="20"/>
          <w:szCs w:val="20"/>
          <w:color w:val="auto"/>
        </w:rPr>
      </w:pPr>
      <w:r>
        <w:rPr>
          <w:rFonts w:ascii="Arial" w:cs="Arial" w:eastAsia="Arial" w:hAnsi="Arial"/>
          <w:sz w:val="18"/>
          <w:szCs w:val="18"/>
          <w:color w:val="auto"/>
        </w:rPr>
        <w:t>Broadcom Corporation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Computer Sciences Corporation</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eBay Inc. *</w:t>
      </w:r>
    </w:p>
    <w:p>
      <w:pPr>
        <w:ind w:left="360"/>
        <w:spacing w:after="0" w:line="234" w:lineRule="auto"/>
        <w:rPr>
          <w:sz w:val="20"/>
          <w:szCs w:val="20"/>
          <w:color w:val="auto"/>
        </w:rPr>
      </w:pPr>
      <w:r>
        <w:rPr>
          <w:rFonts w:ascii="Arial" w:cs="Arial" w:eastAsia="Arial" w:hAnsi="Arial"/>
          <w:sz w:val="18"/>
          <w:szCs w:val="18"/>
          <w:color w:val="auto"/>
        </w:rPr>
        <w:t>EMC Corporation *</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34" w:lineRule="auto"/>
        <w:rPr>
          <w:sz w:val="20"/>
          <w:szCs w:val="20"/>
          <w:color w:val="auto"/>
        </w:rPr>
      </w:pPr>
      <w:r>
        <w:rPr>
          <w:rFonts w:ascii="Arial" w:cs="Arial" w:eastAsia="Arial" w:hAnsi="Arial"/>
          <w:sz w:val="18"/>
          <w:szCs w:val="18"/>
          <w:color w:val="auto"/>
        </w:rPr>
        <w:t>Motorola Solutions, Inc.</w:t>
      </w:r>
    </w:p>
    <w:p>
      <w:pPr>
        <w:spacing w:after="0" w:line="235" w:lineRule="auto"/>
        <w:rPr>
          <w:sz w:val="20"/>
          <w:szCs w:val="20"/>
          <w:color w:val="auto"/>
        </w:rPr>
      </w:pPr>
      <w:r>
        <w:rPr>
          <w:rFonts w:ascii="Arial" w:cs="Arial" w:eastAsia="Arial" w:hAnsi="Arial"/>
          <w:sz w:val="18"/>
          <w:szCs w:val="18"/>
          <w:color w:val="auto"/>
        </w:rPr>
        <w:t>QUALCOMM Incorporated</w:t>
      </w:r>
    </w:p>
    <w:p>
      <w:pPr>
        <w:spacing w:after="0" w:line="235" w:lineRule="auto"/>
        <w:rPr>
          <w:sz w:val="20"/>
          <w:szCs w:val="20"/>
          <w:color w:val="auto"/>
        </w:rPr>
      </w:pPr>
      <w:r>
        <w:rPr>
          <w:rFonts w:ascii="Arial" w:cs="Arial" w:eastAsia="Arial" w:hAnsi="Arial"/>
          <w:sz w:val="18"/>
          <w:szCs w:val="18"/>
          <w:color w:val="auto"/>
        </w:rPr>
        <w:t>Seagate Technology *</w:t>
      </w:r>
    </w:p>
    <w:p>
      <w:pPr>
        <w:spacing w:after="0" w:line="235" w:lineRule="auto"/>
        <w:rPr>
          <w:sz w:val="20"/>
          <w:szCs w:val="20"/>
          <w:color w:val="auto"/>
        </w:rPr>
      </w:pPr>
      <w:r>
        <w:rPr>
          <w:rFonts w:ascii="Arial" w:cs="Arial" w:eastAsia="Arial" w:hAnsi="Arial"/>
          <w:sz w:val="18"/>
          <w:szCs w:val="18"/>
          <w:color w:val="auto"/>
        </w:rPr>
        <w:t>TE Connectivity Ltd.</w:t>
      </w:r>
    </w:p>
    <w:p>
      <w:pPr>
        <w:spacing w:after="0" w:line="235" w:lineRule="auto"/>
        <w:rPr>
          <w:sz w:val="20"/>
          <w:szCs w:val="20"/>
          <w:color w:val="auto"/>
        </w:rPr>
      </w:pPr>
      <w:r>
        <w:rPr>
          <w:rFonts w:ascii="Arial" w:cs="Arial" w:eastAsia="Arial" w:hAnsi="Arial"/>
          <w:sz w:val="18"/>
          <w:szCs w:val="18"/>
          <w:color w:val="auto"/>
        </w:rPr>
        <w:t>Western Digital Corporation</w:t>
      </w:r>
    </w:p>
    <w:p>
      <w:pPr>
        <w:spacing w:after="0"/>
        <w:rPr>
          <w:sz w:val="20"/>
          <w:szCs w:val="20"/>
          <w:color w:val="auto"/>
        </w:rPr>
      </w:pPr>
      <w:r>
        <w:rPr>
          <w:rFonts w:ascii="Arial" w:cs="Arial" w:eastAsia="Arial" w:hAnsi="Arial"/>
          <w:sz w:val="18"/>
          <w:szCs w:val="18"/>
          <w:color w:val="auto"/>
        </w:rPr>
        <w:t>Xerox Corporation *</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Removed in July 2016</w:t>
      </w:r>
    </w:p>
    <w:p>
      <w:pPr>
        <w:spacing w:after="0" w:line="21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committee set the Comparator Group in July 2015 for the base salary and equity compensation decisions it made in January 2016. For a discussion of the factors considered by the committee in setting the Comparator Group in July 2015, please see “Comparator group” on pages 19-20 of the company’s 2016 proxy statement.</w:t>
      </w:r>
    </w:p>
    <w:p>
      <w:pPr>
        <w:spacing w:after="0" w:line="20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July 2016, the committee conducted its regular review of the Comparator Group in terms of industry, revenue and market capitalization and noted that with recent merger, divestiture and reorganization activity, certain companies had either been eliminated or were no longer appropriate. The committee determined that with few direct competitors of similar size and complexity as the company, the peer group should be broadened to incorporate industries of similar size and complexity, including companies that use sophisticated manufacturing processes. Potential additions to the Comparator Group were screened based on financial comparability to company metrics, including market capitalization to revenue ratios, operating margin and free cash flow margin.</w:t>
      </w:r>
    </w:p>
    <w:p>
      <w:pPr>
        <w:spacing w:after="0" w:line="133"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21</w:t>
            </w:r>
          </w:p>
        </w:tc>
      </w:tr>
    </w:tbl>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 the advice of its compensation consultant, the committee decided to remove four companies from the Comparator Group and to add eight. The resulting Comparator Group was used for the bonus decisions in January 2017 relating to 2016 performance. As reconstituted, the Comparator Group companies (1) are U.S.-based, (2) engage in the semiconductor business, other electronics or information technology activities or use sophisticated manufacturing processes, (3) have executive positions comparable in complexity to those of TI and (4) use forms of executive compensation comparable to TI’s. The table below compares the current Comparator Group to TI in terms of revenue and market capitalization.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4200" w:type="dxa"/>
            <w:vAlign w:val="bottom"/>
          </w:tcPr>
          <w:p>
            <w:pPr>
              <w:jc w:val="right"/>
              <w:ind w:right="312"/>
              <w:spacing w:after="0"/>
              <w:rPr>
                <w:sz w:val="20"/>
                <w:szCs w:val="20"/>
                <w:color w:val="auto"/>
              </w:rPr>
            </w:pPr>
            <w:r>
              <w:rPr>
                <w:rFonts w:ascii="Arial" w:cs="Arial" w:eastAsia="Arial" w:hAnsi="Arial"/>
                <w:sz w:val="14"/>
                <w:szCs w:val="14"/>
                <w:b w:val="1"/>
                <w:bCs w:val="1"/>
                <w:color w:val="auto"/>
              </w:rPr>
              <w:t>Revenue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Market Cap</w:t>
            </w:r>
          </w:p>
        </w:tc>
      </w:tr>
      <w:tr>
        <w:trPr>
          <w:trHeight w:val="189"/>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42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 Billion)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Billion) *</w:t>
            </w: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Intel Corporation</w:t>
            </w:r>
          </w:p>
        </w:tc>
        <w:tc>
          <w:tcPr>
            <w:tcW w:w="4200" w:type="dxa"/>
            <w:vAlign w:val="bottom"/>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57.9</w:t>
            </w:r>
          </w:p>
        </w:tc>
        <w:tc>
          <w:tcPr>
            <w:tcW w:w="11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173.4</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Cisco Systems, Inc. **</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48.9</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153.3</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Honeywell International Inc. **</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39.3</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88.5</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Accenture PLC **</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35.3</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72.5</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3M Company **</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30.1</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107.1</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Medtronic Public Limited Company **</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29.0</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97.0</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QUALCOMM Corporation</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23.6</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96.6</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Thermo Fisher Scientific Inc. **</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18.0</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56.8</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Emerson Electric Co.</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14.5</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36.7</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Western Digital Corporation</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14.3</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19.8</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Broadcom Limited **</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13.2</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70.9</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TE Connectivity Ltd.</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12.2</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24.5</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Applied Materials, Inc.</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10.8</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34.4</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Corning Incorporated **</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9.1</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Motorola Solutions, Inc.</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5.8</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13.9</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Computer Sciences Corporation</w:t>
            </w:r>
          </w:p>
        </w:tc>
        <w:tc>
          <w:tcPr>
            <w:tcW w:w="4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5.4</w:t>
            </w: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8.1</w:t>
            </w:r>
          </w:p>
        </w:tc>
      </w:tr>
      <w:tr>
        <w:trPr>
          <w:trHeight w:val="21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42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3.4</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22.3</w:t>
            </w:r>
          </w:p>
        </w:tc>
      </w:tr>
      <w:tr>
        <w:trPr>
          <w:trHeight w:val="80"/>
        </w:trPr>
        <w:tc>
          <w:tcPr>
            <w:tcW w:w="6120" w:type="dxa"/>
            <w:vAlign w:val="bottom"/>
            <w:tcBorders>
              <w:bottom w:val="single" w:sz="8" w:color="auto"/>
            </w:tcBorders>
            <w:shd w:val="clear" w:color="auto" w:fill="CCEEFF"/>
          </w:tcPr>
          <w:p>
            <w:pPr>
              <w:spacing w:after="0"/>
              <w:rPr>
                <w:sz w:val="6"/>
                <w:szCs w:val="6"/>
                <w:color w:val="auto"/>
              </w:rPr>
            </w:pPr>
          </w:p>
        </w:tc>
        <w:tc>
          <w:tcPr>
            <w:tcW w:w="42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8"/>
                <w:szCs w:val="18"/>
                <w:color w:val="auto"/>
              </w:rPr>
              <w:t>Median</w:t>
            </w:r>
          </w:p>
        </w:tc>
        <w:tc>
          <w:tcPr>
            <w:tcW w:w="4200" w:type="dxa"/>
            <w:vAlign w:val="bottom"/>
          </w:tcPr>
          <w:p>
            <w:pPr>
              <w:jc w:val="right"/>
              <w:ind w:right="432"/>
              <w:spacing w:after="0"/>
              <w:rPr>
                <w:sz w:val="20"/>
                <w:szCs w:val="20"/>
                <w:color w:val="auto"/>
              </w:rPr>
            </w:pPr>
            <w:r>
              <w:rPr>
                <w:rFonts w:ascii="Arial" w:cs="Arial" w:eastAsia="Arial" w:hAnsi="Arial"/>
                <w:sz w:val="18"/>
                <w:szCs w:val="18"/>
                <w:color w:val="auto"/>
              </w:rPr>
              <w:t>14.5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56.8</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Texas Instruments Incorporated</w:t>
            </w:r>
          </w:p>
        </w:tc>
        <w:tc>
          <w:tcPr>
            <w:tcW w:w="4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13.1</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73.5</w:t>
            </w:r>
          </w:p>
        </w:tc>
      </w:tr>
    </w:tbl>
    <w:p>
      <w:pPr>
        <w:spacing w:after="0" w:line="121" w:lineRule="exact"/>
        <w:rPr>
          <w:sz w:val="20"/>
          <w:szCs w:val="20"/>
          <w:color w:val="auto"/>
        </w:rPr>
      </w:pPr>
    </w:p>
    <w:p>
      <w:pPr>
        <w:ind w:left="220" w:right="480" w:hanging="212"/>
        <w:spacing w:after="0" w:line="246"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Trailing four-quarter revenue is as reported by Thomson Reuters on January 4, 2017. Market capitalization is as of January 4, 2017, as reported by Thomson Reuters.</w:t>
      </w:r>
    </w:p>
    <w:p>
      <w:pPr>
        <w:spacing w:after="0" w:line="102" w:lineRule="exact"/>
        <w:rPr>
          <w:sz w:val="20"/>
          <w:szCs w:val="20"/>
          <w:color w:val="auto"/>
        </w:rPr>
      </w:pPr>
    </w:p>
    <w:p>
      <w:pPr>
        <w:ind w:left="220" w:right="1080" w:hanging="212"/>
        <w:spacing w:after="0" w:line="246"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Added in July 2016. Broadcom Corporation was removed after being acquired by Avago Technologies Limited; however, Avago Technologies Limited was renamed Broadcom Limited and was added to the list.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compensation determinations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2016 rate of base salary for the named executive officers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jc w:val="right"/>
              <w:ind w:right="75"/>
              <w:spacing w:after="0"/>
              <w:rPr>
                <w:sz w:val="20"/>
                <w:szCs w:val="20"/>
                <w:color w:val="auto"/>
              </w:rPr>
            </w:pPr>
            <w:r>
              <w:rPr>
                <w:rFonts w:ascii="Arial" w:cs="Arial" w:eastAsia="Arial" w:hAnsi="Arial"/>
                <w:sz w:val="14"/>
                <w:szCs w:val="14"/>
                <w:b w:val="1"/>
                <w:bCs w:val="1"/>
                <w:color w:val="auto"/>
              </w:rPr>
              <w:t>Change from</w:t>
            </w:r>
          </w:p>
        </w:tc>
      </w:tr>
      <w:tr>
        <w:trPr>
          <w:trHeight w:val="189"/>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70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2016 Annual Rate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 Annual Rate</w:t>
            </w:r>
          </w:p>
        </w:tc>
      </w:tr>
      <w:tr>
        <w:trPr>
          <w:trHeight w:val="196"/>
        </w:trPr>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5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1,166,000</w:t>
            </w:r>
          </w:p>
        </w:tc>
        <w:tc>
          <w:tcPr>
            <w:tcW w:w="1640" w:type="dxa"/>
            <w:vAlign w:val="bottom"/>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2.0%</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5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668,000</w:t>
            </w:r>
          </w:p>
        </w:tc>
        <w:tc>
          <w:tcPr>
            <w:tcW w:w="16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2.9%</w:t>
            </w: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5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825,000</w:t>
            </w:r>
          </w:p>
        </w:tc>
        <w:tc>
          <w:tcPr>
            <w:tcW w:w="164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3.1%</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K. J. Ritchie</w:t>
            </w:r>
          </w:p>
        </w:tc>
        <w:tc>
          <w:tcPr>
            <w:tcW w:w="5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690,000</w:t>
            </w:r>
          </w:p>
        </w:tc>
        <w:tc>
          <w:tcPr>
            <w:tcW w:w="16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3.0%</w:t>
            </w: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 A. Anderson</w:t>
            </w:r>
          </w:p>
        </w:tc>
        <w:tc>
          <w:tcPr>
            <w:tcW w:w="5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618,000</w:t>
            </w:r>
          </w:p>
        </w:tc>
        <w:tc>
          <w:tcPr>
            <w:tcW w:w="164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3.0%</w:t>
            </w:r>
          </w:p>
        </w:tc>
      </w:tr>
      <w:tr>
        <w:trPr>
          <w:trHeight w:val="295"/>
        </w:trPr>
        <w:tc>
          <w:tcPr>
            <w:tcW w:w="2700" w:type="dxa"/>
            <w:vAlign w:val="bottom"/>
          </w:tcPr>
          <w:p>
            <w:pPr>
              <w:ind w:left="20"/>
              <w:spacing w:after="0"/>
              <w:rPr>
                <w:sz w:val="20"/>
                <w:szCs w:val="20"/>
                <w:color w:val="auto"/>
              </w:rPr>
            </w:pPr>
            <w:r>
              <w:rPr>
                <w:rFonts w:ascii="Arial" w:cs="Arial" w:eastAsia="Arial" w:hAnsi="Arial"/>
                <w:sz w:val="13"/>
                <w:szCs w:val="13"/>
                <w:color w:val="666666"/>
              </w:rPr>
              <w:t>22</w:t>
            </w:r>
          </w:p>
        </w:tc>
        <w:tc>
          <w:tcPr>
            <w:tcW w:w="5680" w:type="dxa"/>
            <w:vAlign w:val="bottom"/>
          </w:tcPr>
          <w:p>
            <w:pPr>
              <w:jc w:val="right"/>
              <w:ind w:right="956"/>
              <w:spacing w:after="0"/>
              <w:rPr>
                <w:sz w:val="20"/>
                <w:szCs w:val="20"/>
                <w:color w:val="auto"/>
              </w:rPr>
            </w:pPr>
            <w:r>
              <w:rPr>
                <w:rFonts w:ascii="Arial" w:cs="Arial" w:eastAsia="Arial" w:hAnsi="Arial"/>
                <w:sz w:val="13"/>
                <w:szCs w:val="13"/>
                <w:color w:val="666666"/>
              </w:rPr>
              <w:t>TEXAS INSTRUMENTS  •  2017 PROXY STATEMENT</w:t>
            </w: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720"/>
        <w:spacing w:after="0"/>
        <w:rPr>
          <w:sz w:val="20"/>
          <w:szCs w:val="20"/>
          <w:color w:val="auto"/>
        </w:rPr>
      </w:pPr>
      <w:r>
        <w:rPr>
          <w:rFonts w:ascii="Arial" w:cs="Arial" w:eastAsia="Arial" w:hAnsi="Arial"/>
          <w:sz w:val="18"/>
          <w:szCs w:val="18"/>
          <w:color w:val="auto"/>
        </w:rPr>
        <w:t>The committee set the 2016 base-salary rate for each of the named executive officers in January 2016. In keeping with its strategy, the committee set the annual base-salary rates to be below the estimated median level of salaries expected to be paid to similarly situated executives (considering job scope and tenure) of companies within the Comparator Group in January 2016.</w:t>
      </w:r>
    </w:p>
    <w:p>
      <w:pPr>
        <w:spacing w:after="0" w:line="20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1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2016, the committee awarded equity compensation to each of the named executive officers. The grants are shown in the table under “Grants of plan-based awards in 2016.” The grant date fair value of the awards is reflected in that table and in the “Stock Awards” and “Option Awards” columns of the 2016 summary compensation table. The table below is provided to assist the reader in comparing the grant date fair values and number of shares for each of the years shown in the summary compensation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ind w:left="440"/>
              <w:spacing w:after="0"/>
              <w:rPr>
                <w:sz w:val="20"/>
                <w:szCs w:val="20"/>
                <w:color w:val="auto"/>
              </w:rPr>
            </w:pPr>
            <w:r>
              <w:rPr>
                <w:rFonts w:ascii="Arial" w:cs="Arial" w:eastAsia="Arial" w:hAnsi="Arial"/>
                <w:sz w:val="14"/>
                <w:szCs w:val="14"/>
                <w:b w:val="1"/>
                <w:bCs w:val="1"/>
                <w:color w:val="auto"/>
              </w:rPr>
              <w:t>Grant Date</w:t>
            </w:r>
          </w:p>
        </w:tc>
        <w:tc>
          <w:tcPr>
            <w:tcW w:w="1740" w:type="dxa"/>
            <w:vAlign w:val="bottom"/>
          </w:tcPr>
          <w:p>
            <w:pPr>
              <w:jc w:val="right"/>
              <w:ind w:right="352"/>
              <w:spacing w:after="0"/>
              <w:rPr>
                <w:sz w:val="20"/>
                <w:szCs w:val="20"/>
                <w:color w:val="auto"/>
              </w:rPr>
            </w:pPr>
            <w:r>
              <w:rPr>
                <w:rFonts w:ascii="Arial" w:cs="Arial" w:eastAsia="Arial" w:hAnsi="Arial"/>
                <w:sz w:val="14"/>
                <w:szCs w:val="14"/>
                <w:b w:val="1"/>
                <w:bCs w:val="1"/>
                <w:color w:val="auto"/>
              </w:rPr>
              <w:t>Stock Options</w:t>
            </w:r>
          </w:p>
        </w:tc>
        <w:tc>
          <w:tcPr>
            <w:tcW w:w="130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175"/>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1220" w:type="dxa"/>
            <w:vAlign w:val="bottom"/>
          </w:tcPr>
          <w:p>
            <w:pPr>
              <w:ind w:left="560"/>
              <w:spacing w:after="0"/>
              <w:rPr>
                <w:sz w:val="20"/>
                <w:szCs w:val="20"/>
                <w:color w:val="auto"/>
              </w:rPr>
            </w:pPr>
            <w:r>
              <w:rPr>
                <w:rFonts w:ascii="Arial" w:cs="Arial" w:eastAsia="Arial" w:hAnsi="Arial"/>
                <w:sz w:val="14"/>
                <w:szCs w:val="14"/>
                <w:b w:val="1"/>
                <w:bCs w:val="1"/>
                <w:color w:val="auto"/>
              </w:rPr>
              <w:t>Year</w:t>
            </w:r>
          </w:p>
        </w:tc>
        <w:tc>
          <w:tcPr>
            <w:tcW w:w="1760" w:type="dxa"/>
            <w:vAlign w:val="bottom"/>
          </w:tcPr>
          <w:p>
            <w:pPr>
              <w:ind w:left="420"/>
              <w:spacing w:after="0"/>
              <w:rPr>
                <w:sz w:val="20"/>
                <w:szCs w:val="20"/>
                <w:color w:val="auto"/>
              </w:rPr>
            </w:pPr>
            <w:r>
              <w:rPr>
                <w:rFonts w:ascii="Arial" w:cs="Arial" w:eastAsia="Arial" w:hAnsi="Arial"/>
                <w:sz w:val="14"/>
                <w:szCs w:val="14"/>
                <w:b w:val="1"/>
                <w:bCs w:val="1"/>
                <w:color w:val="auto"/>
              </w:rPr>
              <w:t>Fair Value *</w:t>
            </w:r>
          </w:p>
        </w:tc>
        <w:tc>
          <w:tcPr>
            <w:tcW w:w="1740" w:type="dxa"/>
            <w:vAlign w:val="bottom"/>
          </w:tcPr>
          <w:p>
            <w:pPr>
              <w:jc w:val="right"/>
              <w:ind w:right="452"/>
              <w:spacing w:after="0"/>
              <w:rPr>
                <w:sz w:val="20"/>
                <w:szCs w:val="20"/>
                <w:color w:val="auto"/>
              </w:rPr>
            </w:pPr>
            <w:r>
              <w:rPr>
                <w:rFonts w:ascii="Arial" w:cs="Arial" w:eastAsia="Arial" w:hAnsi="Arial"/>
                <w:sz w:val="14"/>
                <w:szCs w:val="14"/>
                <w:b w:val="1"/>
                <w:bCs w:val="1"/>
                <w:color w:val="auto"/>
              </w:rPr>
              <w:t>(In Shares)</w:t>
            </w:r>
          </w:p>
        </w:tc>
        <w:tc>
          <w:tcPr>
            <w:tcW w:w="130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(In Shares)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1220" w:type="dxa"/>
            <w:vAlign w:val="bottom"/>
            <w:tcBorders>
              <w:top w:val="single" w:sz="8" w:color="auto"/>
            </w:tcBorders>
            <w:shd w:val="clear" w:color="auto" w:fill="CCEEFF"/>
          </w:tcPr>
          <w:p>
            <w:pPr>
              <w:ind w:left="560"/>
              <w:spacing w:after="0" w:line="195" w:lineRule="exact"/>
              <w:rPr>
                <w:sz w:val="20"/>
                <w:szCs w:val="20"/>
                <w:color w:val="auto"/>
              </w:rPr>
            </w:pPr>
            <w:r>
              <w:rPr>
                <w:rFonts w:ascii="Arial" w:cs="Arial" w:eastAsia="Arial" w:hAnsi="Arial"/>
                <w:sz w:val="18"/>
                <w:szCs w:val="18"/>
                <w:color w:val="auto"/>
              </w:rPr>
              <w:t>2016</w:t>
            </w:r>
          </w:p>
        </w:tc>
        <w:tc>
          <w:tcPr>
            <w:tcW w:w="1760" w:type="dxa"/>
            <w:vAlign w:val="bottom"/>
            <w:tcBorders>
              <w:top w:val="single" w:sz="8" w:color="auto"/>
            </w:tcBorders>
            <w:shd w:val="clear" w:color="auto" w:fill="CCEEFF"/>
          </w:tcPr>
          <w:p>
            <w:pPr>
              <w:ind w:left="260"/>
              <w:spacing w:after="0" w:line="195" w:lineRule="exact"/>
              <w:rPr>
                <w:sz w:val="20"/>
                <w:szCs w:val="20"/>
                <w:color w:val="auto"/>
              </w:rPr>
            </w:pPr>
            <w:r>
              <w:rPr>
                <w:rFonts w:ascii="Arial" w:cs="Arial" w:eastAsia="Arial" w:hAnsi="Arial"/>
                <w:sz w:val="18"/>
                <w:szCs w:val="18"/>
                <w:color w:val="auto"/>
              </w:rPr>
              <w:t>$ 9,800,055</w:t>
            </w:r>
          </w:p>
        </w:tc>
        <w:tc>
          <w:tcPr>
            <w:tcW w:w="1740" w:type="dxa"/>
            <w:vAlign w:val="bottom"/>
            <w:tcBorders>
              <w:top w:val="single" w:sz="8" w:color="auto"/>
            </w:tcBorders>
            <w:shd w:val="clear" w:color="auto" w:fill="CCEEFF"/>
          </w:tcPr>
          <w:p>
            <w:pPr>
              <w:jc w:val="right"/>
              <w:ind w:right="472"/>
              <w:spacing w:after="0" w:line="195" w:lineRule="exact"/>
              <w:rPr>
                <w:sz w:val="20"/>
                <w:szCs w:val="20"/>
                <w:color w:val="auto"/>
              </w:rPr>
            </w:pPr>
            <w:r>
              <w:rPr>
                <w:rFonts w:ascii="Arial" w:cs="Arial" w:eastAsia="Arial" w:hAnsi="Arial"/>
                <w:sz w:val="18"/>
                <w:szCs w:val="18"/>
                <w:color w:val="auto"/>
              </w:rPr>
              <w:t>489,557</w:t>
            </w: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92,576</w:t>
            </w: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2015</w:t>
            </w:r>
          </w:p>
        </w:tc>
        <w:tc>
          <w:tcPr>
            <w:tcW w:w="17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$ 9,800,023</w:t>
            </w:r>
          </w:p>
        </w:tc>
        <w:tc>
          <w:tcPr>
            <w:tcW w:w="174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516,440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90,842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2014</w:t>
            </w:r>
          </w:p>
        </w:tc>
        <w:tc>
          <w:tcPr>
            <w:tcW w:w="17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$ 9,800,034</w:t>
            </w:r>
          </w:p>
        </w:tc>
        <w:tc>
          <w:tcPr>
            <w:tcW w:w="1740" w:type="dxa"/>
            <w:vAlign w:val="bottom"/>
            <w:shd w:val="clear" w:color="auto" w:fill="CCEEFF"/>
          </w:tcPr>
          <w:p>
            <w:pPr>
              <w:jc w:val="right"/>
              <w:ind w:right="472"/>
              <w:spacing w:after="0" w:line="203" w:lineRule="exact"/>
              <w:rPr>
                <w:sz w:val="20"/>
                <w:szCs w:val="20"/>
                <w:color w:val="auto"/>
              </w:rPr>
            </w:pPr>
            <w:r>
              <w:rPr>
                <w:rFonts w:ascii="Arial" w:cs="Arial" w:eastAsia="Arial" w:hAnsi="Arial"/>
                <w:sz w:val="18"/>
                <w:szCs w:val="18"/>
                <w:color w:val="auto"/>
              </w:rPr>
              <w:t>602,692</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111,137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1220" w:type="dxa"/>
            <w:vAlign w:val="bottom"/>
          </w:tcPr>
          <w:p>
            <w:pPr>
              <w:ind w:left="560"/>
              <w:spacing w:after="0"/>
              <w:rPr>
                <w:sz w:val="20"/>
                <w:szCs w:val="20"/>
                <w:color w:val="auto"/>
              </w:rPr>
            </w:pPr>
            <w:r>
              <w:rPr>
                <w:rFonts w:ascii="Arial" w:cs="Arial" w:eastAsia="Arial" w:hAnsi="Arial"/>
                <w:sz w:val="18"/>
                <w:szCs w:val="18"/>
                <w:color w:val="auto"/>
              </w:rPr>
              <w:t>2016</w:t>
            </w:r>
          </w:p>
        </w:tc>
        <w:tc>
          <w:tcPr>
            <w:tcW w:w="1760" w:type="dxa"/>
            <w:vAlign w:val="bottom"/>
          </w:tcPr>
          <w:p>
            <w:pPr>
              <w:ind w:left="260"/>
              <w:spacing w:after="0"/>
              <w:rPr>
                <w:sz w:val="20"/>
                <w:szCs w:val="20"/>
                <w:color w:val="auto"/>
              </w:rPr>
            </w:pPr>
            <w:r>
              <w:rPr>
                <w:rFonts w:ascii="Arial" w:cs="Arial" w:eastAsia="Arial" w:hAnsi="Arial"/>
                <w:sz w:val="18"/>
                <w:szCs w:val="18"/>
                <w:color w:val="auto"/>
              </w:rPr>
              <w:t>$ 2,700,035</w:t>
            </w:r>
          </w:p>
        </w:tc>
        <w:tc>
          <w:tcPr>
            <w:tcW w:w="1740" w:type="dxa"/>
            <w:vAlign w:val="bottom"/>
          </w:tcPr>
          <w:p>
            <w:pPr>
              <w:jc w:val="right"/>
              <w:ind w:right="472"/>
              <w:spacing w:after="0"/>
              <w:rPr>
                <w:sz w:val="20"/>
                <w:szCs w:val="20"/>
                <w:color w:val="auto"/>
              </w:rPr>
            </w:pPr>
            <w:r>
              <w:rPr>
                <w:rFonts w:ascii="Arial" w:cs="Arial" w:eastAsia="Arial" w:hAnsi="Arial"/>
                <w:sz w:val="18"/>
                <w:szCs w:val="18"/>
                <w:color w:val="auto"/>
              </w:rPr>
              <w:t>134,878</w:t>
            </w:r>
          </w:p>
        </w:tc>
        <w:tc>
          <w:tcPr>
            <w:tcW w:w="1120" w:type="dxa"/>
            <w:vAlign w:val="bottom"/>
          </w:tcPr>
          <w:p>
            <w:pPr>
              <w:jc w:val="right"/>
              <w:spacing w:after="0"/>
              <w:rPr>
                <w:sz w:val="20"/>
                <w:szCs w:val="20"/>
                <w:color w:val="auto"/>
              </w:rPr>
            </w:pPr>
            <w:r>
              <w:rPr>
                <w:rFonts w:ascii="Arial" w:cs="Arial" w:eastAsia="Arial" w:hAnsi="Arial"/>
                <w:sz w:val="18"/>
                <w:szCs w:val="18"/>
                <w:color w:val="auto"/>
              </w:rPr>
              <w:t>25,506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20" w:type="dxa"/>
            <w:vAlign w:val="bottom"/>
          </w:tcPr>
          <w:p>
            <w:pPr>
              <w:ind w:left="560"/>
              <w:spacing w:after="0" w:line="202" w:lineRule="exact"/>
              <w:rPr>
                <w:sz w:val="20"/>
                <w:szCs w:val="20"/>
                <w:color w:val="auto"/>
              </w:rPr>
            </w:pPr>
            <w:r>
              <w:rPr>
                <w:rFonts w:ascii="Arial" w:cs="Arial" w:eastAsia="Arial" w:hAnsi="Arial"/>
                <w:sz w:val="18"/>
                <w:szCs w:val="18"/>
                <w:color w:val="auto"/>
              </w:rPr>
              <w:t>2015</w:t>
            </w:r>
          </w:p>
        </w:tc>
        <w:tc>
          <w:tcPr>
            <w:tcW w:w="1760" w:type="dxa"/>
            <w:vAlign w:val="bottom"/>
          </w:tcPr>
          <w:p>
            <w:pPr>
              <w:ind w:left="260"/>
              <w:spacing w:after="0" w:line="202" w:lineRule="exact"/>
              <w:rPr>
                <w:sz w:val="20"/>
                <w:szCs w:val="20"/>
                <w:color w:val="auto"/>
              </w:rPr>
            </w:pPr>
            <w:r>
              <w:rPr>
                <w:rFonts w:ascii="Arial" w:cs="Arial" w:eastAsia="Arial" w:hAnsi="Arial"/>
                <w:sz w:val="18"/>
                <w:szCs w:val="18"/>
                <w:color w:val="auto"/>
              </w:rPr>
              <w:t>$ 2,700,017</w:t>
            </w:r>
          </w:p>
        </w:tc>
        <w:tc>
          <w:tcPr>
            <w:tcW w:w="174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142,285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25,028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2014</w:t>
            </w:r>
          </w:p>
        </w:tc>
        <w:tc>
          <w:tcPr>
            <w:tcW w:w="1760" w:type="dxa"/>
            <w:vAlign w:val="bottom"/>
          </w:tcPr>
          <w:p>
            <w:pPr>
              <w:ind w:left="260"/>
              <w:spacing w:after="0"/>
              <w:rPr>
                <w:sz w:val="20"/>
                <w:szCs w:val="20"/>
                <w:color w:val="auto"/>
              </w:rPr>
            </w:pPr>
            <w:r>
              <w:rPr>
                <w:rFonts w:ascii="Arial" w:cs="Arial" w:eastAsia="Arial" w:hAnsi="Arial"/>
                <w:sz w:val="18"/>
                <w:szCs w:val="18"/>
                <w:color w:val="auto"/>
              </w:rPr>
              <w:t>$ 2,700,039</w:t>
            </w:r>
          </w:p>
        </w:tc>
        <w:tc>
          <w:tcPr>
            <w:tcW w:w="1740" w:type="dxa"/>
            <w:vAlign w:val="bottom"/>
          </w:tcPr>
          <w:p>
            <w:pPr>
              <w:jc w:val="right"/>
              <w:ind w:right="472"/>
              <w:spacing w:after="0"/>
              <w:rPr>
                <w:sz w:val="20"/>
                <w:szCs w:val="20"/>
                <w:color w:val="auto"/>
              </w:rPr>
            </w:pPr>
            <w:r>
              <w:rPr>
                <w:rFonts w:ascii="Arial" w:cs="Arial" w:eastAsia="Arial" w:hAnsi="Arial"/>
                <w:sz w:val="18"/>
                <w:szCs w:val="18"/>
                <w:color w:val="auto"/>
              </w:rPr>
              <w:t>166,048</w:t>
            </w:r>
          </w:p>
        </w:tc>
        <w:tc>
          <w:tcPr>
            <w:tcW w:w="1120" w:type="dxa"/>
            <w:vAlign w:val="bottom"/>
          </w:tcPr>
          <w:p>
            <w:pPr>
              <w:jc w:val="right"/>
              <w:spacing w:after="0"/>
              <w:rPr>
                <w:sz w:val="20"/>
                <w:szCs w:val="20"/>
                <w:color w:val="auto"/>
              </w:rPr>
            </w:pPr>
            <w:r>
              <w:rPr>
                <w:rFonts w:ascii="Arial" w:cs="Arial" w:eastAsia="Arial" w:hAnsi="Arial"/>
                <w:sz w:val="18"/>
                <w:szCs w:val="18"/>
                <w:color w:val="auto"/>
              </w:rPr>
              <w:t>30,620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12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2016</w:t>
            </w:r>
          </w:p>
        </w:tc>
        <w:tc>
          <w:tcPr>
            <w:tcW w:w="17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$ 5,500,031</w:t>
            </w:r>
          </w:p>
        </w:tc>
        <w:tc>
          <w:tcPr>
            <w:tcW w:w="1740" w:type="dxa"/>
            <w:vAlign w:val="bottom"/>
            <w:shd w:val="clear" w:color="auto" w:fill="CCEEFF"/>
          </w:tcPr>
          <w:p>
            <w:pPr>
              <w:jc w:val="right"/>
              <w:ind w:right="472"/>
              <w:spacing w:after="0" w:line="201" w:lineRule="exact"/>
              <w:rPr>
                <w:sz w:val="20"/>
                <w:szCs w:val="20"/>
                <w:color w:val="auto"/>
              </w:rPr>
            </w:pPr>
            <w:r>
              <w:rPr>
                <w:rFonts w:ascii="Arial" w:cs="Arial" w:eastAsia="Arial" w:hAnsi="Arial"/>
                <w:sz w:val="18"/>
                <w:szCs w:val="18"/>
                <w:color w:val="auto"/>
              </w:rPr>
              <w:t>274,751</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51,956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2015</w:t>
            </w:r>
          </w:p>
        </w:tc>
        <w:tc>
          <w:tcPr>
            <w:tcW w:w="17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$ 5,500,029</w:t>
            </w:r>
          </w:p>
        </w:tc>
        <w:tc>
          <w:tcPr>
            <w:tcW w:w="174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289,839</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50,983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2014</w:t>
            </w:r>
          </w:p>
        </w:tc>
        <w:tc>
          <w:tcPr>
            <w:tcW w:w="17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$ 4,500,008</w:t>
            </w:r>
          </w:p>
        </w:tc>
        <w:tc>
          <w:tcPr>
            <w:tcW w:w="1740" w:type="dxa"/>
            <w:vAlign w:val="bottom"/>
            <w:shd w:val="clear" w:color="auto" w:fill="CCEEFF"/>
          </w:tcPr>
          <w:p>
            <w:pPr>
              <w:jc w:val="right"/>
              <w:ind w:right="472"/>
              <w:spacing w:after="0" w:line="203" w:lineRule="exact"/>
              <w:rPr>
                <w:sz w:val="20"/>
                <w:szCs w:val="20"/>
                <w:color w:val="auto"/>
              </w:rPr>
            </w:pPr>
            <w:r>
              <w:rPr>
                <w:rFonts w:ascii="Arial" w:cs="Arial" w:eastAsia="Arial" w:hAnsi="Arial"/>
                <w:sz w:val="18"/>
                <w:szCs w:val="18"/>
                <w:color w:val="auto"/>
              </w:rPr>
              <w:t>276,747</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51,032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1220" w:type="dxa"/>
            <w:vAlign w:val="bottom"/>
          </w:tcPr>
          <w:p>
            <w:pPr>
              <w:ind w:left="560"/>
              <w:spacing w:after="0"/>
              <w:rPr>
                <w:sz w:val="20"/>
                <w:szCs w:val="20"/>
                <w:color w:val="auto"/>
              </w:rPr>
            </w:pPr>
            <w:r>
              <w:rPr>
                <w:rFonts w:ascii="Arial" w:cs="Arial" w:eastAsia="Arial" w:hAnsi="Arial"/>
                <w:sz w:val="18"/>
                <w:szCs w:val="18"/>
                <w:color w:val="auto"/>
              </w:rPr>
              <w:t>2016</w:t>
            </w:r>
          </w:p>
        </w:tc>
        <w:tc>
          <w:tcPr>
            <w:tcW w:w="1760" w:type="dxa"/>
            <w:vAlign w:val="bottom"/>
          </w:tcPr>
          <w:p>
            <w:pPr>
              <w:ind w:left="260"/>
              <w:spacing w:after="0"/>
              <w:rPr>
                <w:sz w:val="20"/>
                <w:szCs w:val="20"/>
                <w:color w:val="auto"/>
              </w:rPr>
            </w:pPr>
            <w:r>
              <w:rPr>
                <w:rFonts w:ascii="Arial" w:cs="Arial" w:eastAsia="Arial" w:hAnsi="Arial"/>
                <w:sz w:val="18"/>
                <w:szCs w:val="18"/>
                <w:color w:val="auto"/>
              </w:rPr>
              <w:t>$ 4,000,014</w:t>
            </w:r>
          </w:p>
        </w:tc>
        <w:tc>
          <w:tcPr>
            <w:tcW w:w="1740" w:type="dxa"/>
            <w:vAlign w:val="bottom"/>
          </w:tcPr>
          <w:p>
            <w:pPr>
              <w:jc w:val="right"/>
              <w:ind w:right="472"/>
              <w:spacing w:after="0"/>
              <w:rPr>
                <w:sz w:val="20"/>
                <w:szCs w:val="20"/>
                <w:color w:val="auto"/>
              </w:rPr>
            </w:pPr>
            <w:r>
              <w:rPr>
                <w:rFonts w:ascii="Arial" w:cs="Arial" w:eastAsia="Arial" w:hAnsi="Arial"/>
                <w:sz w:val="18"/>
                <w:szCs w:val="18"/>
                <w:color w:val="auto"/>
              </w:rPr>
              <w:t>199,819</w:t>
            </w:r>
          </w:p>
        </w:tc>
        <w:tc>
          <w:tcPr>
            <w:tcW w:w="1120" w:type="dxa"/>
            <w:vAlign w:val="bottom"/>
          </w:tcPr>
          <w:p>
            <w:pPr>
              <w:jc w:val="right"/>
              <w:spacing w:after="0"/>
              <w:rPr>
                <w:sz w:val="20"/>
                <w:szCs w:val="20"/>
                <w:color w:val="auto"/>
              </w:rPr>
            </w:pPr>
            <w:r>
              <w:rPr>
                <w:rFonts w:ascii="Arial" w:cs="Arial" w:eastAsia="Arial" w:hAnsi="Arial"/>
                <w:sz w:val="18"/>
                <w:szCs w:val="18"/>
                <w:color w:val="auto"/>
              </w:rPr>
              <w:t>37,786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20" w:type="dxa"/>
            <w:vAlign w:val="bottom"/>
          </w:tcPr>
          <w:p>
            <w:pPr>
              <w:ind w:left="560"/>
              <w:spacing w:after="0" w:line="202" w:lineRule="exact"/>
              <w:rPr>
                <w:sz w:val="20"/>
                <w:szCs w:val="20"/>
                <w:color w:val="auto"/>
              </w:rPr>
            </w:pPr>
            <w:r>
              <w:rPr>
                <w:rFonts w:ascii="Arial" w:cs="Arial" w:eastAsia="Arial" w:hAnsi="Arial"/>
                <w:sz w:val="18"/>
                <w:szCs w:val="18"/>
                <w:color w:val="auto"/>
              </w:rPr>
              <w:t>2015</w:t>
            </w:r>
          </w:p>
        </w:tc>
        <w:tc>
          <w:tcPr>
            <w:tcW w:w="1760" w:type="dxa"/>
            <w:vAlign w:val="bottom"/>
          </w:tcPr>
          <w:p>
            <w:pPr>
              <w:ind w:left="260"/>
              <w:spacing w:after="0" w:line="202" w:lineRule="exact"/>
              <w:rPr>
                <w:sz w:val="20"/>
                <w:szCs w:val="20"/>
                <w:color w:val="auto"/>
              </w:rPr>
            </w:pPr>
            <w:r>
              <w:rPr>
                <w:rFonts w:ascii="Arial" w:cs="Arial" w:eastAsia="Arial" w:hAnsi="Arial"/>
                <w:sz w:val="18"/>
                <w:szCs w:val="18"/>
                <w:color w:val="auto"/>
              </w:rPr>
              <w:t>$ 4,000,045</w:t>
            </w:r>
          </w:p>
        </w:tc>
        <w:tc>
          <w:tcPr>
            <w:tcW w:w="174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210,792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37,079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2014</w:t>
            </w:r>
          </w:p>
        </w:tc>
        <w:tc>
          <w:tcPr>
            <w:tcW w:w="1760" w:type="dxa"/>
            <w:vAlign w:val="bottom"/>
          </w:tcPr>
          <w:p>
            <w:pPr>
              <w:ind w:left="260"/>
              <w:spacing w:after="0"/>
              <w:rPr>
                <w:sz w:val="20"/>
                <w:szCs w:val="20"/>
                <w:color w:val="auto"/>
              </w:rPr>
            </w:pPr>
            <w:r>
              <w:rPr>
                <w:rFonts w:ascii="Arial" w:cs="Arial" w:eastAsia="Arial" w:hAnsi="Arial"/>
                <w:sz w:val="18"/>
                <w:szCs w:val="18"/>
                <w:color w:val="auto"/>
              </w:rPr>
              <w:t>$ 4,000,015</w:t>
            </w:r>
          </w:p>
        </w:tc>
        <w:tc>
          <w:tcPr>
            <w:tcW w:w="1740" w:type="dxa"/>
            <w:vAlign w:val="bottom"/>
          </w:tcPr>
          <w:p>
            <w:pPr>
              <w:jc w:val="right"/>
              <w:ind w:right="472"/>
              <w:spacing w:after="0"/>
              <w:rPr>
                <w:sz w:val="20"/>
                <w:szCs w:val="20"/>
                <w:color w:val="auto"/>
              </w:rPr>
            </w:pPr>
            <w:r>
              <w:rPr>
                <w:rFonts w:ascii="Arial" w:cs="Arial" w:eastAsia="Arial" w:hAnsi="Arial"/>
                <w:sz w:val="18"/>
                <w:szCs w:val="18"/>
                <w:color w:val="auto"/>
              </w:rPr>
              <w:t>245,997</w:t>
            </w:r>
          </w:p>
        </w:tc>
        <w:tc>
          <w:tcPr>
            <w:tcW w:w="1120" w:type="dxa"/>
            <w:vAlign w:val="bottom"/>
          </w:tcPr>
          <w:p>
            <w:pPr>
              <w:jc w:val="right"/>
              <w:spacing w:after="0"/>
              <w:rPr>
                <w:sz w:val="20"/>
                <w:szCs w:val="20"/>
                <w:color w:val="auto"/>
              </w:rPr>
            </w:pPr>
            <w:r>
              <w:rPr>
                <w:rFonts w:ascii="Arial" w:cs="Arial" w:eastAsia="Arial" w:hAnsi="Arial"/>
                <w:sz w:val="18"/>
                <w:szCs w:val="18"/>
                <w:color w:val="auto"/>
              </w:rPr>
              <w:t>45,362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A. Anderson</w:t>
            </w:r>
          </w:p>
        </w:tc>
        <w:tc>
          <w:tcPr>
            <w:tcW w:w="12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2016</w:t>
            </w:r>
          </w:p>
        </w:tc>
        <w:tc>
          <w:tcPr>
            <w:tcW w:w="17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$ 3,800,028</w:t>
            </w:r>
          </w:p>
        </w:tc>
        <w:tc>
          <w:tcPr>
            <w:tcW w:w="1740" w:type="dxa"/>
            <w:vAlign w:val="bottom"/>
            <w:shd w:val="clear" w:color="auto" w:fill="CCEEFF"/>
          </w:tcPr>
          <w:p>
            <w:pPr>
              <w:jc w:val="right"/>
              <w:ind w:right="472"/>
              <w:spacing w:after="0" w:line="201" w:lineRule="exact"/>
              <w:rPr>
                <w:sz w:val="20"/>
                <w:szCs w:val="20"/>
                <w:color w:val="auto"/>
              </w:rPr>
            </w:pPr>
            <w:r>
              <w:rPr>
                <w:rFonts w:ascii="Arial" w:cs="Arial" w:eastAsia="Arial" w:hAnsi="Arial"/>
                <w:sz w:val="18"/>
                <w:szCs w:val="18"/>
                <w:color w:val="auto"/>
              </w:rPr>
              <w:t>189,828</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35,897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2015</w:t>
            </w:r>
          </w:p>
        </w:tc>
        <w:tc>
          <w:tcPr>
            <w:tcW w:w="17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$ 3,800,037</w:t>
            </w:r>
          </w:p>
        </w:tc>
        <w:tc>
          <w:tcPr>
            <w:tcW w:w="174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200,252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35,225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2014</w:t>
            </w:r>
          </w:p>
        </w:tc>
        <w:tc>
          <w:tcPr>
            <w:tcW w:w="17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$ 2,700,039</w:t>
            </w:r>
          </w:p>
        </w:tc>
        <w:tc>
          <w:tcPr>
            <w:tcW w:w="174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166,048</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30,620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$ 2,000,003 **</w:t>
            </w:r>
          </w:p>
        </w:tc>
        <w:tc>
          <w:tcPr>
            <w:tcW w:w="17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41,745</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80" w:firstLine="8"/>
        <w:spacing w:after="0" w:line="387" w:lineRule="auto"/>
        <w:tabs>
          <w:tab w:leader="none" w:pos="2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notes 1 and 2 to the summary compensation table for information on how grant date fair value was calculated. ** Retention grant made in June 2014, when Mr. Anderson assumed new responsibilities.</w:t>
      </w:r>
    </w:p>
    <w:p>
      <w:pPr>
        <w:spacing w:after="0" w:line="7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January 2016, the committee awarded equity compensation to each of the named executive officers. The committee’s general objective was to award to those officers equity compensation that had a grant date fair value at approximately the median market level, in this case the 40</w:t>
      </w:r>
      <w:r>
        <w:rPr>
          <w:rFonts w:ascii="Arial" w:cs="Arial" w:eastAsia="Arial" w:hAnsi="Arial"/>
          <w:sz w:val="15"/>
          <w:szCs w:val="15"/>
          <w:color w:val="auto"/>
        </w:rPr>
        <w:t>th</w:t>
      </w:r>
      <w:r>
        <w:rPr>
          <w:rFonts w:ascii="Arial" w:cs="Arial" w:eastAsia="Arial" w:hAnsi="Arial"/>
          <w:sz w:val="18"/>
          <w:szCs w:val="18"/>
          <w:color w:val="auto"/>
        </w:rPr>
        <w:t xml:space="preserve"> to 60</w:t>
      </w:r>
      <w:r>
        <w:rPr>
          <w:rFonts w:ascii="Arial" w:cs="Arial" w:eastAsia="Arial" w:hAnsi="Arial"/>
          <w:sz w:val="15"/>
          <w:szCs w:val="15"/>
          <w:color w:val="auto"/>
        </w:rPr>
        <w:t>th</w:t>
      </w:r>
      <w:r>
        <w:rPr>
          <w:rFonts w:ascii="Arial" w:cs="Arial" w:eastAsia="Arial" w:hAnsi="Arial"/>
          <w:sz w:val="18"/>
          <w:szCs w:val="18"/>
          <w:color w:val="auto"/>
        </w:rPr>
        <w:t xml:space="preserve"> percentile of the three-year average of equity compensation (including an estimate of amounts for 2016) granted by the Comparator Group.</w:t>
      </w:r>
    </w:p>
    <w:p>
      <w:pPr>
        <w:spacing w:after="0" w:line="20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2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motivating the executive and aligning his interests with those of shareholders.</w:t>
      </w:r>
    </w:p>
    <w:p>
      <w:pPr>
        <w:spacing w:after="0" w:line="20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23</w:t>
            </w: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exercise price of the options was the closing price of TI stock on January 29, 2016, the second trading day after the company released its annual and fourth-quarter financial results for 2015. All grants were made under the Texas Instruments 2009 Long-Term Incentive Plan, which shareholders approved in April 2009.</w:t>
      </w:r>
    </w:p>
    <w:p>
      <w:pPr>
        <w:spacing w:after="0" w:line="20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All grants have the terms described under “Outstanding equity awards at fiscal year-end 2016.”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1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January 2017, the committee set the 2016 bonus compensation for executive officers based on its assessment of 2016 performance. In setting the bonuses, the committee used the following performance measures to assess the company:</w:t>
      </w:r>
    </w:p>
    <w:p>
      <w:pPr>
        <w:spacing w:after="0" w:line="220" w:lineRule="exact"/>
        <w:rPr>
          <w:sz w:val="20"/>
          <w:szCs w:val="20"/>
          <w:color w:val="auto"/>
        </w:rPr>
      </w:pPr>
    </w:p>
    <w:p>
      <w:pPr>
        <w:ind w:left="780" w:hanging="55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ind w:left="1000" w:hanging="317"/>
        <w:spacing w:after="0" w:line="234" w:lineRule="auto"/>
        <w:tabs>
          <w:tab w:leader="none" w:pos="1000" w:val="left"/>
        </w:tabs>
        <w:numPr>
          <w:ilvl w:val="1"/>
          <w:numId w:val="43"/>
        </w:numPr>
        <w:rPr>
          <w:rFonts w:ascii="Arial" w:cs="Arial" w:eastAsia="Arial" w:hAnsi="Arial"/>
          <w:sz w:val="15"/>
          <w:szCs w:val="15"/>
          <w:color w:val="auto"/>
        </w:rPr>
      </w:pPr>
      <w:r>
        <w:rPr>
          <w:rFonts w:ascii="Arial" w:cs="Arial" w:eastAsia="Arial" w:hAnsi="Arial"/>
          <w:sz w:val="18"/>
          <w:szCs w:val="18"/>
          <w:color w:val="auto"/>
        </w:rPr>
        <w:t>revenue growth,</w:t>
      </w:r>
    </w:p>
    <w:p>
      <w:pPr>
        <w:ind w:left="1000" w:hanging="317"/>
        <w:spacing w:after="0" w:line="234" w:lineRule="auto"/>
        <w:tabs>
          <w:tab w:leader="none" w:pos="1000" w:val="left"/>
        </w:tabs>
        <w:numPr>
          <w:ilvl w:val="1"/>
          <w:numId w:val="43"/>
        </w:numPr>
        <w:rPr>
          <w:rFonts w:ascii="Arial" w:cs="Arial" w:eastAsia="Arial" w:hAnsi="Arial"/>
          <w:sz w:val="15"/>
          <w:szCs w:val="15"/>
          <w:color w:val="auto"/>
        </w:rPr>
      </w:pPr>
      <w:r>
        <w:rPr>
          <w:rFonts w:ascii="Arial" w:cs="Arial" w:eastAsia="Arial" w:hAnsi="Arial"/>
          <w:sz w:val="18"/>
          <w:szCs w:val="18"/>
          <w:color w:val="auto"/>
        </w:rPr>
        <w:t>operating profit as a percentage of revenue,</w:t>
      </w:r>
    </w:p>
    <w:p>
      <w:pPr>
        <w:ind w:left="1000" w:hanging="317"/>
        <w:spacing w:after="0" w:line="234" w:lineRule="auto"/>
        <w:tabs>
          <w:tab w:leader="none" w:pos="1000" w:val="left"/>
        </w:tabs>
        <w:numPr>
          <w:ilvl w:val="1"/>
          <w:numId w:val="43"/>
        </w:numPr>
        <w:rPr>
          <w:rFonts w:ascii="Arial" w:cs="Arial" w:eastAsia="Arial" w:hAnsi="Arial"/>
          <w:sz w:val="15"/>
          <w:szCs w:val="15"/>
          <w:color w:val="auto"/>
        </w:rPr>
      </w:pPr>
      <w:r>
        <w:rPr>
          <w:rFonts w:ascii="Arial" w:cs="Arial" w:eastAsia="Arial" w:hAnsi="Arial"/>
          <w:sz w:val="18"/>
          <w:szCs w:val="18"/>
          <w:color w:val="auto"/>
        </w:rPr>
        <w:t>total shareholder return, and</w:t>
      </w:r>
    </w:p>
    <w:p>
      <w:pPr>
        <w:ind w:left="780" w:hanging="55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21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addition, the committee considered our strategic progress by reviewing how competitive we are in key markets with our core products and technologies, as well as the strength of our relationships with customers.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One-year relative performance on the three measures and one-year strategic progress were the primary considerations in the committee’s assessment of the company’s 2016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ectPr>
          <w:pgSz w:w="11900" w:h="16838" w:orient="portrait"/>
          <w:cols w:equalWidth="0" w:num="1">
            <w:col w:w="11280"/>
          </w:cols>
          <w:pgMar w:left="240" w:top="459" w:right="379" w:bottom="1440" w:gutter="0" w:footer="0" w:header="0"/>
        </w:sect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Advanced Micro Devices, Inc.</w:t>
      </w:r>
    </w:p>
    <w:p>
      <w:pPr>
        <w:ind w:left="360"/>
        <w:spacing w:after="0" w:line="234" w:lineRule="auto"/>
        <w:rPr>
          <w:sz w:val="20"/>
          <w:szCs w:val="20"/>
          <w:color w:val="auto"/>
        </w:rPr>
      </w:pPr>
      <w:r>
        <w:rPr>
          <w:rFonts w:ascii="Arial" w:cs="Arial" w:eastAsia="Arial" w:hAnsi="Arial"/>
          <w:sz w:val="18"/>
          <w:szCs w:val="18"/>
          <w:color w:val="auto"/>
        </w:rPr>
        <w:t>Analog Devices, Inc.</w:t>
      </w:r>
    </w:p>
    <w:p>
      <w:pPr>
        <w:ind w:left="360"/>
        <w:spacing w:after="0" w:line="235" w:lineRule="auto"/>
        <w:rPr>
          <w:sz w:val="20"/>
          <w:szCs w:val="20"/>
          <w:color w:val="auto"/>
        </w:rPr>
      </w:pPr>
      <w:r>
        <w:rPr>
          <w:rFonts w:ascii="Arial" w:cs="Arial" w:eastAsia="Arial" w:hAnsi="Arial"/>
          <w:sz w:val="18"/>
          <w:szCs w:val="18"/>
          <w:color w:val="auto"/>
        </w:rPr>
        <w:t>Broadcom Limited</w:t>
      </w:r>
    </w:p>
    <w:p>
      <w:pPr>
        <w:ind w:left="360"/>
        <w:spacing w:after="0" w:line="235" w:lineRule="auto"/>
        <w:rPr>
          <w:sz w:val="20"/>
          <w:szCs w:val="20"/>
          <w:color w:val="auto"/>
        </w:rPr>
      </w:pPr>
      <w:r>
        <w:rPr>
          <w:rFonts w:ascii="Arial" w:cs="Arial" w:eastAsia="Arial" w:hAnsi="Arial"/>
          <w:sz w:val="18"/>
          <w:szCs w:val="18"/>
          <w:color w:val="auto"/>
        </w:rPr>
        <w:t>Infineon Technologies AG</w:t>
      </w:r>
    </w:p>
    <w:p>
      <w:pPr>
        <w:ind w:left="360"/>
        <w:spacing w:after="0" w:line="235" w:lineRule="auto"/>
        <w:rPr>
          <w:sz w:val="20"/>
          <w:szCs w:val="20"/>
          <w:color w:val="auto"/>
        </w:rPr>
      </w:pPr>
      <w:r>
        <w:rPr>
          <w:rFonts w:ascii="Arial" w:cs="Arial" w:eastAsia="Arial" w:hAnsi="Arial"/>
          <w:sz w:val="18"/>
          <w:szCs w:val="18"/>
          <w:color w:val="auto"/>
        </w:rPr>
        <w:t>Intel Corporation</w:t>
      </w:r>
    </w:p>
    <w:p>
      <w:pPr>
        <w:ind w:left="360"/>
        <w:spacing w:after="0" w:line="235" w:lineRule="auto"/>
        <w:rPr>
          <w:sz w:val="20"/>
          <w:szCs w:val="20"/>
          <w:color w:val="auto"/>
        </w:rPr>
      </w:pPr>
      <w:r>
        <w:rPr>
          <w:rFonts w:ascii="Arial" w:cs="Arial" w:eastAsia="Arial" w:hAnsi="Arial"/>
          <w:sz w:val="18"/>
          <w:szCs w:val="18"/>
          <w:color w:val="auto"/>
        </w:rPr>
        <w:t>Intersil Corporation</w:t>
      </w:r>
    </w:p>
    <w:p>
      <w:pPr>
        <w:ind w:left="360"/>
        <w:spacing w:after="0" w:line="235" w:lineRule="auto"/>
        <w:rPr>
          <w:sz w:val="20"/>
          <w:szCs w:val="20"/>
          <w:color w:val="auto"/>
        </w:rPr>
      </w:pPr>
      <w:r>
        <w:rPr>
          <w:rFonts w:ascii="Arial" w:cs="Arial" w:eastAsia="Arial" w:hAnsi="Arial"/>
          <w:sz w:val="18"/>
          <w:szCs w:val="18"/>
          <w:color w:val="auto"/>
        </w:rPr>
        <w:t>Linear Technology Corporation</w:t>
      </w:r>
    </w:p>
    <w:p>
      <w:pPr>
        <w:ind w:left="360"/>
        <w:spacing w:after="0" w:line="235" w:lineRule="auto"/>
        <w:rPr>
          <w:sz w:val="20"/>
          <w:szCs w:val="20"/>
          <w:color w:val="auto"/>
        </w:rPr>
      </w:pPr>
      <w:r>
        <w:rPr>
          <w:rFonts w:ascii="Arial" w:cs="Arial" w:eastAsia="Arial" w:hAnsi="Arial"/>
          <w:sz w:val="18"/>
          <w:szCs w:val="18"/>
          <w:color w:val="auto"/>
        </w:rPr>
        <w:t>Marvell Technology Group Ltd.</w:t>
      </w:r>
    </w:p>
    <w:p>
      <w:pPr>
        <w:ind w:left="360"/>
        <w:spacing w:after="0"/>
        <w:rPr>
          <w:sz w:val="20"/>
          <w:szCs w:val="20"/>
          <w:color w:val="auto"/>
        </w:rPr>
      </w:pPr>
      <w:r>
        <w:rPr>
          <w:rFonts w:ascii="Arial" w:cs="Arial" w:eastAsia="Arial" w:hAnsi="Arial"/>
          <w:sz w:val="17"/>
          <w:szCs w:val="17"/>
          <w:color w:val="auto"/>
        </w:rPr>
        <w:t>Maxim Integrated Products, Inc.</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Microchip Technology Incorporated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234" w:lineRule="auto"/>
        <w:rPr>
          <w:sz w:val="20"/>
          <w:szCs w:val="20"/>
          <w:color w:val="auto"/>
        </w:rPr>
      </w:pPr>
      <w:r>
        <w:rPr>
          <w:rFonts w:ascii="Arial" w:cs="Arial" w:eastAsia="Arial" w:hAnsi="Arial"/>
          <w:sz w:val="18"/>
          <w:szCs w:val="18"/>
          <w:color w:val="auto"/>
        </w:rPr>
        <w:t>NXP Semiconductors N.V.</w:t>
      </w:r>
    </w:p>
    <w:p>
      <w:pPr>
        <w:spacing w:after="0" w:line="235" w:lineRule="auto"/>
        <w:rPr>
          <w:sz w:val="20"/>
          <w:szCs w:val="20"/>
          <w:color w:val="auto"/>
        </w:rPr>
      </w:pPr>
      <w:r>
        <w:rPr>
          <w:rFonts w:ascii="Arial" w:cs="Arial" w:eastAsia="Arial" w:hAnsi="Arial"/>
          <w:sz w:val="18"/>
          <w:szCs w:val="18"/>
          <w:color w:val="auto"/>
        </w:rPr>
        <w:t>ON Semiconductor Corporation</w:t>
      </w:r>
    </w:p>
    <w:p>
      <w:pPr>
        <w:spacing w:after="0" w:line="235" w:lineRule="auto"/>
        <w:rPr>
          <w:sz w:val="20"/>
          <w:szCs w:val="20"/>
          <w:color w:val="auto"/>
        </w:rPr>
      </w:pPr>
      <w:r>
        <w:rPr>
          <w:rFonts w:ascii="Arial" w:cs="Arial" w:eastAsia="Arial" w:hAnsi="Arial"/>
          <w:sz w:val="18"/>
          <w:szCs w:val="18"/>
          <w:color w:val="auto"/>
        </w:rPr>
        <w:t>QUALCOMM Incorporated</w:t>
      </w:r>
    </w:p>
    <w:p>
      <w:pPr>
        <w:spacing w:after="0" w:line="235" w:lineRule="auto"/>
        <w:rPr>
          <w:sz w:val="20"/>
          <w:szCs w:val="20"/>
          <w:color w:val="auto"/>
        </w:rPr>
      </w:pPr>
      <w:r>
        <w:rPr>
          <w:rFonts w:ascii="Arial" w:cs="Arial" w:eastAsia="Arial" w:hAnsi="Arial"/>
          <w:sz w:val="18"/>
          <w:szCs w:val="18"/>
          <w:color w:val="auto"/>
        </w:rPr>
        <w:t>Skyworks Solutions, Inc.</w:t>
      </w:r>
    </w:p>
    <w:p>
      <w:pPr>
        <w:spacing w:after="0" w:line="235" w:lineRule="auto"/>
        <w:rPr>
          <w:sz w:val="20"/>
          <w:szCs w:val="20"/>
          <w:color w:val="auto"/>
        </w:rPr>
      </w:pPr>
      <w:r>
        <w:rPr>
          <w:rFonts w:ascii="Arial" w:cs="Arial" w:eastAsia="Arial" w:hAnsi="Arial"/>
          <w:sz w:val="18"/>
          <w:szCs w:val="18"/>
          <w:color w:val="auto"/>
        </w:rPr>
        <w:t>STMicroelectronics N.V.</w:t>
      </w:r>
    </w:p>
    <w:p>
      <w:pPr>
        <w:spacing w:after="0"/>
        <w:rPr>
          <w:sz w:val="20"/>
          <w:szCs w:val="20"/>
          <w:color w:val="auto"/>
        </w:rPr>
      </w:pPr>
      <w:r>
        <w:rPr>
          <w:rFonts w:ascii="Arial" w:cs="Arial" w:eastAsia="Arial" w:hAnsi="Arial"/>
          <w:sz w:val="18"/>
          <w:szCs w:val="18"/>
          <w:color w:val="auto"/>
        </w:rPr>
        <w:t>Xilinx, Inc.</w:t>
      </w:r>
    </w:p>
    <w:p>
      <w:pPr>
        <w:spacing w:after="0" w:line="391" w:lineRule="exact"/>
        <w:rPr>
          <w:sz w:val="20"/>
          <w:szCs w:val="20"/>
          <w:color w:val="auto"/>
        </w:rPr>
      </w:pPr>
    </w:p>
    <w:p>
      <w:pPr>
        <w:sectPr>
          <w:pgSz w:w="11900" w:h="16838" w:orient="portrait"/>
          <w:cols w:equalWidth="0" w:num="2">
            <w:col w:w="3520" w:space="720"/>
            <w:col w:w="7040"/>
          </w:cols>
          <w:pgMar w:left="240" w:top="459" w:right="379" w:bottom="1440" w:gutter="0" w:footer="0" w:header="0"/>
          <w:type w:val="continuous"/>
        </w:sectPr>
      </w:pPr>
    </w:p>
    <w:p>
      <w:pPr>
        <w:spacing w:after="0" w:line="1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2016, three companies were removed from the list after being acquired by other companies. Also, in July 2016, the committee added Skyworks Solutions, Inc. to increase the overall comparability of the group to TI. The committee made no other changes to the list of competitor companies in 2016.</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u w:val="single" w:color="auto"/>
          <w:color w:val="auto"/>
        </w:rPr>
        <w:t>Assessment of 2016 performance</w:t>
      </w:r>
    </w:p>
    <w:p>
      <w:pPr>
        <w:spacing w:after="0" w:line="230" w:lineRule="exact"/>
        <w:rPr>
          <w:sz w:val="20"/>
          <w:szCs w:val="20"/>
          <w:color w:val="auto"/>
        </w:rPr>
      </w:pPr>
    </w:p>
    <w:p>
      <w:pPr>
        <w:ind w:left="360" w:right="280"/>
        <w:spacing w:after="0" w:line="236" w:lineRule="auto"/>
        <w:rPr>
          <w:sz w:val="20"/>
          <w:szCs w:val="20"/>
          <w:color w:val="auto"/>
        </w:rPr>
      </w:pPr>
      <w:r>
        <w:rPr>
          <w:rFonts w:ascii="Arial" w:cs="Arial" w:eastAsia="Arial" w:hAnsi="Arial"/>
          <w:sz w:val="18"/>
          <w:szCs w:val="18"/>
          <w:color w:val="auto"/>
        </w:rPr>
        <w:t>The committee spent extensive time in December and January assessing TI’s results and strategic progress for 2016. In setting bonuses, the committee considered quantitative and qualitative measures on both an absolute and relative basis and made certain that resulting decisions were founded on both solid data and sound judgment. On an absolute basis all measures were positive and improved from the prior year, and in relative comparisons with competitors most measures were as good as or better than the median. In aggregate, the committee determined that performance in 2016 was strong and on par with the prior year, which also was strong. Therefore, the committee held bonuses for 2016 performance to the same levels they were in 2015 for named executive officers, except for one individual whose bonus increased to reflect the growth of his role and the increased impact he had on the performance of the company. Details on the committee’s assessment are below.</w:t>
      </w:r>
    </w:p>
    <w:p>
      <w:pPr>
        <w:spacing w:after="0" w:line="136"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280"/>
          </w:cols>
          <w:pgMar w:left="240" w:top="459" w:right="3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and margin</w:t>
      </w:r>
    </w:p>
    <w:p>
      <w:pPr>
        <w:spacing w:after="0" w:line="117" w:lineRule="exact"/>
        <w:rPr>
          <w:sz w:val="20"/>
          <w:szCs w:val="20"/>
          <w:color w:val="auto"/>
        </w:rPr>
      </w:pPr>
    </w:p>
    <w:p>
      <w:pPr>
        <w:ind w:left="1000" w:hanging="317"/>
        <w:spacing w:after="0"/>
        <w:tabs>
          <w:tab w:leader="none" w:pos="10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Annual performance</w:t>
      </w:r>
    </w:p>
    <w:p>
      <w:pPr>
        <w:spacing w:after="0" w:line="13" w:lineRule="exact"/>
        <w:rPr>
          <w:rFonts w:ascii="Arial" w:cs="Arial" w:eastAsia="Arial" w:hAnsi="Arial"/>
          <w:sz w:val="18"/>
          <w:szCs w:val="18"/>
          <w:i w:val="1"/>
          <w:iCs w:val="1"/>
          <w:color w:val="auto"/>
        </w:rPr>
      </w:pPr>
    </w:p>
    <w:p>
      <w:pPr>
        <w:ind w:left="1580" w:right="380" w:hanging="546"/>
        <w:spacing w:after="0" w:line="234" w:lineRule="auto"/>
        <w:tabs>
          <w:tab w:leader="none" w:pos="15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TI’s revenue growth rate of 2.8 percent was higher in 2016 than in the prior year. Compared with competitor companies, TI’s growth rate was below the median. (It is important to note that the median growth rate of competitor companies includes the effect of acquisitions, whereas TI’s growth rate is entirely organic. If the effect of acquisitions were excluded from competitor companies, we estimate TI’s growth rate would be at or above the median growth rate.)</w:t>
      </w:r>
    </w:p>
    <w:p>
      <w:pPr>
        <w:spacing w:after="0" w:line="3" w:lineRule="exact"/>
        <w:rPr>
          <w:rFonts w:ascii="Arial" w:cs="Arial" w:eastAsia="Arial" w:hAnsi="Arial"/>
          <w:sz w:val="15"/>
          <w:szCs w:val="15"/>
          <w:color w:val="auto"/>
        </w:rPr>
      </w:pPr>
    </w:p>
    <w:p>
      <w:pPr>
        <w:ind w:left="1580" w:right="1180" w:hanging="546"/>
        <w:spacing w:after="0" w:line="234" w:lineRule="auto"/>
        <w:tabs>
          <w:tab w:leader="none" w:pos="15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Revenues for the company’s core businesses of Analog and Embedded Processing were up 2.4 percent and 8.5 percent, respectively.</w:t>
      </w:r>
    </w:p>
    <w:p>
      <w:pPr>
        <w:spacing w:after="0" w:line="1" w:lineRule="exact"/>
        <w:rPr>
          <w:rFonts w:ascii="Arial" w:cs="Arial" w:eastAsia="Arial" w:hAnsi="Arial"/>
          <w:sz w:val="15"/>
          <w:szCs w:val="15"/>
          <w:color w:val="auto"/>
        </w:rPr>
      </w:pPr>
    </w:p>
    <w:p>
      <w:pPr>
        <w:ind w:left="1580" w:right="580" w:hanging="546"/>
        <w:spacing w:after="0" w:line="246" w:lineRule="auto"/>
        <w:tabs>
          <w:tab w:leader="none" w:pos="15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Operating profit margin was 35.9 percent, which was above both the prior year’s margin and the median comparison with competitors.</w:t>
      </w:r>
    </w:p>
    <w:p>
      <w:pPr>
        <w:spacing w:after="0" w:line="205" w:lineRule="exact"/>
        <w:rPr>
          <w:rFonts w:ascii="Arial" w:cs="Arial" w:eastAsia="Arial" w:hAnsi="Arial"/>
          <w:sz w:val="15"/>
          <w:szCs w:val="15"/>
          <w:color w:val="auto"/>
        </w:rPr>
      </w:pPr>
    </w:p>
    <w:p>
      <w:pPr>
        <w:ind w:left="1000" w:hanging="317"/>
        <w:spacing w:after="0"/>
        <w:tabs>
          <w:tab w:leader="none" w:pos="10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Three-year performance</w:t>
      </w:r>
    </w:p>
    <w:p>
      <w:pPr>
        <w:spacing w:after="0" w:line="13" w:lineRule="exact"/>
        <w:rPr>
          <w:rFonts w:ascii="Arial" w:cs="Arial" w:eastAsia="Arial" w:hAnsi="Arial"/>
          <w:sz w:val="18"/>
          <w:szCs w:val="18"/>
          <w:i w:val="1"/>
          <w:iCs w:val="1"/>
          <w:color w:val="auto"/>
        </w:rPr>
      </w:pPr>
    </w:p>
    <w:p>
      <w:pPr>
        <w:ind w:left="1580" w:right="1300" w:hanging="546"/>
        <w:spacing w:after="0" w:line="234" w:lineRule="auto"/>
        <w:tabs>
          <w:tab w:leader="none" w:pos="15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Compound annual revenue growth for 2014-2016 was 3.1 percent, which was below the median competitor comparison.</w:t>
      </w:r>
    </w:p>
    <w:p>
      <w:pPr>
        <w:spacing w:after="0" w:line="1" w:lineRule="exact"/>
        <w:rPr>
          <w:rFonts w:ascii="Arial" w:cs="Arial" w:eastAsia="Arial" w:hAnsi="Arial"/>
          <w:sz w:val="15"/>
          <w:szCs w:val="15"/>
          <w:color w:val="auto"/>
        </w:rPr>
      </w:pPr>
    </w:p>
    <w:p>
      <w:pPr>
        <w:ind w:left="1580" w:hanging="546"/>
        <w:spacing w:after="0"/>
        <w:tabs>
          <w:tab w:leader="none" w:pos="15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Average operating profit for 2014-2016 was 33.0 percent, which was above the median competitor comparison.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Total shareholder return (TSR)</w:t>
      </w:r>
    </w:p>
    <w:p>
      <w:pPr>
        <w:spacing w:after="0" w:line="131" w:lineRule="exact"/>
        <w:rPr>
          <w:sz w:val="20"/>
          <w:szCs w:val="20"/>
          <w:color w:val="auto"/>
        </w:rPr>
      </w:pPr>
    </w:p>
    <w:p>
      <w:pPr>
        <w:ind w:left="100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TSR was 36.7 percent, better than the median TSR as compared with competitor companies.</w:t>
      </w:r>
    </w:p>
    <w:p>
      <w:pPr>
        <w:ind w:left="1000" w:right="480" w:hanging="317"/>
        <w:spacing w:after="0" w:line="23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30.5 percent of revenue.</w:t>
      </w:r>
      <w:r>
        <w:rPr>
          <w:rFonts w:ascii="Arial" w:cs="Arial" w:eastAsia="Arial" w:hAnsi="Arial"/>
          <w:sz w:val="15"/>
          <w:szCs w:val="15"/>
          <w:color w:val="auto"/>
        </w:rPr>
        <w:t>2</w:t>
      </w:r>
      <w:r>
        <w:rPr>
          <w:rFonts w:ascii="Arial" w:cs="Arial" w:eastAsia="Arial" w:hAnsi="Arial"/>
          <w:sz w:val="18"/>
          <w:szCs w:val="18"/>
          <w:color w:val="auto"/>
        </w:rPr>
        <w:t xml:space="preserve"> Approximately 93 percent of free cash flow was returned to shareholders in 2016 through share repurchases and dividends. Share repurchases of $2.1 billion reduced outstanding shares by 1.5 percent (net of stock issuances during the year). The quarterly dividend rate increased</w:t>
      </w:r>
    </w:p>
    <w:p>
      <w:pPr>
        <w:spacing w:after="0" w:line="2" w:lineRule="exact"/>
        <w:rPr>
          <w:rFonts w:ascii="Arial" w:cs="Arial" w:eastAsia="Arial" w:hAnsi="Arial"/>
          <w:sz w:val="18"/>
          <w:szCs w:val="18"/>
          <w:color w:val="auto"/>
        </w:rPr>
      </w:pPr>
    </w:p>
    <w:p>
      <w:pPr>
        <w:ind w:left="1000" w:right="380"/>
        <w:spacing w:after="0" w:line="234" w:lineRule="auto"/>
        <w:rPr>
          <w:rFonts w:ascii="Arial" w:cs="Arial" w:eastAsia="Arial" w:hAnsi="Arial"/>
          <w:sz w:val="18"/>
          <w:szCs w:val="18"/>
          <w:color w:val="auto"/>
        </w:rPr>
      </w:pPr>
      <w:r>
        <w:rPr>
          <w:rFonts w:ascii="Arial" w:cs="Arial" w:eastAsia="Arial" w:hAnsi="Arial"/>
          <w:sz w:val="18"/>
          <w:szCs w:val="18"/>
          <w:color w:val="auto"/>
        </w:rPr>
        <w:t>31.6 percent (the 15</w:t>
      </w:r>
      <w:r>
        <w:rPr>
          <w:rFonts w:ascii="Arial" w:cs="Arial" w:eastAsia="Arial" w:hAnsi="Arial"/>
          <w:sz w:val="15"/>
          <w:szCs w:val="15"/>
          <w:color w:val="auto"/>
        </w:rPr>
        <w:t>th</w:t>
      </w:r>
      <w:r>
        <w:rPr>
          <w:rFonts w:ascii="Arial" w:cs="Arial" w:eastAsia="Arial" w:hAnsi="Arial"/>
          <w:sz w:val="18"/>
          <w:szCs w:val="18"/>
          <w:color w:val="auto"/>
        </w:rPr>
        <w:t xml:space="preserve"> increase in the last 13 years). Share repurchases and dividend increases are important elements of TI’s capital management strategy.</w:t>
      </w:r>
    </w:p>
    <w:p>
      <w:pPr>
        <w:spacing w:after="0" w:line="1" w:lineRule="exact"/>
        <w:rPr>
          <w:rFonts w:ascii="Arial" w:cs="Arial" w:eastAsia="Arial" w:hAnsi="Arial"/>
          <w:sz w:val="18"/>
          <w:szCs w:val="18"/>
          <w:color w:val="auto"/>
        </w:rPr>
      </w:pPr>
    </w:p>
    <w:p>
      <w:pPr>
        <w:ind w:left="1000" w:hanging="317"/>
        <w:spacing w:after="0" w:line="23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$3.5 billion.</w:t>
      </w:r>
    </w:p>
    <w:p>
      <w:pPr>
        <w:ind w:left="100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21.6 percent, which was above the median competitor comparison.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Strategic progress</w:t>
      </w:r>
    </w:p>
    <w:p>
      <w:pPr>
        <w:spacing w:after="0" w:line="135" w:lineRule="exact"/>
        <w:rPr>
          <w:sz w:val="20"/>
          <w:szCs w:val="20"/>
          <w:color w:val="auto"/>
        </w:rPr>
      </w:pPr>
    </w:p>
    <w:p>
      <w:pPr>
        <w:ind w:left="1000" w:right="480" w:hanging="317"/>
        <w:spacing w:after="0" w:line="23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strategic focus on Analog and Embedded Processing semiconductors continues to provide the foundation for strong results in the near and long terms. The products in TI’s portfolio number in the tens of thousands and offer strong differentiation and longevity, with more products added each year. In 2016, 86 percent of TI’s revenue came from Analog and Embedded Processing semiconductors.</w:t>
      </w:r>
    </w:p>
    <w:p>
      <w:pPr>
        <w:spacing w:after="0" w:line="3" w:lineRule="exact"/>
        <w:rPr>
          <w:rFonts w:ascii="Arial" w:cs="Arial" w:eastAsia="Arial" w:hAnsi="Arial"/>
          <w:sz w:val="18"/>
          <w:szCs w:val="18"/>
          <w:color w:val="auto"/>
        </w:rPr>
      </w:pPr>
    </w:p>
    <w:p>
      <w:pPr>
        <w:ind w:left="1000" w:right="480" w:hanging="317"/>
        <w:spacing w:after="0" w:line="23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ind w:left="1000" w:right="640" w:hanging="317"/>
        <w:spacing w:after="0" w:line="23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TI’s in-house capability to produce high volumes of Analog semiconductors on 300-millimeter wafers remains a competitive advantage. In 2016, the company again increased production on 300-millimeter wafers, which enabled more chips to be produced per wafer, thereby improving margins and cash generation.</w:t>
      </w:r>
    </w:p>
    <w:p>
      <w:pPr>
        <w:spacing w:after="0" w:line="2" w:lineRule="exact"/>
        <w:rPr>
          <w:rFonts w:ascii="Arial" w:cs="Arial" w:eastAsia="Arial" w:hAnsi="Arial"/>
          <w:sz w:val="18"/>
          <w:szCs w:val="18"/>
          <w:color w:val="auto"/>
        </w:rPr>
      </w:pPr>
    </w:p>
    <w:p>
      <w:pPr>
        <w:ind w:left="1000" w:right="700" w:hanging="317"/>
        <w:spacing w:after="0" w:line="246"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5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1-Year</w:t>
            </w:r>
          </w:p>
        </w:tc>
        <w:tc>
          <w:tcPr>
            <w:tcW w:w="15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3-Year</w:t>
            </w: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 growth: total TI</w:t>
            </w:r>
          </w:p>
        </w:tc>
        <w:tc>
          <w:tcPr>
            <w:tcW w:w="250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CAGR</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25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35.9%</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 average</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as % of revenue</w:t>
            </w:r>
          </w:p>
        </w:tc>
        <w:tc>
          <w:tcPr>
            <w:tcW w:w="25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30.5%</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 average</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 of free cash flow returned to shareholders</w:t>
            </w:r>
          </w:p>
        </w:tc>
        <w:tc>
          <w:tcPr>
            <w:tcW w:w="25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92.5%</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104.9% average</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quarterly dividend rate</w:t>
            </w:r>
          </w:p>
        </w:tc>
        <w:tc>
          <w:tcPr>
            <w:tcW w:w="25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31.6%</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w:t>
            </w:r>
          </w:p>
        </w:tc>
        <w:tc>
          <w:tcPr>
            <w:tcW w:w="700" w:type="dxa"/>
            <w:vAlign w:val="bottom"/>
            <w:shd w:val="clear" w:color="auto" w:fill="CCEEFF"/>
          </w:tcPr>
          <w:p>
            <w:pPr>
              <w:spacing w:after="0"/>
              <w:rPr>
                <w:sz w:val="17"/>
                <w:szCs w:val="17"/>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Total shareholder return (TSR)</w:t>
            </w:r>
          </w:p>
        </w:tc>
        <w:tc>
          <w:tcPr>
            <w:tcW w:w="2500" w:type="dxa"/>
            <w:vAlign w:val="bottom"/>
          </w:tcPr>
          <w:p>
            <w:pPr>
              <w:jc w:val="right"/>
              <w:ind w:right="113"/>
              <w:spacing w:after="0"/>
              <w:rPr>
                <w:sz w:val="20"/>
                <w:szCs w:val="20"/>
                <w:color w:val="auto"/>
              </w:rPr>
            </w:pPr>
            <w:r>
              <w:rPr>
                <w:rFonts w:ascii="Arial" w:cs="Arial" w:eastAsia="Arial" w:hAnsi="Arial"/>
                <w:sz w:val="18"/>
                <w:szCs w:val="18"/>
                <w:color w:val="auto"/>
              </w:rPr>
              <w:t>36.7%</w:t>
            </w: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9"/>
              </w:rPr>
              <w:t>CAGR</w:t>
            </w:r>
          </w:p>
        </w:tc>
      </w:tr>
    </w:tbl>
    <w:p>
      <w:pPr>
        <w:spacing w:after="0" w:line="198" w:lineRule="exact"/>
        <w:rPr>
          <w:sz w:val="20"/>
          <w:szCs w:val="20"/>
          <w:color w:val="auto"/>
        </w:rPr>
      </w:pPr>
    </w:p>
    <w:p>
      <w:pPr>
        <w:jc w:val="both"/>
        <w:ind w:left="1040" w:right="1040"/>
        <w:spacing w:after="0" w:line="249" w:lineRule="auto"/>
        <w:rPr>
          <w:sz w:val="20"/>
          <w:szCs w:val="20"/>
          <w:color w:val="auto"/>
        </w:rPr>
      </w:pPr>
      <w:r>
        <w:rPr>
          <w:rFonts w:ascii="Arial" w:cs="Arial" w:eastAsia="Arial" w:hAnsi="Arial"/>
          <w:sz w:val="18"/>
          <w:szCs w:val="18"/>
          <w:color w:val="auto"/>
        </w:rPr>
        <w:t>CAGR (compound annual growth rate) is calculated using the formula (Ending Value/Beginning Value)</w:t>
      </w:r>
      <w:r>
        <w:rPr>
          <w:rFonts w:ascii="Arial" w:cs="Arial" w:eastAsia="Arial" w:hAnsi="Arial"/>
          <w:sz w:val="15"/>
          <w:szCs w:val="15"/>
          <w:color w:val="auto"/>
        </w:rPr>
        <w:t>1/number of years</w:t>
      </w:r>
      <w:r>
        <w:rPr>
          <w:rFonts w:ascii="Arial" w:cs="Arial" w:eastAsia="Arial" w:hAnsi="Arial"/>
          <w:sz w:val="18"/>
          <w:szCs w:val="18"/>
          <w:color w:val="auto"/>
        </w:rPr>
        <w:t xml:space="preserve"> minus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7" w:lineRule="exact"/>
        <w:rPr>
          <w:sz w:val="20"/>
          <w:szCs w:val="20"/>
          <w:color w:val="auto"/>
        </w:rPr>
      </w:pPr>
    </w:p>
    <w:p>
      <w:pPr>
        <w:ind w:left="220" w:right="720" w:hanging="212"/>
        <w:spacing w:after="0" w:line="246" w:lineRule="auto"/>
        <w:tabs>
          <w:tab w:leader="none" w:pos="2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25</w:t>
            </w: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60" w:right="1060" w:hanging="1822"/>
        <w:spacing w:after="0" w:line="239" w:lineRule="auto"/>
        <w:tabs>
          <w:tab w:leader="none" w:pos="2840" w:val="left"/>
        </w:tabs>
        <w:rPr>
          <w:sz w:val="20"/>
          <w:szCs w:val="20"/>
          <w:color w:val="auto"/>
        </w:rPr>
      </w:pPr>
      <w:r>
        <w:rPr>
          <w:rFonts w:ascii="Arial" w:cs="Arial" w:eastAsia="Arial" w:hAnsi="Arial"/>
          <w:sz w:val="18"/>
          <w:szCs w:val="18"/>
          <w:color w:val="auto"/>
        </w:rPr>
        <w:t>One-year TSR % =</w:t>
      </w:r>
      <w:r>
        <w:rPr>
          <w:sz w:val="20"/>
          <w:szCs w:val="20"/>
          <w:color w:val="auto"/>
        </w:rPr>
        <w:tab/>
      </w:r>
      <w:r>
        <w:rPr>
          <w:rFonts w:ascii="Arial" w:cs="Arial" w:eastAsia="Arial" w:hAnsi="Arial"/>
          <w:sz w:val="18"/>
          <w:szCs w:val="18"/>
          <w:color w:val="auto"/>
        </w:rPr>
        <w:t>(adjusted closing price of the company’s stock at year-end 2016, divided by 2015 year-end adjusted closing price) minus 1. The adjusted closing price is as shown under Historical Prices for the company’s stock on Yahoo Finance and reflects stock splits and reinvestment of dividends.</w:t>
      </w:r>
    </w:p>
    <w:p>
      <w:pPr>
        <w:spacing w:after="0" w:line="107" w:lineRule="exact"/>
        <w:rPr>
          <w:sz w:val="20"/>
          <w:szCs w:val="20"/>
          <w:color w:val="auto"/>
        </w:rPr>
      </w:pPr>
    </w:p>
    <w:p>
      <w:pPr>
        <w:ind w:left="3660" w:right="1220" w:hanging="2619"/>
        <w:spacing w:after="0"/>
        <w:tabs>
          <w:tab w:leader="none" w:pos="3640" w:val="left"/>
        </w:tabs>
        <w:rPr>
          <w:sz w:val="20"/>
          <w:szCs w:val="20"/>
          <w:color w:val="auto"/>
        </w:rPr>
      </w:pPr>
      <w:r>
        <w:rPr>
          <w:rFonts w:ascii="Arial" w:cs="Arial" w:eastAsia="Arial" w:hAnsi="Arial"/>
          <w:sz w:val="18"/>
          <w:szCs w:val="18"/>
          <w:color w:val="auto"/>
        </w:rPr>
        <w:t>Three-year TSR CAGR % =</w:t>
      </w:r>
      <w:r>
        <w:rPr>
          <w:sz w:val="20"/>
          <w:szCs w:val="20"/>
          <w:color w:val="auto"/>
        </w:rPr>
        <w:tab/>
      </w:r>
      <w:r>
        <w:rPr>
          <w:rFonts w:ascii="Arial" w:cs="Arial" w:eastAsia="Arial" w:hAnsi="Arial"/>
          <w:sz w:val="18"/>
          <w:szCs w:val="18"/>
          <w:color w:val="auto"/>
        </w:rPr>
        <w:t>(adjusted closing price of the company’s stock at year-end 2016, divided by 2013 year-end adjusted closing price)</w:t>
      </w:r>
      <w:r>
        <w:rPr>
          <w:rFonts w:ascii="Arial" w:cs="Arial" w:eastAsia="Arial" w:hAnsi="Arial"/>
          <w:sz w:val="15"/>
          <w:szCs w:val="15"/>
          <w:color w:val="auto"/>
        </w:rPr>
        <w:t>1/3</w:t>
      </w:r>
      <w:r>
        <w:rPr>
          <w:rFonts w:ascii="Arial" w:cs="Arial" w:eastAsia="Arial" w:hAnsi="Arial"/>
          <w:sz w:val="18"/>
          <w:szCs w:val="18"/>
          <w:color w:val="auto"/>
        </w:rPr>
        <w:t xml:space="preserve"> minus 1. Adjusted closing price is as described above.</w:t>
      </w:r>
    </w:p>
    <w:p>
      <w:pPr>
        <w:spacing w:after="0" w:line="203" w:lineRule="exact"/>
        <w:rPr>
          <w:sz w:val="20"/>
          <w:szCs w:val="20"/>
          <w:color w:val="auto"/>
        </w:rPr>
      </w:pPr>
    </w:p>
    <w:p>
      <w:pPr>
        <w:ind w:left="360" w:right="520"/>
        <w:spacing w:after="0" w:line="239"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March is the chief financial officer. The committee noted the financial management of the company.</w:t>
      </w:r>
    </w:p>
    <w:p>
      <w:pPr>
        <w:spacing w:after="0" w:line="212" w:lineRule="exact"/>
        <w:rPr>
          <w:sz w:val="20"/>
          <w:szCs w:val="20"/>
          <w:color w:val="auto"/>
        </w:rPr>
      </w:pPr>
    </w:p>
    <w:p>
      <w:pPr>
        <w:ind w:left="360" w:right="540"/>
        <w:spacing w:after="0" w:line="246" w:lineRule="auto"/>
        <w:rPr>
          <w:sz w:val="20"/>
          <w:szCs w:val="20"/>
          <w:color w:val="auto"/>
        </w:rPr>
      </w:pPr>
      <w:r>
        <w:rPr>
          <w:rFonts w:ascii="Arial" w:cs="Arial" w:eastAsia="Arial" w:hAnsi="Arial"/>
          <w:sz w:val="18"/>
          <w:szCs w:val="18"/>
          <w:color w:val="auto"/>
        </w:rPr>
        <w:t>Mr. Crutcher is responsible for all of the company’s product lines and sales activities. The committee noted the financial performance and strategic position of the product lines and activities for which he is responsible.</w:t>
      </w:r>
    </w:p>
    <w:p>
      <w:pPr>
        <w:spacing w:after="0" w:line="197" w:lineRule="exact"/>
        <w:rPr>
          <w:sz w:val="20"/>
          <w:szCs w:val="20"/>
          <w:color w:val="auto"/>
        </w:rPr>
      </w:pPr>
    </w:p>
    <w:p>
      <w:pPr>
        <w:ind w:left="360" w:right="640"/>
        <w:spacing w:after="0" w:line="246" w:lineRule="auto"/>
        <w:rPr>
          <w:sz w:val="20"/>
          <w:szCs w:val="20"/>
          <w:color w:val="auto"/>
        </w:rPr>
      </w:pPr>
      <w:r>
        <w:rPr>
          <w:rFonts w:ascii="Arial" w:cs="Arial" w:eastAsia="Arial" w:hAnsi="Arial"/>
          <w:sz w:val="18"/>
          <w:szCs w:val="18"/>
          <w:color w:val="auto"/>
        </w:rPr>
        <w:t>Mr. Anderson is responsible for the company’s analog semiconductor product lines. The committee noted the financial performance and strategic position of the product lines for which he is responsible.</w:t>
      </w:r>
    </w:p>
    <w:p>
      <w:pPr>
        <w:spacing w:after="0" w:line="197" w:lineRule="exact"/>
        <w:rPr>
          <w:sz w:val="20"/>
          <w:szCs w:val="20"/>
          <w:color w:val="auto"/>
        </w:rPr>
      </w:pPr>
    </w:p>
    <w:p>
      <w:pPr>
        <w:ind w:left="360" w:right="460"/>
        <w:spacing w:after="0" w:line="246" w:lineRule="auto"/>
        <w:rPr>
          <w:sz w:val="20"/>
          <w:szCs w:val="20"/>
          <w:color w:val="auto"/>
        </w:rPr>
      </w:pPr>
      <w:r>
        <w:rPr>
          <w:rFonts w:ascii="Arial" w:cs="Arial" w:eastAsia="Arial" w:hAnsi="Arial"/>
          <w:sz w:val="18"/>
          <w:szCs w:val="18"/>
          <w:color w:val="auto"/>
        </w:rPr>
        <w:t>Mr. Ritchie is responsible for the company’s semiconductor manufacturing operations. The committee noted the performance of those operations, including their cost-competitiveness and inventory management.</w:t>
      </w:r>
    </w:p>
    <w:p>
      <w:pPr>
        <w:spacing w:after="0" w:line="197" w:lineRule="exact"/>
        <w:rPr>
          <w:sz w:val="20"/>
          <w:szCs w:val="20"/>
          <w:color w:val="auto"/>
        </w:rPr>
      </w:pPr>
    </w:p>
    <w:p>
      <w:pPr>
        <w:ind w:left="360" w:right="380"/>
        <w:spacing w:after="0" w:line="238" w:lineRule="auto"/>
        <w:rPr>
          <w:sz w:val="20"/>
          <w:szCs w:val="20"/>
          <w:color w:val="auto"/>
        </w:rPr>
      </w:pPr>
      <w:r>
        <w:rPr>
          <w:rFonts w:ascii="Arial" w:cs="Arial" w:eastAsia="Arial" w:hAnsi="Arial"/>
          <w:sz w:val="18"/>
          <w:szCs w:val="18"/>
          <w:color w:val="auto"/>
        </w:rPr>
        <w:t>The bonuses awarded for 2016 performance are shown in the table below. The differences in the amounts awarded to the named executive officers were primarily the result of differences in the officers’ level of responsibility and the applicable market level of total cash compensation expected to be paid to similarly situated officers at companies within the Comparator Group. The bonus of each named executive officer was paid under the Executive Officer Performance Plan described under “Consideration of tax and accounting treatment of compensation” and footnote 3 to the 2016 summary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1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for 2016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Profit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(Grant Date</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940" w:type="dxa"/>
            <w:vAlign w:val="bottom"/>
          </w:tcPr>
          <w:p>
            <w:pPr>
              <w:ind w:left="38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(Annual Rate)</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Sharing</w:t>
            </w:r>
          </w:p>
        </w:tc>
        <w:tc>
          <w:tcPr>
            <w:tcW w:w="320" w:type="dxa"/>
            <w:vAlign w:val="bottom"/>
          </w:tcPr>
          <w:p>
            <w:pPr>
              <w:spacing w:after="0"/>
              <w:rPr>
                <w:sz w:val="15"/>
                <w:szCs w:val="15"/>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5"/>
                <w:szCs w:val="15"/>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940" w:type="dxa"/>
            <w:vAlign w:val="bottom"/>
            <w:tcBorders>
              <w:top w:val="single" w:sz="8" w:color="auto"/>
            </w:tcBorders>
            <w:shd w:val="clear" w:color="auto" w:fill="CCEEFF"/>
          </w:tcPr>
          <w:p>
            <w:pPr>
              <w:ind w:left="360"/>
              <w:spacing w:after="0" w:line="195" w:lineRule="exact"/>
              <w:rPr>
                <w:sz w:val="20"/>
                <w:szCs w:val="20"/>
                <w:color w:val="auto"/>
              </w:rPr>
            </w:pPr>
            <w:r>
              <w:rPr>
                <w:rFonts w:ascii="Arial" w:cs="Arial" w:eastAsia="Arial" w:hAnsi="Arial"/>
                <w:sz w:val="18"/>
                <w:szCs w:val="18"/>
                <w:color w:val="auto"/>
              </w:rPr>
              <w:t>2016</w:t>
            </w:r>
          </w:p>
        </w:tc>
        <w:tc>
          <w:tcPr>
            <w:tcW w:w="30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1,166,000</w:t>
            </w:r>
          </w:p>
        </w:tc>
        <w:tc>
          <w:tcPr>
            <w:tcW w:w="2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72"/>
              <w:spacing w:after="0" w:line="195" w:lineRule="exact"/>
              <w:rPr>
                <w:sz w:val="20"/>
                <w:szCs w:val="20"/>
                <w:color w:val="auto"/>
              </w:rPr>
            </w:pPr>
            <w:r>
              <w:rPr>
                <w:rFonts w:ascii="Arial" w:cs="Arial" w:eastAsia="Arial" w:hAnsi="Arial"/>
                <w:sz w:val="18"/>
                <w:szCs w:val="18"/>
                <w:color w:val="auto"/>
              </w:rPr>
              <w:t>232,817</w:t>
            </w:r>
          </w:p>
        </w:tc>
        <w:tc>
          <w:tcPr>
            <w:tcW w:w="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91"/>
              <w:spacing w:after="0" w:line="195" w:lineRule="exact"/>
              <w:rPr>
                <w:sz w:val="20"/>
                <w:szCs w:val="20"/>
                <w:color w:val="auto"/>
              </w:rPr>
            </w:pPr>
            <w:r>
              <w:rPr>
                <w:rFonts w:ascii="Arial" w:cs="Arial" w:eastAsia="Arial" w:hAnsi="Arial"/>
                <w:sz w:val="18"/>
                <w:szCs w:val="18"/>
                <w:color w:val="auto"/>
                <w:w w:val="99"/>
              </w:rPr>
              <w:t>3,450,000</w:t>
            </w:r>
          </w:p>
        </w:tc>
        <w:tc>
          <w:tcPr>
            <w:tcW w:w="28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93"/>
              <w:spacing w:after="0" w:line="195" w:lineRule="exact"/>
              <w:rPr>
                <w:sz w:val="20"/>
                <w:szCs w:val="20"/>
                <w:color w:val="auto"/>
              </w:rPr>
            </w:pPr>
            <w:r>
              <w:rPr>
                <w:rFonts w:ascii="Arial" w:cs="Arial" w:eastAsia="Arial" w:hAnsi="Arial"/>
                <w:sz w:val="18"/>
                <w:szCs w:val="18"/>
                <w:color w:val="auto"/>
              </w:rPr>
              <w:t>9,800,055</w:t>
            </w:r>
          </w:p>
        </w:tc>
        <w:tc>
          <w:tcPr>
            <w:tcW w:w="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14,648,872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1,143,000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203,877</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9"/>
              </w:rPr>
              <w:t>3,450,000</w:t>
            </w:r>
          </w:p>
        </w:tc>
        <w:tc>
          <w:tcPr>
            <w:tcW w:w="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9,800,023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14,596,900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1,110,000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168,941</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3" w:lineRule="exact"/>
              <w:rPr>
                <w:sz w:val="20"/>
                <w:szCs w:val="20"/>
                <w:color w:val="auto"/>
              </w:rPr>
            </w:pPr>
            <w:r>
              <w:rPr>
                <w:rFonts w:ascii="Arial" w:cs="Arial" w:eastAsia="Arial" w:hAnsi="Arial"/>
                <w:sz w:val="18"/>
                <w:szCs w:val="18"/>
                <w:color w:val="auto"/>
                <w:w w:val="99"/>
              </w:rPr>
              <w:t>3,450,000</w:t>
            </w:r>
          </w:p>
        </w:tc>
        <w:tc>
          <w:tcPr>
            <w:tcW w:w="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rPr>
              <w:t>9,800,034</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14,528,975</w:t>
            </w: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940" w:type="dxa"/>
            <w:vAlign w:val="bottom"/>
          </w:tcPr>
          <w:p>
            <w:pPr>
              <w:ind w:left="360"/>
              <w:spacing w:after="0"/>
              <w:rPr>
                <w:sz w:val="20"/>
                <w:szCs w:val="20"/>
                <w:color w:val="auto"/>
              </w:rPr>
            </w:pPr>
            <w:r>
              <w:rPr>
                <w:rFonts w:ascii="Arial" w:cs="Arial" w:eastAsia="Arial" w:hAnsi="Arial"/>
                <w:sz w:val="18"/>
                <w:szCs w:val="18"/>
                <w:color w:val="auto"/>
              </w:rPr>
              <w:t>2016</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668,000</w:t>
            </w:r>
          </w:p>
        </w:tc>
        <w:tc>
          <w:tcPr>
            <w:tcW w:w="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133,283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1,110,000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2,700,035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4,611,318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ind w:left="360"/>
              <w:spacing w:after="0" w:line="202" w:lineRule="exact"/>
              <w:rPr>
                <w:sz w:val="20"/>
                <w:szCs w:val="20"/>
                <w:color w:val="auto"/>
              </w:rPr>
            </w:pPr>
            <w:r>
              <w:rPr>
                <w:rFonts w:ascii="Arial" w:cs="Arial" w:eastAsia="Arial" w:hAnsi="Arial"/>
                <w:sz w:val="18"/>
                <w:szCs w:val="18"/>
                <w:color w:val="auto"/>
              </w:rPr>
              <w:t>2015</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649,000</w:t>
            </w:r>
          </w:p>
        </w:tc>
        <w:tc>
          <w:tcPr>
            <w:tcW w:w="2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115,758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line="202" w:lineRule="exact"/>
              <w:rPr>
                <w:sz w:val="20"/>
                <w:szCs w:val="20"/>
                <w:color w:val="auto"/>
              </w:rPr>
            </w:pPr>
            <w:r>
              <w:rPr>
                <w:rFonts w:ascii="Arial" w:cs="Arial" w:eastAsia="Arial" w:hAnsi="Arial"/>
                <w:sz w:val="18"/>
                <w:szCs w:val="18"/>
                <w:color w:val="auto"/>
                <w:w w:val="99"/>
              </w:rPr>
              <w:t>1,110,000</w:t>
            </w:r>
          </w:p>
        </w:tc>
        <w:tc>
          <w:tcPr>
            <w:tcW w:w="280" w:type="dxa"/>
            <w:vAlign w:val="bottom"/>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2,700,017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4,574,775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rPr>
              <w:t>2014</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630,000</w:t>
            </w: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95,884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1,110,000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2,700,039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4,535,923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825,000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164,583</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w w:val="99"/>
              </w:rPr>
              <w:t>2,000,000</w:t>
            </w:r>
          </w:p>
        </w:tc>
        <w:tc>
          <w:tcPr>
            <w:tcW w:w="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5,500,031</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8,489,614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142,668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9"/>
              </w:rPr>
              <w:t>1,750,000</w:t>
            </w:r>
          </w:p>
        </w:tc>
        <w:tc>
          <w:tcPr>
            <w:tcW w:w="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5,500,029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8,192,697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775,000</w:t>
            </w: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112,860</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3" w:lineRule="exact"/>
              <w:rPr>
                <w:sz w:val="20"/>
                <w:szCs w:val="20"/>
                <w:color w:val="auto"/>
              </w:rPr>
            </w:pPr>
            <w:r>
              <w:rPr>
                <w:rFonts w:ascii="Arial" w:cs="Arial" w:eastAsia="Arial" w:hAnsi="Arial"/>
                <w:sz w:val="18"/>
                <w:szCs w:val="18"/>
                <w:color w:val="auto"/>
                <w:w w:val="99"/>
              </w:rPr>
              <w:t>1,510,000</w:t>
            </w:r>
          </w:p>
        </w:tc>
        <w:tc>
          <w:tcPr>
            <w:tcW w:w="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rPr>
              <w:t>4,500,008</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6,897,868</w:t>
            </w: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940" w:type="dxa"/>
            <w:vAlign w:val="bottom"/>
          </w:tcPr>
          <w:p>
            <w:pPr>
              <w:ind w:left="360"/>
              <w:spacing w:after="0"/>
              <w:rPr>
                <w:sz w:val="20"/>
                <w:szCs w:val="20"/>
                <w:color w:val="auto"/>
              </w:rPr>
            </w:pPr>
            <w:r>
              <w:rPr>
                <w:rFonts w:ascii="Arial" w:cs="Arial" w:eastAsia="Arial" w:hAnsi="Arial"/>
                <w:sz w:val="18"/>
                <w:szCs w:val="18"/>
                <w:color w:val="auto"/>
              </w:rPr>
              <w:t>2016</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690,000</w:t>
            </w:r>
          </w:p>
        </w:tc>
        <w:tc>
          <w:tcPr>
            <w:tcW w:w="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137,667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1,265,000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4,000,014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6,092,681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ind w:left="360"/>
              <w:spacing w:after="0" w:line="202" w:lineRule="exact"/>
              <w:rPr>
                <w:sz w:val="20"/>
                <w:szCs w:val="20"/>
                <w:color w:val="auto"/>
              </w:rPr>
            </w:pPr>
            <w:r>
              <w:rPr>
                <w:rFonts w:ascii="Arial" w:cs="Arial" w:eastAsia="Arial" w:hAnsi="Arial"/>
                <w:sz w:val="18"/>
                <w:szCs w:val="18"/>
                <w:color w:val="auto"/>
              </w:rPr>
              <w:t>2015</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670,000</w:t>
            </w:r>
          </w:p>
        </w:tc>
        <w:tc>
          <w:tcPr>
            <w:tcW w:w="2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119,498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line="202" w:lineRule="exact"/>
              <w:rPr>
                <w:sz w:val="20"/>
                <w:szCs w:val="20"/>
                <w:color w:val="auto"/>
              </w:rPr>
            </w:pPr>
            <w:r>
              <w:rPr>
                <w:rFonts w:ascii="Arial" w:cs="Arial" w:eastAsia="Arial" w:hAnsi="Arial"/>
                <w:sz w:val="18"/>
                <w:szCs w:val="18"/>
                <w:color w:val="auto"/>
                <w:w w:val="99"/>
              </w:rPr>
              <w:t>1,265,000</w:t>
            </w:r>
          </w:p>
        </w:tc>
        <w:tc>
          <w:tcPr>
            <w:tcW w:w="280" w:type="dxa"/>
            <w:vAlign w:val="bottom"/>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4,000,045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6,054,543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rPr>
              <w:t>2014</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98,872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1,265,000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4,000,015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6,013,887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A. Anderson</w:t>
            </w:r>
          </w:p>
        </w:tc>
        <w:tc>
          <w:tcPr>
            <w:tcW w:w="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618,000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123,300</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w w:val="99"/>
              </w:rPr>
              <w:t>1,000,000</w:t>
            </w:r>
          </w:p>
        </w:tc>
        <w:tc>
          <w:tcPr>
            <w:tcW w:w="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3,800,028</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5,541,328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106,535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9"/>
              </w:rPr>
              <w:t>1,000,000</w:t>
            </w:r>
          </w:p>
        </w:tc>
        <w:tc>
          <w:tcPr>
            <w:tcW w:w="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3,800,037</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5,506,572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550,000</w:t>
            </w:r>
          </w:p>
        </w:tc>
        <w:tc>
          <w:tcPr>
            <w:tcW w:w="2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77,635</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line="203" w:lineRule="exact"/>
              <w:rPr>
                <w:sz w:val="20"/>
                <w:szCs w:val="20"/>
                <w:color w:val="auto"/>
              </w:rPr>
            </w:pPr>
            <w:r>
              <w:rPr>
                <w:rFonts w:ascii="Arial" w:cs="Arial" w:eastAsia="Arial" w:hAnsi="Arial"/>
                <w:sz w:val="18"/>
                <w:szCs w:val="18"/>
                <w:color w:val="auto"/>
              </w:rPr>
              <w:t>925,000</w:t>
            </w:r>
          </w:p>
        </w:tc>
        <w:tc>
          <w:tcPr>
            <w:tcW w:w="2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rPr>
              <w:t>4,700,042</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6,252,677</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Annual rate effective July 2014</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This table shows the annual rate of base salary as set by the committee.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1 and 2 to the summary compensation table for information about how grant date fair value was calculated.</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For Mr. Crutcher, the “Total” for 2016 was higher than for 2015 primarily due to the higher bonus in 2016, reflecting his growth in his role as Executive Vice President and the increased impact he had on the performance of the company. For the other officers, including Mr. Templeton, the “Total” for 2016 increased slightly from 2015 because of increases in base salary, as well as increased profit sharing, reflecting the increased profits of the company. Both the bonus for 2016 and the value of 2016 equity compensation granted to each of these other officers were held flat.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decisions shown above resulted in the following 2016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152400</wp:posOffset>
            </wp:positionV>
            <wp:extent cx="4064635" cy="2383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6463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dilution</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2016 resulted in 1.2 percent net annual dilution.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equity grants</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20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97"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27</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Recoupment policy</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Most recent stockholder advisory vote on executive compensation</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April 2016, our shareholders cast an advisory vote on the company’s executive compensation decisions and policies as disclosed in the proxy statement issued by the company in March 2016. Approximately 95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Mr. Anderson, who joined the company in 1999, participates in the enhanced defined contribution plan. The other named executive officers have continued their participation in the defined benefit pension plan.</w:t>
      </w:r>
    </w:p>
    <w:p>
      <w:pPr>
        <w:spacing w:after="0" w:line="20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“2016 pension benefits.”</w:t>
      </w:r>
    </w:p>
    <w:p>
      <w:pPr>
        <w:spacing w:after="0" w:line="20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Employees accruing benefits in the qualified pension plan, including the named executive officers other than Mr. Templeton, Mr. Crutcher and Mr. Anderson, also are eligible to participate in a qualified defined contribution plan that provides employer matching contributions. The enhanced defined contribution plan, in which Mr. Templeton, Mr. Crutcher and Mr. Anderson participate, provides for a fixed employer contribution plus an employer matching contribution.</w:t>
      </w:r>
    </w:p>
    <w:p>
      <w:pPr>
        <w:spacing w:after="0" w:line="2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Mr. March and Mr. Ritchie are eligible for early retirement under the pension plans.</w:t>
      </w:r>
    </w:p>
    <w:p>
      <w:pPr>
        <w:spacing w:after="0" w:line="20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Mr. Anderson does not participate in the company’s defined benefit pension plans. The committee considers the potential effect on the executives’ retirement benefits when it sets salary and performance bonus levels.</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2016 because no “above market” rates were earned on deferred amounts in that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require the CEO to use company aircraft for personal air travel. Please see footnote 5 of the summary compensation table for 2016 and “Potential payments upon termination or change in control – Termination – Perquisites” for further details. The company provides no tax gross-ups for perquisites to any of the 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following employment termination or change in control</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2016 based on this review.</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 and policy against hedging</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29</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tax and accounting treatment of compensation</w:t>
      </w:r>
    </w:p>
    <w:p>
      <w:pPr>
        <w:spacing w:after="0" w:line="12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Section 162(m) of the IRC generally denies a deduction to any publicly held corporation for compensation paid in a taxable year to the company’s CEO and three other highest compensated officers excluding the CFO,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our shareholders that restricted stock unit awards provide for the retention of our executive officers in all market conditions.</w:t>
      </w:r>
    </w:p>
    <w:p>
      <w:pPr>
        <w:spacing w:after="0" w:line="208"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The Texas Instruments Executive Officer Performance Plan is intended to ensure that performance bonuses under the plan are fully tax deductible under Section 162(m). The plan, which shareholders approved in 2002, is further described following the table under “Grants of plan-based awards in 2016.” The committee’s general policy is to award bonuses within the plan, although the committee reserves the discretion to pay a bonus outside the plan if it determines that it is in the best interest of the company and our shareholders to do so. The committee set the bonuses of the named executive officers for 2016 performance at the levels described under “Analysis of compensation determinations for 2016 – Bonus.” The bonuses were awarded within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2016 is discussed under “Analysis of compensation determination for 2016 – Equity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Compensation Committee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2016 and the company’s proxy statement for the 2017 annual meeting of stockholders.</w:t>
      </w:r>
    </w:p>
    <w:p>
      <w:pPr>
        <w:sectPr>
          <w:pgSz w:w="11900" w:h="16838" w:orient="portrait"/>
          <w:cols w:equalWidth="0" w:num="1">
            <w:col w:w="11400"/>
          </w:cols>
          <w:pgMar w:left="240" w:top="459" w:right="259" w:bottom="1440" w:gutter="0" w:footer="0" w:header="0"/>
        </w:sect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Robert E. Sanchez, Chair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Daniel A. Carp</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Pamela H. Patsley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Christine Todd Whitman</w:t>
      </w:r>
    </w:p>
    <w:p>
      <w:pPr>
        <w:spacing w:after="0" w:line="151" w:lineRule="exact"/>
        <w:rPr>
          <w:sz w:val="20"/>
          <w:szCs w:val="20"/>
          <w:color w:val="auto"/>
        </w:rPr>
      </w:pPr>
    </w:p>
    <w:p>
      <w:pPr>
        <w:sectPr>
          <w:pgSz w:w="11900" w:h="16838" w:orient="portrait"/>
          <w:cols w:equalWidth="0" w:num="4">
            <w:col w:w="3140" w:space="720"/>
            <w:col w:w="2000" w:space="720"/>
            <w:col w:w="1880" w:space="720"/>
            <w:col w:w="222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2"/>
          <w:szCs w:val="12"/>
          <w:color w:val="666666"/>
        </w:rPr>
        <w:t>30</w:t>
      </w:r>
    </w:p>
    <w:p>
      <w:pPr>
        <w:spacing w:after="0" w:line="20" w:lineRule="exact"/>
        <w:rPr>
          <w:sz w:val="20"/>
          <w:szCs w:val="20"/>
          <w:color w:val="auto"/>
        </w:rPr>
      </w:pPr>
      <w:r>
        <w:rPr>
          <w:sz w:val="20"/>
          <w:szCs w:val="20"/>
          <w:color w:val="auto"/>
        </w:rPr>
        <w:br w:type="column"/>
      </w:r>
    </w:p>
    <w:p>
      <w:pPr>
        <w:jc w:val="center"/>
        <w:ind w:right="4060"/>
        <w:spacing w:after="0"/>
        <w:tabs>
          <w:tab w:leader="none" w:pos="120" w:val="left"/>
          <w:tab w:leader="none" w:pos="120" w:val="left"/>
        </w:tabs>
        <w:rPr>
          <w:sz w:val="20"/>
          <w:szCs w:val="20"/>
          <w:color w:val="auto"/>
        </w:rPr>
      </w:pP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2">
            <w:col w:w="3400" w:space="720"/>
            <w:col w:w="728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2016 summary compensation table</w:t>
      </w:r>
    </w:p>
    <w:p>
      <w:pPr>
        <w:spacing w:after="0" w:line="20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table below shows the compensation of the company’s CEO, CFO and each of the other three most highly compensated individuals who were executive officers during 2016 (collectively called the “named executive officers”) for services in all capacities to the company in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Pension Value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20"/>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Incentive Plan</w:t>
            </w:r>
          </w:p>
        </w:tc>
        <w:tc>
          <w:tcPr>
            <w:tcW w:w="200" w:type="dxa"/>
            <w:vAlign w:val="bottom"/>
          </w:tcPr>
          <w:p>
            <w:pPr>
              <w:spacing w:after="0"/>
              <w:rPr>
                <w:sz w:val="14"/>
                <w:szCs w:val="14"/>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4"/>
                <w:szCs w:val="14"/>
                <w:color w:val="auto"/>
              </w:rPr>
            </w:pPr>
          </w:p>
        </w:tc>
        <w:tc>
          <w:tcPr>
            <w:tcW w:w="900" w:type="dxa"/>
            <w:vAlign w:val="bottom"/>
          </w:tcPr>
          <w:p>
            <w:pPr>
              <w:jc w:val="center"/>
              <w:ind w:right="1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Salary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(2)</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9"/>
              </w:rPr>
              <w:t>($) (3)</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Earnings ($) (4)</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 (5)</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Richard K. Templeton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1,164,083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$ 4,900,048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$ 4,900,007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3,682,817</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107,604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325,510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15,080,069</w:t>
            </w:r>
          </w:p>
        </w:tc>
      </w:tr>
      <w:tr>
        <w:trPr>
          <w:trHeight w:val="203"/>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Chairman, President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1,140,250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$ 4,900,017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$ 4,900,006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3,653,877</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317,702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14,925,802</w:t>
            </w:r>
          </w:p>
        </w:tc>
      </w:tr>
      <w:tr>
        <w:trPr>
          <w:trHeight w:val="203"/>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&amp; Chief Executive Officer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1,107,083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$ 4,900,030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$ 4,900,004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3,618,941</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199,552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318,084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15,043,694</w:t>
            </w:r>
          </w:p>
        </w:tc>
      </w:tr>
      <w:tr>
        <w:trPr>
          <w:trHeight w:val="421"/>
        </w:trPr>
        <w:tc>
          <w:tcPr>
            <w:tcW w:w="3460" w:type="dxa"/>
            <w:vAlign w:val="bottom"/>
          </w:tcPr>
          <w:p>
            <w:pPr>
              <w:spacing w:after="0"/>
              <w:rPr>
                <w:sz w:val="20"/>
                <w:szCs w:val="20"/>
                <w:color w:val="auto"/>
              </w:rPr>
            </w:pPr>
            <w:r>
              <w:rPr>
                <w:rFonts w:ascii="Arial" w:cs="Arial" w:eastAsia="Arial" w:hAnsi="Arial"/>
                <w:sz w:val="16"/>
                <w:szCs w:val="16"/>
                <w:color w:val="auto"/>
              </w:rPr>
              <w:t>Kevin P. March</w:t>
            </w:r>
          </w:p>
        </w:tc>
        <w:tc>
          <w:tcPr>
            <w:tcW w:w="620" w:type="dxa"/>
            <w:vAlign w:val="bottom"/>
          </w:tcPr>
          <w:p>
            <w:pPr>
              <w:jc w:val="right"/>
              <w:spacing w:after="0"/>
              <w:rPr>
                <w:sz w:val="20"/>
                <w:szCs w:val="20"/>
                <w:color w:val="auto"/>
              </w:rPr>
            </w:pPr>
            <w:r>
              <w:rPr>
                <w:rFonts w:ascii="Arial" w:cs="Arial" w:eastAsia="Arial" w:hAnsi="Arial"/>
                <w:sz w:val="16"/>
                <w:szCs w:val="16"/>
                <w:color w:val="auto"/>
              </w:rPr>
              <w:t>2016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666,417</w:t>
            </w:r>
          </w:p>
        </w:tc>
        <w:tc>
          <w:tcPr>
            <w:tcW w:w="1000" w:type="dxa"/>
            <w:vAlign w:val="bottom"/>
          </w:tcPr>
          <w:p>
            <w:pPr>
              <w:jc w:val="right"/>
              <w:spacing w:after="0"/>
              <w:rPr>
                <w:sz w:val="20"/>
                <w:szCs w:val="20"/>
                <w:color w:val="auto"/>
              </w:rPr>
            </w:pPr>
            <w:r>
              <w:rPr>
                <w:rFonts w:ascii="Arial" w:cs="Arial" w:eastAsia="Arial" w:hAnsi="Arial"/>
                <w:sz w:val="16"/>
                <w:szCs w:val="16"/>
                <w:color w:val="auto"/>
              </w:rPr>
              <w:t>$ 1,350,033</w:t>
            </w:r>
          </w:p>
        </w:tc>
        <w:tc>
          <w:tcPr>
            <w:tcW w:w="960" w:type="dxa"/>
            <w:vAlign w:val="bottom"/>
          </w:tcPr>
          <w:p>
            <w:pPr>
              <w:jc w:val="right"/>
              <w:spacing w:after="0"/>
              <w:rPr>
                <w:sz w:val="20"/>
                <w:szCs w:val="20"/>
                <w:color w:val="auto"/>
              </w:rPr>
            </w:pPr>
            <w:r>
              <w:rPr>
                <w:rFonts w:ascii="Arial" w:cs="Arial" w:eastAsia="Arial" w:hAnsi="Arial"/>
                <w:sz w:val="16"/>
                <w:szCs w:val="16"/>
                <w:color w:val="auto"/>
              </w:rPr>
              <w:t>$ 1,350,002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1,243,283</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1,079,121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5,300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5,694,156</w:t>
            </w: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6"/>
                <w:szCs w:val="16"/>
                <w:color w:val="auto"/>
              </w:rPr>
              <w:t>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647,417</w:t>
            </w:r>
          </w:p>
        </w:tc>
        <w:tc>
          <w:tcPr>
            <w:tcW w:w="1000" w:type="dxa"/>
            <w:vAlign w:val="bottom"/>
          </w:tcPr>
          <w:p>
            <w:pPr>
              <w:jc w:val="right"/>
              <w:spacing w:after="0"/>
              <w:rPr>
                <w:sz w:val="20"/>
                <w:szCs w:val="20"/>
                <w:color w:val="auto"/>
              </w:rPr>
            </w:pPr>
            <w:r>
              <w:rPr>
                <w:rFonts w:ascii="Arial" w:cs="Arial" w:eastAsia="Arial" w:hAnsi="Arial"/>
                <w:sz w:val="16"/>
                <w:szCs w:val="16"/>
                <w:color w:val="auto"/>
              </w:rPr>
              <w:t>$ 1,350,010</w:t>
            </w:r>
          </w:p>
        </w:tc>
        <w:tc>
          <w:tcPr>
            <w:tcW w:w="960" w:type="dxa"/>
            <w:vAlign w:val="bottom"/>
          </w:tcPr>
          <w:p>
            <w:pPr>
              <w:jc w:val="right"/>
              <w:spacing w:after="0"/>
              <w:rPr>
                <w:sz w:val="20"/>
                <w:szCs w:val="20"/>
                <w:color w:val="auto"/>
              </w:rPr>
            </w:pPr>
            <w:r>
              <w:rPr>
                <w:rFonts w:ascii="Arial" w:cs="Arial" w:eastAsia="Arial" w:hAnsi="Arial"/>
                <w:sz w:val="16"/>
                <w:szCs w:val="16"/>
                <w:color w:val="auto"/>
              </w:rPr>
              <w:t>$ 1,350,007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1,225,758</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872,191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23,837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5,469,220</w:t>
            </w:r>
          </w:p>
        </w:tc>
      </w:tr>
      <w:tr>
        <w:trPr>
          <w:trHeight w:val="208"/>
        </w:trPr>
        <w:tc>
          <w:tcPr>
            <w:tcW w:w="3460" w:type="dxa"/>
            <w:vAlign w:val="bottom"/>
          </w:tcPr>
          <w:p>
            <w:pPr>
              <w:ind w:left="180"/>
              <w:spacing w:after="0"/>
              <w:rPr>
                <w:sz w:val="20"/>
                <w:szCs w:val="20"/>
                <w:color w:val="auto"/>
              </w:rPr>
            </w:pPr>
            <w:r>
              <w:rPr>
                <w:rFonts w:ascii="Arial" w:cs="Arial" w:eastAsia="Arial" w:hAnsi="Arial"/>
                <w:sz w:val="16"/>
                <w:szCs w:val="16"/>
                <w:color w:val="auto"/>
              </w:rPr>
              <w:t>&amp; Chief Financial Officer</w:t>
            </w:r>
          </w:p>
        </w:tc>
        <w:tc>
          <w:tcPr>
            <w:tcW w:w="620" w:type="dxa"/>
            <w:vAlign w:val="bottom"/>
          </w:tcPr>
          <w:p>
            <w:pPr>
              <w:jc w:val="right"/>
              <w:spacing w:after="0"/>
              <w:rPr>
                <w:sz w:val="20"/>
                <w:szCs w:val="20"/>
                <w:color w:val="auto"/>
              </w:rPr>
            </w:pPr>
            <w:r>
              <w:rPr>
                <w:rFonts w:ascii="Arial" w:cs="Arial" w:eastAsia="Arial" w:hAnsi="Arial"/>
                <w:sz w:val="16"/>
                <w:szCs w:val="16"/>
                <w:color w:val="auto"/>
              </w:rPr>
              <w:t>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628,333</w:t>
            </w:r>
          </w:p>
        </w:tc>
        <w:tc>
          <w:tcPr>
            <w:tcW w:w="1000" w:type="dxa"/>
            <w:vAlign w:val="bottom"/>
          </w:tcPr>
          <w:p>
            <w:pPr>
              <w:jc w:val="right"/>
              <w:spacing w:after="0"/>
              <w:rPr>
                <w:sz w:val="20"/>
                <w:szCs w:val="20"/>
                <w:color w:val="auto"/>
              </w:rPr>
            </w:pPr>
            <w:r>
              <w:rPr>
                <w:rFonts w:ascii="Arial" w:cs="Arial" w:eastAsia="Arial" w:hAnsi="Arial"/>
                <w:sz w:val="16"/>
                <w:szCs w:val="16"/>
                <w:color w:val="auto"/>
              </w:rPr>
              <w:t>$ 1,350,036</w:t>
            </w:r>
          </w:p>
        </w:tc>
        <w:tc>
          <w:tcPr>
            <w:tcW w:w="960" w:type="dxa"/>
            <w:vAlign w:val="bottom"/>
          </w:tcPr>
          <w:p>
            <w:pPr>
              <w:jc w:val="right"/>
              <w:spacing w:after="0"/>
              <w:rPr>
                <w:sz w:val="20"/>
                <w:szCs w:val="20"/>
                <w:color w:val="auto"/>
              </w:rPr>
            </w:pPr>
            <w:r>
              <w:rPr>
                <w:rFonts w:ascii="Arial" w:cs="Arial" w:eastAsia="Arial" w:hAnsi="Arial"/>
                <w:sz w:val="16"/>
                <w:szCs w:val="16"/>
                <w:color w:val="auto"/>
              </w:rPr>
              <w:t>$ 1,350,003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1,205,884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1,621,825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20,509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6,176,590</w:t>
            </w:r>
          </w:p>
        </w:tc>
      </w:tr>
      <w:tr>
        <w:trPr>
          <w:trHeight w:val="209"/>
        </w:trPr>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Brian T. Crutcher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822,917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$ 2,750,031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$ 2,750,000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2,164,583</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155,079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8,643,187</w:t>
            </w:r>
          </w:p>
        </w:tc>
      </w:tr>
      <w:tr>
        <w:trPr>
          <w:trHeight w:val="203"/>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Operating Officer &amp;</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$ 2,750,023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$ 2,750,006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1,892,668</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125,744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8,316,358</w:t>
            </w:r>
          </w:p>
        </w:tc>
      </w:tr>
      <w:tr>
        <w:trPr>
          <w:trHeight w:val="203"/>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Vice President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739,583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$ 2,250,001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$ 2,250,007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1,622,860</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110,688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6,974,251</w:t>
            </w:r>
          </w:p>
        </w:tc>
      </w:tr>
      <w:tr>
        <w:trPr>
          <w:trHeight w:val="421"/>
        </w:trPr>
        <w:tc>
          <w:tcPr>
            <w:tcW w:w="3460" w:type="dxa"/>
            <w:vAlign w:val="bottom"/>
          </w:tcPr>
          <w:p>
            <w:pPr>
              <w:spacing w:after="0"/>
              <w:rPr>
                <w:sz w:val="20"/>
                <w:szCs w:val="20"/>
                <w:color w:val="auto"/>
              </w:rPr>
            </w:pPr>
            <w:r>
              <w:rPr>
                <w:rFonts w:ascii="Arial" w:cs="Arial" w:eastAsia="Arial" w:hAnsi="Arial"/>
                <w:sz w:val="16"/>
                <w:szCs w:val="16"/>
                <w:color w:val="auto"/>
              </w:rPr>
              <w:t>Kevin J. Ritchie</w:t>
            </w:r>
          </w:p>
        </w:tc>
        <w:tc>
          <w:tcPr>
            <w:tcW w:w="620" w:type="dxa"/>
            <w:vAlign w:val="bottom"/>
          </w:tcPr>
          <w:p>
            <w:pPr>
              <w:jc w:val="right"/>
              <w:spacing w:after="0"/>
              <w:rPr>
                <w:sz w:val="20"/>
                <w:szCs w:val="20"/>
                <w:color w:val="auto"/>
              </w:rPr>
            </w:pPr>
            <w:r>
              <w:rPr>
                <w:rFonts w:ascii="Arial" w:cs="Arial" w:eastAsia="Arial" w:hAnsi="Arial"/>
                <w:sz w:val="16"/>
                <w:szCs w:val="16"/>
                <w:color w:val="auto"/>
              </w:rPr>
              <w:t>2016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688,333</w:t>
            </w:r>
          </w:p>
        </w:tc>
        <w:tc>
          <w:tcPr>
            <w:tcW w:w="1000" w:type="dxa"/>
            <w:vAlign w:val="bottom"/>
          </w:tcPr>
          <w:p>
            <w:pPr>
              <w:jc w:val="right"/>
              <w:spacing w:after="0"/>
              <w:rPr>
                <w:sz w:val="20"/>
                <w:szCs w:val="20"/>
                <w:color w:val="auto"/>
              </w:rPr>
            </w:pPr>
            <w:r>
              <w:rPr>
                <w:rFonts w:ascii="Arial" w:cs="Arial" w:eastAsia="Arial" w:hAnsi="Arial"/>
                <w:sz w:val="16"/>
                <w:szCs w:val="16"/>
                <w:color w:val="auto"/>
              </w:rPr>
              <w:t>$ 2,000,013</w:t>
            </w:r>
          </w:p>
        </w:tc>
        <w:tc>
          <w:tcPr>
            <w:tcW w:w="960" w:type="dxa"/>
            <w:vAlign w:val="bottom"/>
          </w:tcPr>
          <w:p>
            <w:pPr>
              <w:jc w:val="right"/>
              <w:spacing w:after="0"/>
              <w:rPr>
                <w:sz w:val="20"/>
                <w:szCs w:val="20"/>
                <w:color w:val="auto"/>
              </w:rPr>
            </w:pPr>
            <w:r>
              <w:rPr>
                <w:rFonts w:ascii="Arial" w:cs="Arial" w:eastAsia="Arial" w:hAnsi="Arial"/>
                <w:sz w:val="16"/>
                <w:szCs w:val="16"/>
                <w:color w:val="auto"/>
              </w:rPr>
              <w:t>$ 2,000,001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1,402,667</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1,468,531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5,300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7,564,845</w:t>
            </w:r>
          </w:p>
        </w:tc>
      </w:tr>
      <w:tr>
        <w:trPr>
          <w:trHeight w:val="208"/>
        </w:trPr>
        <w:tc>
          <w:tcPr>
            <w:tcW w:w="3460" w:type="dxa"/>
            <w:vAlign w:val="bottom"/>
          </w:tcPr>
          <w:p>
            <w:pPr>
              <w:ind w:left="180"/>
              <w:spacing w:after="0"/>
              <w:rPr>
                <w:sz w:val="20"/>
                <w:szCs w:val="20"/>
                <w:color w:val="auto"/>
              </w:rPr>
            </w:pPr>
            <w:r>
              <w:rPr>
                <w:rFonts w:ascii="Arial" w:cs="Arial" w:eastAsia="Arial" w:hAnsi="Arial"/>
                <w:sz w:val="16"/>
                <w:szCs w:val="16"/>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6"/>
                <w:szCs w:val="16"/>
                <w:color w:val="auto"/>
              </w:rPr>
              <w:t>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668,333</w:t>
            </w:r>
          </w:p>
        </w:tc>
        <w:tc>
          <w:tcPr>
            <w:tcW w:w="1000" w:type="dxa"/>
            <w:vAlign w:val="bottom"/>
          </w:tcPr>
          <w:p>
            <w:pPr>
              <w:jc w:val="right"/>
              <w:spacing w:after="0"/>
              <w:rPr>
                <w:sz w:val="20"/>
                <w:szCs w:val="20"/>
                <w:color w:val="auto"/>
              </w:rPr>
            </w:pPr>
            <w:r>
              <w:rPr>
                <w:rFonts w:ascii="Arial" w:cs="Arial" w:eastAsia="Arial" w:hAnsi="Arial"/>
                <w:sz w:val="16"/>
                <w:szCs w:val="16"/>
                <w:color w:val="auto"/>
              </w:rPr>
              <w:t>$ 2,000,041</w:t>
            </w:r>
          </w:p>
        </w:tc>
        <w:tc>
          <w:tcPr>
            <w:tcW w:w="960" w:type="dxa"/>
            <w:vAlign w:val="bottom"/>
          </w:tcPr>
          <w:p>
            <w:pPr>
              <w:jc w:val="right"/>
              <w:spacing w:after="0"/>
              <w:rPr>
                <w:sz w:val="20"/>
                <w:szCs w:val="20"/>
                <w:color w:val="auto"/>
              </w:rPr>
            </w:pPr>
            <w:r>
              <w:rPr>
                <w:rFonts w:ascii="Arial" w:cs="Arial" w:eastAsia="Arial" w:hAnsi="Arial"/>
                <w:sz w:val="16"/>
                <w:szCs w:val="16"/>
                <w:color w:val="auto"/>
              </w:rPr>
              <w:t>$ 2,000,004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1,384,498</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1,370,848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5,300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7,429,024</w:t>
            </w:r>
          </w:p>
        </w:tc>
      </w:tr>
      <w:tr>
        <w:trPr>
          <w:trHeight w:val="203"/>
        </w:trPr>
        <w:tc>
          <w:tcPr>
            <w:tcW w:w="3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647,917</w:t>
            </w:r>
          </w:p>
        </w:tc>
        <w:tc>
          <w:tcPr>
            <w:tcW w:w="1000" w:type="dxa"/>
            <w:vAlign w:val="bottom"/>
          </w:tcPr>
          <w:p>
            <w:pPr>
              <w:jc w:val="right"/>
              <w:spacing w:after="0"/>
              <w:rPr>
                <w:sz w:val="20"/>
                <w:szCs w:val="20"/>
                <w:color w:val="auto"/>
              </w:rPr>
            </w:pPr>
            <w:r>
              <w:rPr>
                <w:rFonts w:ascii="Arial" w:cs="Arial" w:eastAsia="Arial" w:hAnsi="Arial"/>
                <w:sz w:val="16"/>
                <w:szCs w:val="16"/>
                <w:color w:val="auto"/>
              </w:rPr>
              <w:t>$ 2,000,011</w:t>
            </w:r>
          </w:p>
        </w:tc>
        <w:tc>
          <w:tcPr>
            <w:tcW w:w="960" w:type="dxa"/>
            <w:vAlign w:val="bottom"/>
          </w:tcPr>
          <w:p>
            <w:pPr>
              <w:jc w:val="right"/>
              <w:spacing w:after="0"/>
              <w:rPr>
                <w:sz w:val="20"/>
                <w:szCs w:val="20"/>
                <w:color w:val="auto"/>
              </w:rPr>
            </w:pPr>
            <w:r>
              <w:rPr>
                <w:rFonts w:ascii="Arial" w:cs="Arial" w:eastAsia="Arial" w:hAnsi="Arial"/>
                <w:sz w:val="16"/>
                <w:szCs w:val="16"/>
                <w:color w:val="auto"/>
              </w:rPr>
              <w:t>$ 2,000,004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1,363,872</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2,146,473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5,200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8,163,477</w:t>
            </w:r>
          </w:p>
        </w:tc>
      </w:tr>
      <w:tr>
        <w:trPr>
          <w:trHeight w:val="209"/>
        </w:trPr>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Stephen A. Anderson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$ 1,900,028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$ 1,900,000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1,123,300</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93,763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5,633,591</w:t>
            </w:r>
          </w:p>
        </w:tc>
      </w:tr>
      <w:tr>
        <w:trPr>
          <w:trHeight w:val="203"/>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Vice President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595,833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$ 1,900,037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$ 1,900,000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1,106,535</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86,566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5,588,971</w:t>
            </w:r>
          </w:p>
        </w:tc>
      </w:tr>
      <w:tr>
        <w:trPr>
          <w:trHeight w:val="203"/>
        </w:trPr>
        <w:tc>
          <w:tcPr>
            <w:tcW w:w="3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508,750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$ 3,350,039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$ 1,350,003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1,002,635</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74,202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6,285,629</w:t>
            </w:r>
          </w:p>
        </w:tc>
      </w:tr>
    </w:tbl>
    <w:p>
      <w:pPr>
        <w:spacing w:after="0" w:line="121" w:lineRule="exact"/>
        <w:rPr>
          <w:sz w:val="20"/>
          <w:szCs w:val="20"/>
          <w:color w:val="auto"/>
        </w:rPr>
      </w:pPr>
    </w:p>
    <w:p>
      <w:pPr>
        <w:ind w:left="460" w:right="100" w:hanging="452"/>
        <w:spacing w:after="0" w:line="23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 (RSU) awards calculated in accordance with ASC 718. The discussion of the assumptions used for purposes of the valuation of the awards granted in 2016 appears in Note 4 to the financial statements in TI’s annual report on Form 10-K for the year ended December 31, 2016. For a description of the grant terms, please see the discussion following the Outstanding equity awards at fiscal year-end 2016 table. The discussion of the assumptions used for purposes of the valuation of the awards granted in 2015 and 2014 appears in Note 4 to the financial statements in TI’s annual report on Form 10-K for the year ended December 31, 2015, and Note 5 to the financial statements in TI’s annual report on Form 10-K for the year ended December 31, 2014, respectively.</w:t>
      </w:r>
    </w:p>
    <w:p>
      <w:pPr>
        <w:spacing w:after="0" w:line="108" w:lineRule="exact"/>
        <w:rPr>
          <w:rFonts w:ascii="Arial" w:cs="Arial" w:eastAsia="Arial" w:hAnsi="Arial"/>
          <w:sz w:val="18"/>
          <w:szCs w:val="18"/>
          <w:color w:val="auto"/>
        </w:rPr>
      </w:pPr>
    </w:p>
    <w:p>
      <w:pPr>
        <w:ind w:left="460" w:right="20" w:hanging="452"/>
        <w:spacing w:after="0" w:line="23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2016 appears in Note 4 to the financial statements in TI’s annual report on Form 10-K for the year ended December 31, 2016. For a description of the grant terms, please see the discussion following the Outstanding equity awards at fiscal year-end 2016 table. The discussion of the assumptions used for purposes of the valuation of the awards granted in 2015 and 2014 appears in Note 4 to the financial statements in TI’s annual report on Form 10-K for the year ended December 31, 2015, and Note 5 to the financial statements in TI’s annual report on Form 10-K for the year ended December 31, 2014, respectively.</w:t>
      </w:r>
    </w:p>
    <w:p>
      <w:pPr>
        <w:spacing w:after="0" w:line="110" w:lineRule="exact"/>
        <w:rPr>
          <w:rFonts w:ascii="Arial" w:cs="Arial" w:eastAsia="Arial" w:hAnsi="Arial"/>
          <w:sz w:val="18"/>
          <w:szCs w:val="18"/>
          <w:color w:val="auto"/>
        </w:rPr>
      </w:pPr>
    </w:p>
    <w:p>
      <w:pPr>
        <w:ind w:left="460" w:right="400" w:hanging="452"/>
        <w:spacing w:after="0" w:line="24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Consists of performance bonuses paid under the Texas Instruments Executive Officer Performance Plan and profit sharing for 2016. Under the terms of the Executive Officer Performance Plan, each named executive officer is eligible to receive a cash bonus equal to</w:t>
      </w:r>
    </w:p>
    <w:p>
      <w:pPr>
        <w:spacing w:after="0" w:line="1" w:lineRule="exact"/>
        <w:rPr>
          <w:rFonts w:ascii="Arial" w:cs="Arial" w:eastAsia="Arial" w:hAnsi="Arial"/>
          <w:sz w:val="17"/>
          <w:szCs w:val="17"/>
          <w:color w:val="auto"/>
        </w:rPr>
      </w:pPr>
    </w:p>
    <w:p>
      <w:pPr>
        <w:ind w:left="460" w:right="60"/>
        <w:spacing w:after="0" w:line="239" w:lineRule="auto"/>
        <w:rPr>
          <w:rFonts w:ascii="Arial" w:cs="Arial" w:eastAsia="Arial" w:hAnsi="Arial"/>
          <w:sz w:val="17"/>
          <w:szCs w:val="17"/>
          <w:color w:val="auto"/>
        </w:rPr>
      </w:pPr>
      <w:r>
        <w:rPr>
          <w:rFonts w:ascii="Arial" w:cs="Arial" w:eastAsia="Arial" w:hAnsi="Arial"/>
          <w:sz w:val="18"/>
          <w:szCs w:val="18"/>
          <w:color w:val="auto"/>
        </w:rPr>
        <w:t>0.5 percent of the company’s consolidated income (as defined in the plan). However, the Compensation Committee has the discretion to set bonuses at a lower level if it decides it is appropriate to do so. The committee decided to do so for 2016. Please see “Analysis of compensation determinations for 2016 – Results of the compensation decisions” for the amounts of bonus and profit sharing paid to each of the named executive officers for 2016.</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31</w:t>
            </w: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20" w:hanging="452"/>
        <w:spacing w:after="0" w:line="23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2015, through December 31, 2016. This “change in the actuarial value” is the difference between the 2015 and 2016 present value of the pension benefit accumulated as of year-end by the named executive officer, assuming that benefit is not paid until age 65. Mr. Templeton’s and Mr. Crutcher’s benefits under the company’s pension plans were frozen as of December 31, 1997. Mr. Anderson does not participate in any of the company’s defined benefit pension plans.</w:t>
      </w:r>
    </w:p>
    <w:p>
      <w:pPr>
        <w:spacing w:after="0" w:line="113"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Defined</w:t>
            </w:r>
          </w:p>
        </w:tc>
        <w:tc>
          <w:tcPr>
            <w:tcW w:w="940" w:type="dxa"/>
            <w:vAlign w:val="bottom"/>
            <w:gridSpan w:val="2"/>
            <w:vMerge w:val="restart"/>
          </w:tcPr>
          <w:p>
            <w:pPr>
              <w:jc w:val="center"/>
              <w:ind w:left="97"/>
              <w:spacing w:after="0"/>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right"/>
              <w:ind w:right="155"/>
              <w:spacing w:after="0" w:line="149" w:lineRule="exact"/>
              <w:rPr>
                <w:sz w:val="20"/>
                <w:szCs w:val="20"/>
                <w:color w:val="auto"/>
              </w:rPr>
            </w:pPr>
            <w:r>
              <w:rPr>
                <w:rFonts w:ascii="Arial" w:cs="Arial" w:eastAsia="Arial" w:hAnsi="Arial"/>
                <w:sz w:val="14"/>
                <w:szCs w:val="14"/>
                <w:b w:val="1"/>
                <w:bCs w:val="1"/>
                <w:color w:val="auto"/>
              </w:rPr>
              <w:t>Contribution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401(k)</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Retirement</w:t>
            </w:r>
          </w:p>
        </w:tc>
        <w:tc>
          <w:tcPr>
            <w:tcW w:w="94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rPr>
              <w:t>Vacation</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Contribution</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Plan (a)</w:t>
            </w:r>
          </w:p>
        </w:tc>
        <w:tc>
          <w:tcPr>
            <w:tcW w:w="940" w:type="dxa"/>
            <w:vAlign w:val="bottom"/>
            <w:tcBorders>
              <w:bottom w:val="single" w:sz="8" w:color="auto"/>
            </w:tcBorders>
            <w:gridSpan w:val="2"/>
          </w:tcPr>
          <w:p>
            <w:pPr>
              <w:jc w:val="center"/>
              <w:ind w:left="97"/>
              <w:spacing w:after="0"/>
              <w:rPr>
                <w:sz w:val="20"/>
                <w:szCs w:val="20"/>
                <w:color w:val="auto"/>
              </w:rPr>
            </w:pPr>
            <w:r>
              <w:rPr>
                <w:rFonts w:ascii="Arial" w:cs="Arial" w:eastAsia="Arial" w:hAnsi="Arial"/>
                <w:sz w:val="14"/>
                <w:szCs w:val="14"/>
                <w:b w:val="1"/>
                <w:bCs w:val="1"/>
                <w:color w:val="auto"/>
              </w:rPr>
              <w:t>Time (b)</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3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10,600</w:t>
            </w:r>
          </w:p>
        </w:tc>
        <w:tc>
          <w:tcPr>
            <w:tcW w:w="3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265,320</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5,300</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N/A</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10,600</w:t>
            </w:r>
          </w:p>
        </w:tc>
        <w:tc>
          <w:tcPr>
            <w:tcW w:w="3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133,761</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K. J. Ritchie</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5,300</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N/A</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 A. Anderson</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10,600</w:t>
            </w:r>
          </w:p>
        </w:tc>
        <w:tc>
          <w:tcPr>
            <w:tcW w:w="3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83,163</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00" w:right="160" w:hanging="446"/>
        <w:spacing w:after="0" w:line="23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$5,300 and (ii) an additional amount of $260,020 for Mr. Templeton, $128,461 for Mr. Crutcher, and $77,863 for Mr. Anderson accrued by TI to offset IRC limitations on amounts that could be contributed to the enhanced defined contribution retirement plan, which amount is also shown in the 2016 non-qualified deferred compensation table.</w:t>
      </w:r>
    </w:p>
    <w:p>
      <w:pPr>
        <w:spacing w:after="0" w:line="107"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payments for unused vacation time that could not be carried forward.</w:t>
      </w:r>
    </w:p>
    <w:p>
      <w:pPr>
        <w:spacing w:after="0" w:line="212" w:lineRule="exact"/>
        <w:rPr>
          <w:sz w:val="20"/>
          <w:szCs w:val="20"/>
          <w:color w:val="auto"/>
        </w:rPr>
      </w:pPr>
    </w:p>
    <w:p>
      <w:pPr>
        <w:ind w:left="460" w:right="80"/>
        <w:spacing w:after="0" w:line="239" w:lineRule="auto"/>
        <w:rPr>
          <w:sz w:val="20"/>
          <w:szCs w:val="20"/>
          <w:color w:val="auto"/>
        </w:rPr>
      </w:pPr>
      <w:r>
        <w:rPr>
          <w:rFonts w:ascii="Arial" w:cs="Arial" w:eastAsia="Arial" w:hAnsi="Arial"/>
          <w:sz w:val="18"/>
          <w:szCs w:val="18"/>
          <w:color w:val="auto"/>
        </w:rPr>
        <w:t>The perquisites and personal benefits are as follows: $47,282 for Mr. Templeton, consisting of financial counseling, an executive physical and personal use of company aircraft ($32,026), and $10,718 for Mr. Crutcher, consisting of financial counseling and an executive physical. Financial counseling and an executive physical were made available to the other named executive officers, but the amounts attributable to those officers were below the disclosure thresholds.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Grants of plan-based awards in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or Base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1200" w:type="dxa"/>
            <w:vAlign w:val="bottom"/>
          </w:tcPr>
          <w:p>
            <w:pPr>
              <w:jc w:val="center"/>
              <w:ind w:left="56"/>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00" w:type="dxa"/>
            <w:vAlign w:val="bottom"/>
          </w:tcPr>
          <w:p>
            <w:pPr>
              <w:jc w:val="center"/>
              <w:ind w:left="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Date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200" w:type="dxa"/>
            <w:vAlign w:val="bottom"/>
          </w:tcPr>
          <w:p>
            <w:pPr>
              <w:jc w:val="center"/>
              <w:ind w:left="56"/>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tcPr>
          <w:p>
            <w:pPr>
              <w:jc w:val="right"/>
              <w:ind w:right="433"/>
              <w:spacing w:after="0"/>
              <w:rPr>
                <w:sz w:val="20"/>
                <w:szCs w:val="20"/>
                <w:color w:val="auto"/>
              </w:rPr>
            </w:pPr>
            <w:r>
              <w:rPr>
                <w:rFonts w:ascii="Arial" w:cs="Arial" w:eastAsia="Arial" w:hAnsi="Arial"/>
                <w:sz w:val="14"/>
                <w:szCs w:val="14"/>
                <w:b w:val="1"/>
                <w:bCs w:val="1"/>
                <w:color w:val="auto"/>
              </w:rPr>
              <w:t>Grant</w:t>
            </w: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Committee</w:t>
            </w:r>
          </w:p>
        </w:tc>
        <w:tc>
          <w:tcPr>
            <w:tcW w:w="1100" w:type="dxa"/>
            <w:vAlign w:val="bottom"/>
          </w:tcPr>
          <w:p>
            <w:pPr>
              <w:ind w:left="380"/>
              <w:spacing w:after="0"/>
              <w:rPr>
                <w:sz w:val="20"/>
                <w:szCs w:val="20"/>
                <w:color w:val="auto"/>
              </w:rPr>
            </w:pPr>
            <w:r>
              <w:rPr>
                <w:rFonts w:ascii="Arial" w:cs="Arial" w:eastAsia="Arial" w:hAnsi="Arial"/>
                <w:sz w:val="14"/>
                <w:szCs w:val="14"/>
                <w:b w:val="1"/>
                <w:bCs w:val="1"/>
                <w:color w:val="auto"/>
              </w:rPr>
              <w:t>Units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w:t>
            </w:r>
          </w:p>
        </w:tc>
        <w:tc>
          <w:tcPr>
            <w:tcW w:w="1200" w:type="dxa"/>
            <w:vAlign w:val="bottom"/>
          </w:tcPr>
          <w:p>
            <w:pPr>
              <w:jc w:val="center"/>
              <w:ind w:left="36"/>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89"/>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Action</w:t>
            </w:r>
          </w:p>
        </w:tc>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 (2)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 (3)</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200" w:type="dxa"/>
            <w:vAlign w:val="bottom"/>
          </w:tcPr>
          <w:p>
            <w:pPr>
              <w:jc w:val="center"/>
              <w:ind w:left="56"/>
              <w:spacing w:after="0"/>
              <w:rPr>
                <w:sz w:val="20"/>
                <w:szCs w:val="20"/>
                <w:color w:val="auto"/>
              </w:rPr>
            </w:pPr>
            <w:r>
              <w:rPr>
                <w:rFonts w:ascii="Arial" w:cs="Arial" w:eastAsia="Arial" w:hAnsi="Arial"/>
                <w:sz w:val="14"/>
                <w:szCs w:val="14"/>
                <w:b w:val="1"/>
                <w:bCs w:val="1"/>
                <w:color w:val="auto"/>
              </w:rPr>
              <w:t>Awards (5)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1400" w:type="dxa"/>
            <w:vAlign w:val="bottom"/>
            <w:tcBorders>
              <w:top w:val="single" w:sz="8" w:color="auto"/>
            </w:tcBorders>
            <w:shd w:val="clear" w:color="auto" w:fill="CCEEFF"/>
          </w:tcPr>
          <w:p>
            <w:pPr>
              <w:jc w:val="right"/>
              <w:ind w:right="53"/>
              <w:spacing w:after="0" w:line="195" w:lineRule="exact"/>
              <w:rPr>
                <w:sz w:val="20"/>
                <w:szCs w:val="20"/>
                <w:color w:val="auto"/>
              </w:rPr>
            </w:pPr>
            <w:r>
              <w:rPr>
                <w:rFonts w:ascii="Arial" w:cs="Arial" w:eastAsia="Arial" w:hAnsi="Arial"/>
                <w:sz w:val="18"/>
                <w:szCs w:val="18"/>
                <w:color w:val="auto"/>
              </w:rPr>
              <w:t>1/29/16 (1)</w:t>
            </w:r>
          </w:p>
        </w:tc>
        <w:tc>
          <w:tcPr>
            <w:tcW w:w="1080" w:type="dxa"/>
            <w:vAlign w:val="bottom"/>
            <w:tcBorders>
              <w:top w:val="single" w:sz="8" w:color="auto"/>
            </w:tcBorders>
            <w:shd w:val="clear" w:color="auto" w:fill="CCEEFF"/>
          </w:tcPr>
          <w:p>
            <w:pPr>
              <w:ind w:left="280"/>
              <w:spacing w:after="0" w:line="195" w:lineRule="exact"/>
              <w:rPr>
                <w:sz w:val="20"/>
                <w:szCs w:val="20"/>
                <w:color w:val="auto"/>
              </w:rPr>
            </w:pPr>
            <w:r>
              <w:rPr>
                <w:rFonts w:ascii="Arial" w:cs="Arial" w:eastAsia="Arial" w:hAnsi="Arial"/>
                <w:sz w:val="18"/>
                <w:szCs w:val="18"/>
                <w:color w:val="auto"/>
              </w:rPr>
              <w:t>1/21/16</w:t>
            </w:r>
          </w:p>
        </w:tc>
        <w:tc>
          <w:tcPr>
            <w:tcW w:w="1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21"/>
              <w:spacing w:after="0" w:line="195" w:lineRule="exact"/>
              <w:rPr>
                <w:sz w:val="20"/>
                <w:szCs w:val="20"/>
                <w:color w:val="auto"/>
              </w:rPr>
            </w:pPr>
            <w:r>
              <w:rPr>
                <w:rFonts w:ascii="Arial" w:cs="Arial" w:eastAsia="Arial" w:hAnsi="Arial"/>
                <w:sz w:val="18"/>
                <w:szCs w:val="18"/>
                <w:color w:val="auto"/>
              </w:rPr>
              <w:t>489,557</w:t>
            </w:r>
          </w:p>
        </w:tc>
        <w:tc>
          <w:tcPr>
            <w:tcW w:w="1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$ 52.93</w:t>
            </w:r>
          </w:p>
        </w:tc>
        <w:tc>
          <w:tcPr>
            <w:tcW w:w="1200" w:type="dxa"/>
            <w:vAlign w:val="bottom"/>
            <w:tcBorders>
              <w:top w:val="single" w:sz="8" w:color="auto"/>
            </w:tcBorders>
            <w:shd w:val="clear" w:color="auto" w:fill="CCEEFF"/>
          </w:tcPr>
          <w:p>
            <w:pPr>
              <w:jc w:val="center"/>
              <w:ind w:left="36"/>
              <w:spacing w:after="0" w:line="195" w:lineRule="exact"/>
              <w:rPr>
                <w:sz w:val="20"/>
                <w:szCs w:val="20"/>
                <w:color w:val="auto"/>
              </w:rPr>
            </w:pPr>
            <w:r>
              <w:rPr>
                <w:rFonts w:ascii="Arial" w:cs="Arial" w:eastAsia="Arial" w:hAnsi="Arial"/>
                <w:sz w:val="18"/>
                <w:szCs w:val="18"/>
                <w:color w:val="auto"/>
              </w:rPr>
              <w:t>$ 4,900,007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1/29/16 (1)</w:t>
            </w:r>
          </w:p>
        </w:tc>
        <w:tc>
          <w:tcPr>
            <w:tcW w:w="108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1/21/16</w:t>
            </w:r>
          </w:p>
        </w:tc>
        <w:tc>
          <w:tcPr>
            <w:tcW w:w="11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92,576</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36"/>
              <w:spacing w:after="0" w:line="203" w:lineRule="exact"/>
              <w:rPr>
                <w:sz w:val="20"/>
                <w:szCs w:val="20"/>
                <w:color w:val="auto"/>
              </w:rPr>
            </w:pPr>
            <w:r>
              <w:rPr>
                <w:rFonts w:ascii="Arial" w:cs="Arial" w:eastAsia="Arial" w:hAnsi="Arial"/>
                <w:sz w:val="18"/>
                <w:szCs w:val="18"/>
                <w:color w:val="auto"/>
              </w:rPr>
              <w:t>$ 4,900,048</w:t>
            </w:r>
          </w:p>
        </w:tc>
        <w:tc>
          <w:tcPr>
            <w:tcW w:w="0" w:type="dxa"/>
            <w:vAlign w:val="bottom"/>
          </w:tcPr>
          <w:p>
            <w:pPr>
              <w:spacing w:after="0"/>
              <w:rPr>
                <w:sz w:val="1"/>
                <w:szCs w:val="1"/>
                <w:color w:val="auto"/>
              </w:rPr>
            </w:pPr>
          </w:p>
        </w:tc>
      </w:tr>
      <w:tr>
        <w:trPr>
          <w:trHeight w:val="310"/>
        </w:trPr>
        <w:tc>
          <w:tcPr>
            <w:tcW w:w="450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1/29/16 (1)</w:t>
            </w:r>
          </w:p>
        </w:tc>
        <w:tc>
          <w:tcPr>
            <w:tcW w:w="1080" w:type="dxa"/>
            <w:vAlign w:val="bottom"/>
          </w:tcPr>
          <w:p>
            <w:pPr>
              <w:ind w:left="280"/>
              <w:spacing w:after="0"/>
              <w:rPr>
                <w:sz w:val="20"/>
                <w:szCs w:val="20"/>
                <w:color w:val="auto"/>
              </w:rPr>
            </w:pPr>
            <w:r>
              <w:rPr>
                <w:rFonts w:ascii="Arial" w:cs="Arial" w:eastAsia="Arial" w:hAnsi="Arial"/>
                <w:sz w:val="18"/>
                <w:szCs w:val="18"/>
                <w:color w:val="auto"/>
              </w:rPr>
              <w:t>1/21/16</w:t>
            </w:r>
          </w:p>
        </w:tc>
        <w:tc>
          <w:tcPr>
            <w:tcW w:w="1100" w:type="dxa"/>
            <w:vAlign w:val="bottom"/>
          </w:tcPr>
          <w:p>
            <w:pPr>
              <w:spacing w:after="0"/>
              <w:rPr>
                <w:sz w:val="24"/>
                <w:szCs w:val="24"/>
                <w:color w:val="auto"/>
              </w:rPr>
            </w:pPr>
          </w:p>
        </w:tc>
        <w:tc>
          <w:tcPr>
            <w:tcW w:w="1140" w:type="dxa"/>
            <w:vAlign w:val="bottom"/>
          </w:tcPr>
          <w:p>
            <w:pPr>
              <w:jc w:val="right"/>
              <w:ind w:right="121"/>
              <w:spacing w:after="0"/>
              <w:rPr>
                <w:sz w:val="20"/>
                <w:szCs w:val="20"/>
                <w:color w:val="auto"/>
              </w:rPr>
            </w:pPr>
            <w:r>
              <w:rPr>
                <w:rFonts w:ascii="Arial" w:cs="Arial" w:eastAsia="Arial" w:hAnsi="Arial"/>
                <w:sz w:val="18"/>
                <w:szCs w:val="18"/>
                <w:color w:val="auto"/>
              </w:rPr>
              <w:t>134,878</w:t>
            </w:r>
          </w:p>
        </w:tc>
        <w:tc>
          <w:tcPr>
            <w:tcW w:w="1000" w:type="dxa"/>
            <w:vAlign w:val="bottom"/>
          </w:tcPr>
          <w:p>
            <w:pPr>
              <w:jc w:val="center"/>
              <w:spacing w:after="0"/>
              <w:rPr>
                <w:sz w:val="20"/>
                <w:szCs w:val="20"/>
                <w:color w:val="auto"/>
              </w:rPr>
            </w:pPr>
            <w:r>
              <w:rPr>
                <w:rFonts w:ascii="Arial" w:cs="Arial" w:eastAsia="Arial" w:hAnsi="Arial"/>
                <w:sz w:val="18"/>
                <w:szCs w:val="18"/>
                <w:color w:val="auto"/>
              </w:rPr>
              <w:t>$ 52.93</w:t>
            </w:r>
          </w:p>
        </w:tc>
        <w:tc>
          <w:tcPr>
            <w:tcW w:w="1200" w:type="dxa"/>
            <w:vAlign w:val="bottom"/>
          </w:tcPr>
          <w:p>
            <w:pPr>
              <w:jc w:val="center"/>
              <w:ind w:left="36"/>
              <w:spacing w:after="0"/>
              <w:rPr>
                <w:sz w:val="20"/>
                <w:szCs w:val="20"/>
                <w:color w:val="auto"/>
              </w:rPr>
            </w:pPr>
            <w:r>
              <w:rPr>
                <w:rFonts w:ascii="Arial" w:cs="Arial" w:eastAsia="Arial" w:hAnsi="Arial"/>
                <w:sz w:val="18"/>
                <w:szCs w:val="18"/>
                <w:color w:val="auto"/>
              </w:rPr>
              <w:t>$ 1,350,002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1/29/16 (1)</w:t>
            </w:r>
          </w:p>
        </w:tc>
        <w:tc>
          <w:tcPr>
            <w:tcW w:w="1080" w:type="dxa"/>
            <w:vAlign w:val="bottom"/>
          </w:tcPr>
          <w:p>
            <w:pPr>
              <w:ind w:left="280"/>
              <w:spacing w:after="0"/>
              <w:rPr>
                <w:sz w:val="20"/>
                <w:szCs w:val="20"/>
                <w:color w:val="auto"/>
              </w:rPr>
            </w:pPr>
            <w:r>
              <w:rPr>
                <w:rFonts w:ascii="Arial" w:cs="Arial" w:eastAsia="Arial" w:hAnsi="Arial"/>
                <w:sz w:val="18"/>
                <w:szCs w:val="18"/>
                <w:color w:val="auto"/>
              </w:rPr>
              <w:t>1/21/16</w:t>
            </w:r>
          </w:p>
        </w:tc>
        <w:tc>
          <w:tcPr>
            <w:tcW w:w="1100" w:type="dxa"/>
            <w:vAlign w:val="bottom"/>
          </w:tcPr>
          <w:p>
            <w:pPr>
              <w:ind w:left="360"/>
              <w:spacing w:after="0"/>
              <w:rPr>
                <w:sz w:val="20"/>
                <w:szCs w:val="20"/>
                <w:color w:val="auto"/>
              </w:rPr>
            </w:pPr>
            <w:r>
              <w:rPr>
                <w:rFonts w:ascii="Arial" w:cs="Arial" w:eastAsia="Arial" w:hAnsi="Arial"/>
                <w:sz w:val="18"/>
                <w:szCs w:val="18"/>
                <w:color w:val="auto"/>
              </w:rPr>
              <w:t>25,506</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jc w:val="center"/>
              <w:ind w:left="36"/>
              <w:spacing w:after="0"/>
              <w:rPr>
                <w:sz w:val="20"/>
                <w:szCs w:val="20"/>
                <w:color w:val="auto"/>
              </w:rPr>
            </w:pPr>
            <w:r>
              <w:rPr>
                <w:rFonts w:ascii="Arial" w:cs="Arial" w:eastAsia="Arial" w:hAnsi="Arial"/>
                <w:sz w:val="18"/>
                <w:szCs w:val="18"/>
                <w:color w:val="auto"/>
              </w:rPr>
              <w:t>$ 1,350,033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140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1/29/16 (1)</w:t>
            </w:r>
          </w:p>
        </w:tc>
        <w:tc>
          <w:tcPr>
            <w:tcW w:w="10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1/21/16</w:t>
            </w: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21"/>
              <w:spacing w:after="0" w:line="201" w:lineRule="exact"/>
              <w:rPr>
                <w:sz w:val="20"/>
                <w:szCs w:val="20"/>
                <w:color w:val="auto"/>
              </w:rPr>
            </w:pPr>
            <w:r>
              <w:rPr>
                <w:rFonts w:ascii="Arial" w:cs="Arial" w:eastAsia="Arial" w:hAnsi="Arial"/>
                <w:sz w:val="18"/>
                <w:szCs w:val="18"/>
                <w:color w:val="auto"/>
              </w:rPr>
              <w:t>274,751</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$ 52.93</w:t>
            </w:r>
          </w:p>
        </w:tc>
        <w:tc>
          <w:tcPr>
            <w:tcW w:w="1200" w:type="dxa"/>
            <w:vAlign w:val="bottom"/>
            <w:shd w:val="clear" w:color="auto" w:fill="CCEEFF"/>
          </w:tcPr>
          <w:p>
            <w:pPr>
              <w:jc w:val="center"/>
              <w:ind w:left="36"/>
              <w:spacing w:after="0" w:line="201" w:lineRule="exact"/>
              <w:rPr>
                <w:sz w:val="20"/>
                <w:szCs w:val="20"/>
                <w:color w:val="auto"/>
              </w:rPr>
            </w:pPr>
            <w:r>
              <w:rPr>
                <w:rFonts w:ascii="Arial" w:cs="Arial" w:eastAsia="Arial" w:hAnsi="Arial"/>
                <w:sz w:val="18"/>
                <w:szCs w:val="18"/>
                <w:color w:val="auto"/>
              </w:rPr>
              <w:t>$ 2,750,000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1/29/16 (1)</w:t>
            </w:r>
          </w:p>
        </w:tc>
        <w:tc>
          <w:tcPr>
            <w:tcW w:w="108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1/21/16</w:t>
            </w:r>
          </w:p>
        </w:tc>
        <w:tc>
          <w:tcPr>
            <w:tcW w:w="11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51,956</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36"/>
              <w:spacing w:after="0" w:line="203" w:lineRule="exact"/>
              <w:rPr>
                <w:sz w:val="20"/>
                <w:szCs w:val="20"/>
                <w:color w:val="auto"/>
              </w:rPr>
            </w:pPr>
            <w:r>
              <w:rPr>
                <w:rFonts w:ascii="Arial" w:cs="Arial" w:eastAsia="Arial" w:hAnsi="Arial"/>
                <w:sz w:val="18"/>
                <w:szCs w:val="18"/>
                <w:color w:val="auto"/>
              </w:rPr>
              <w:t>$ 2,750,031</w:t>
            </w:r>
          </w:p>
        </w:tc>
        <w:tc>
          <w:tcPr>
            <w:tcW w:w="0" w:type="dxa"/>
            <w:vAlign w:val="bottom"/>
          </w:tcPr>
          <w:p>
            <w:pPr>
              <w:spacing w:after="0"/>
              <w:rPr>
                <w:sz w:val="1"/>
                <w:szCs w:val="1"/>
                <w:color w:val="auto"/>
              </w:rPr>
            </w:pPr>
          </w:p>
        </w:tc>
      </w:tr>
      <w:tr>
        <w:trPr>
          <w:trHeight w:val="310"/>
        </w:trPr>
        <w:tc>
          <w:tcPr>
            <w:tcW w:w="450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1/29/16 (1)</w:t>
            </w:r>
          </w:p>
        </w:tc>
        <w:tc>
          <w:tcPr>
            <w:tcW w:w="1080" w:type="dxa"/>
            <w:vAlign w:val="bottom"/>
          </w:tcPr>
          <w:p>
            <w:pPr>
              <w:ind w:left="280"/>
              <w:spacing w:after="0"/>
              <w:rPr>
                <w:sz w:val="20"/>
                <w:szCs w:val="20"/>
                <w:color w:val="auto"/>
              </w:rPr>
            </w:pPr>
            <w:r>
              <w:rPr>
                <w:rFonts w:ascii="Arial" w:cs="Arial" w:eastAsia="Arial" w:hAnsi="Arial"/>
                <w:sz w:val="18"/>
                <w:szCs w:val="18"/>
                <w:color w:val="auto"/>
              </w:rPr>
              <w:t>1/21/16</w:t>
            </w:r>
          </w:p>
        </w:tc>
        <w:tc>
          <w:tcPr>
            <w:tcW w:w="1100" w:type="dxa"/>
            <w:vAlign w:val="bottom"/>
          </w:tcPr>
          <w:p>
            <w:pPr>
              <w:spacing w:after="0"/>
              <w:rPr>
                <w:sz w:val="24"/>
                <w:szCs w:val="24"/>
                <w:color w:val="auto"/>
              </w:rPr>
            </w:pPr>
          </w:p>
        </w:tc>
        <w:tc>
          <w:tcPr>
            <w:tcW w:w="1140" w:type="dxa"/>
            <w:vAlign w:val="bottom"/>
          </w:tcPr>
          <w:p>
            <w:pPr>
              <w:jc w:val="right"/>
              <w:ind w:right="121"/>
              <w:spacing w:after="0"/>
              <w:rPr>
                <w:sz w:val="20"/>
                <w:szCs w:val="20"/>
                <w:color w:val="auto"/>
              </w:rPr>
            </w:pPr>
            <w:r>
              <w:rPr>
                <w:rFonts w:ascii="Arial" w:cs="Arial" w:eastAsia="Arial" w:hAnsi="Arial"/>
                <w:sz w:val="18"/>
                <w:szCs w:val="18"/>
                <w:color w:val="auto"/>
              </w:rPr>
              <w:t>199,819</w:t>
            </w:r>
          </w:p>
        </w:tc>
        <w:tc>
          <w:tcPr>
            <w:tcW w:w="1000" w:type="dxa"/>
            <w:vAlign w:val="bottom"/>
          </w:tcPr>
          <w:p>
            <w:pPr>
              <w:jc w:val="center"/>
              <w:spacing w:after="0"/>
              <w:rPr>
                <w:sz w:val="20"/>
                <w:szCs w:val="20"/>
                <w:color w:val="auto"/>
              </w:rPr>
            </w:pPr>
            <w:r>
              <w:rPr>
                <w:rFonts w:ascii="Arial" w:cs="Arial" w:eastAsia="Arial" w:hAnsi="Arial"/>
                <w:sz w:val="18"/>
                <w:szCs w:val="18"/>
                <w:color w:val="auto"/>
              </w:rPr>
              <w:t>$ 52.93</w:t>
            </w:r>
          </w:p>
        </w:tc>
        <w:tc>
          <w:tcPr>
            <w:tcW w:w="1200" w:type="dxa"/>
            <w:vAlign w:val="bottom"/>
          </w:tcPr>
          <w:p>
            <w:pPr>
              <w:jc w:val="center"/>
              <w:ind w:left="36"/>
              <w:spacing w:after="0"/>
              <w:rPr>
                <w:sz w:val="20"/>
                <w:szCs w:val="20"/>
                <w:color w:val="auto"/>
              </w:rPr>
            </w:pPr>
            <w:r>
              <w:rPr>
                <w:rFonts w:ascii="Arial" w:cs="Arial" w:eastAsia="Arial" w:hAnsi="Arial"/>
                <w:sz w:val="18"/>
                <w:szCs w:val="18"/>
                <w:color w:val="auto"/>
              </w:rPr>
              <w:t>$ 2,000,001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1/29/16 (1)</w:t>
            </w:r>
          </w:p>
        </w:tc>
        <w:tc>
          <w:tcPr>
            <w:tcW w:w="1080" w:type="dxa"/>
            <w:vAlign w:val="bottom"/>
          </w:tcPr>
          <w:p>
            <w:pPr>
              <w:ind w:left="280"/>
              <w:spacing w:after="0"/>
              <w:rPr>
                <w:sz w:val="20"/>
                <w:szCs w:val="20"/>
                <w:color w:val="auto"/>
              </w:rPr>
            </w:pPr>
            <w:r>
              <w:rPr>
                <w:rFonts w:ascii="Arial" w:cs="Arial" w:eastAsia="Arial" w:hAnsi="Arial"/>
                <w:sz w:val="18"/>
                <w:szCs w:val="18"/>
                <w:color w:val="auto"/>
              </w:rPr>
              <w:t>1/21/16</w:t>
            </w:r>
          </w:p>
        </w:tc>
        <w:tc>
          <w:tcPr>
            <w:tcW w:w="1100" w:type="dxa"/>
            <w:vAlign w:val="bottom"/>
          </w:tcPr>
          <w:p>
            <w:pPr>
              <w:ind w:left="360"/>
              <w:spacing w:after="0"/>
              <w:rPr>
                <w:sz w:val="20"/>
                <w:szCs w:val="20"/>
                <w:color w:val="auto"/>
              </w:rPr>
            </w:pPr>
            <w:r>
              <w:rPr>
                <w:rFonts w:ascii="Arial" w:cs="Arial" w:eastAsia="Arial" w:hAnsi="Arial"/>
                <w:sz w:val="18"/>
                <w:szCs w:val="18"/>
                <w:color w:val="auto"/>
              </w:rPr>
              <w:t>37,786</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jc w:val="center"/>
              <w:ind w:left="36"/>
              <w:spacing w:after="0"/>
              <w:rPr>
                <w:sz w:val="20"/>
                <w:szCs w:val="20"/>
                <w:color w:val="auto"/>
              </w:rPr>
            </w:pPr>
            <w:r>
              <w:rPr>
                <w:rFonts w:ascii="Arial" w:cs="Arial" w:eastAsia="Arial" w:hAnsi="Arial"/>
                <w:sz w:val="18"/>
                <w:szCs w:val="18"/>
                <w:color w:val="auto"/>
              </w:rPr>
              <w:t>$ 2,000,013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A. Anderson</w:t>
            </w:r>
          </w:p>
        </w:tc>
        <w:tc>
          <w:tcPr>
            <w:tcW w:w="140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1/29/16 (1)</w:t>
            </w:r>
          </w:p>
        </w:tc>
        <w:tc>
          <w:tcPr>
            <w:tcW w:w="10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1/21/16</w:t>
            </w: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21"/>
              <w:spacing w:after="0" w:line="201" w:lineRule="exact"/>
              <w:rPr>
                <w:sz w:val="20"/>
                <w:szCs w:val="20"/>
                <w:color w:val="auto"/>
              </w:rPr>
            </w:pPr>
            <w:r>
              <w:rPr>
                <w:rFonts w:ascii="Arial" w:cs="Arial" w:eastAsia="Arial" w:hAnsi="Arial"/>
                <w:sz w:val="18"/>
                <w:szCs w:val="18"/>
                <w:color w:val="auto"/>
              </w:rPr>
              <w:t>189,828</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$ 52.93</w:t>
            </w:r>
          </w:p>
        </w:tc>
        <w:tc>
          <w:tcPr>
            <w:tcW w:w="1200" w:type="dxa"/>
            <w:vAlign w:val="bottom"/>
            <w:shd w:val="clear" w:color="auto" w:fill="CCEEFF"/>
          </w:tcPr>
          <w:p>
            <w:pPr>
              <w:jc w:val="center"/>
              <w:ind w:left="36"/>
              <w:spacing w:after="0" w:line="201" w:lineRule="exact"/>
              <w:rPr>
                <w:sz w:val="20"/>
                <w:szCs w:val="20"/>
                <w:color w:val="auto"/>
              </w:rPr>
            </w:pPr>
            <w:r>
              <w:rPr>
                <w:rFonts w:ascii="Arial" w:cs="Arial" w:eastAsia="Arial" w:hAnsi="Arial"/>
                <w:sz w:val="18"/>
                <w:szCs w:val="18"/>
                <w:color w:val="auto"/>
              </w:rPr>
              <w:t>$ 1,900,000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1/29/16 (1)</w:t>
            </w:r>
          </w:p>
        </w:tc>
        <w:tc>
          <w:tcPr>
            <w:tcW w:w="108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1/21/16</w:t>
            </w:r>
          </w:p>
        </w:tc>
        <w:tc>
          <w:tcPr>
            <w:tcW w:w="11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35,897</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36"/>
              <w:spacing w:after="0" w:line="203" w:lineRule="exact"/>
              <w:rPr>
                <w:sz w:val="20"/>
                <w:szCs w:val="20"/>
                <w:color w:val="auto"/>
              </w:rPr>
            </w:pPr>
            <w:r>
              <w:rPr>
                <w:rFonts w:ascii="Arial" w:cs="Arial" w:eastAsia="Arial" w:hAnsi="Arial"/>
                <w:sz w:val="18"/>
                <w:szCs w:val="18"/>
                <w:color w:val="auto"/>
              </w:rPr>
              <w:t>$ 1,900,028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right="4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fourth-quarter and year 2015. The company released these results on January 27, 2016.</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4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2016 were RSU awards. These awards were made under the company’s 2009 Long-Term Incentive Plan. For information on the terms and conditions of these RSU awards, please see the discussion following the Outstanding equity awards at fiscal year-end 2016 table.</w:t>
      </w:r>
    </w:p>
    <w:p>
      <w:pPr>
        <w:spacing w:after="0" w:line="108" w:lineRule="exact"/>
        <w:rPr>
          <w:rFonts w:ascii="Arial" w:cs="Arial" w:eastAsia="Arial" w:hAnsi="Arial"/>
          <w:sz w:val="18"/>
          <w:szCs w:val="18"/>
          <w:color w:val="auto"/>
        </w:rPr>
      </w:pPr>
    </w:p>
    <w:p>
      <w:pPr>
        <w:ind w:left="460" w:right="400" w:hanging="452"/>
        <w:spacing w:after="0" w:line="24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please see the discussion following the Outstanding equity awards at fiscal year-end 2016 table.</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29, 2016.</w:t>
      </w:r>
    </w:p>
    <w:p>
      <w:pPr>
        <w:spacing w:after="0" w:line="117" w:lineRule="exact"/>
        <w:rPr>
          <w:rFonts w:ascii="Arial" w:cs="Arial" w:eastAsia="Arial" w:hAnsi="Arial"/>
          <w:sz w:val="18"/>
          <w:szCs w:val="18"/>
          <w:color w:val="auto"/>
        </w:rPr>
      </w:pPr>
    </w:p>
    <w:p>
      <w:pPr>
        <w:jc w:val="both"/>
        <w:ind w:left="460" w:right="4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Shown is the aggregate grant date fair value computed in accordance with ASC 718 for stock and option awards in 2016. The discussion of the assumptions used for purposes of the valuation appears in Note 4 to the financial statements in TI’s annual report on Form 10-K for the year ended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please see the Compensation Discussion and Analysis.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Outstanding equity awards at fiscal year-end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580" w:type="dxa"/>
            <w:vAlign w:val="bottom"/>
            <w:gridSpan w:val="2"/>
          </w:tcPr>
          <w:p>
            <w:pPr>
              <w:jc w:val="center"/>
              <w:ind w:left="134"/>
              <w:spacing w:after="0" w:line="143" w:lineRule="exact"/>
              <w:rPr>
                <w:sz w:val="20"/>
                <w:szCs w:val="20"/>
                <w:color w:val="auto"/>
              </w:rPr>
            </w:pPr>
            <w:r>
              <w:rPr>
                <w:rFonts w:ascii="Arial" w:cs="Arial" w:eastAsia="Arial" w:hAnsi="Arial"/>
                <w:sz w:val="14"/>
                <w:szCs w:val="14"/>
                <w:b w:val="1"/>
                <w:bCs w:val="1"/>
                <w:color w:val="auto"/>
              </w:rPr>
              <w:t>Number of</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52"/>
              <w:spacing w:after="0" w:line="143"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Securities</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rPr>
              <w:t>of Shares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Underlying</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Shares or</w:t>
            </w:r>
          </w:p>
        </w:tc>
        <w:tc>
          <w:tcPr>
            <w:tcW w:w="13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Units 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Unexercised</w:t>
            </w: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Option</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Units of Stock</w:t>
            </w:r>
          </w:p>
        </w:tc>
        <w:tc>
          <w:tcPr>
            <w:tcW w:w="13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Options (#)</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Expiration</w:t>
            </w:r>
          </w:p>
        </w:tc>
        <w:tc>
          <w:tcPr>
            <w:tcW w:w="130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That Have Not</w:t>
            </w:r>
          </w:p>
        </w:tc>
        <w:tc>
          <w:tcPr>
            <w:tcW w:w="280" w:type="dxa"/>
            <w:vAlign w:val="bottom"/>
          </w:tcPr>
          <w:p>
            <w:pPr>
              <w:spacing w:after="0"/>
              <w:rPr>
                <w:sz w:val="14"/>
                <w:szCs w:val="14"/>
                <w:color w:val="auto"/>
              </w:rPr>
            </w:pPr>
          </w:p>
        </w:tc>
        <w:tc>
          <w:tcPr>
            <w:tcW w:w="1060" w:type="dxa"/>
            <w:vAlign w:val="bottom"/>
          </w:tcPr>
          <w:p>
            <w:pPr>
              <w:jc w:val="center"/>
              <w:ind w:right="72"/>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9"/>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Unexercisable</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Price ($)</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Date</w:t>
            </w:r>
          </w:p>
        </w:tc>
        <w:tc>
          <w:tcPr>
            <w:tcW w:w="130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Vested (#)</w:t>
            </w:r>
          </w:p>
        </w:tc>
        <w:tc>
          <w:tcPr>
            <w:tcW w:w="280" w:type="dxa"/>
            <w:vAlign w:val="bottom"/>
          </w:tcPr>
          <w:p>
            <w:pPr>
              <w:spacing w:after="0"/>
              <w:rPr>
                <w:sz w:val="16"/>
                <w:szCs w:val="16"/>
                <w:color w:val="auto"/>
              </w:rPr>
            </w:pPr>
          </w:p>
        </w:tc>
        <w:tc>
          <w:tcPr>
            <w:tcW w:w="1060" w:type="dxa"/>
            <w:vAlign w:val="bottom"/>
          </w:tcPr>
          <w:p>
            <w:pPr>
              <w:jc w:val="center"/>
              <w:ind w:right="72"/>
              <w:spacing w:after="0"/>
              <w:rPr>
                <w:sz w:val="20"/>
                <w:szCs w:val="20"/>
                <w:color w:val="auto"/>
              </w:rPr>
            </w:pPr>
            <w:r>
              <w:rPr>
                <w:rFonts w:ascii="Arial" w:cs="Arial" w:eastAsia="Arial" w:hAnsi="Arial"/>
                <w:sz w:val="14"/>
                <w:szCs w:val="14"/>
                <w:b w:val="1"/>
                <w:bCs w:val="1"/>
                <w:color w:val="auto"/>
                <w:w w:val="99"/>
              </w:rPr>
              <w:t>($) (1)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489,557</w:t>
            </w:r>
          </w:p>
        </w:tc>
        <w:tc>
          <w:tcPr>
            <w:tcW w:w="420" w:type="dxa"/>
            <w:vAlign w:val="bottom"/>
            <w:tcBorders>
              <w:top w:val="single" w:sz="8" w:color="auto"/>
            </w:tcBorders>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99"/>
              </w:rPr>
              <w:t>(2)</w:t>
            </w:r>
          </w:p>
        </w:tc>
        <w:tc>
          <w:tcPr>
            <w:tcW w:w="1060" w:type="dxa"/>
            <w:vAlign w:val="bottom"/>
            <w:tcBorders>
              <w:top w:val="single" w:sz="8" w:color="auto"/>
            </w:tcBorders>
            <w:shd w:val="clear" w:color="auto" w:fill="CCEEFF"/>
          </w:tcPr>
          <w:p>
            <w:pPr>
              <w:ind w:left="200"/>
              <w:spacing w:after="0" w:line="195" w:lineRule="exact"/>
              <w:rPr>
                <w:sz w:val="20"/>
                <w:szCs w:val="20"/>
                <w:color w:val="auto"/>
              </w:rPr>
            </w:pPr>
            <w:r>
              <w:rPr>
                <w:rFonts w:ascii="Arial" w:cs="Arial" w:eastAsia="Arial" w:hAnsi="Arial"/>
                <w:sz w:val="18"/>
                <w:szCs w:val="18"/>
                <w:color w:val="auto"/>
              </w:rPr>
              <w:t>$ 52.93</w:t>
            </w:r>
          </w:p>
        </w:tc>
        <w:tc>
          <w:tcPr>
            <w:tcW w:w="1420" w:type="dxa"/>
            <w:vAlign w:val="bottom"/>
            <w:tcBorders>
              <w:top w:val="single" w:sz="8" w:color="auto"/>
            </w:tcBorders>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1/29/2026</w:t>
            </w: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92,576</w:t>
            </w:r>
          </w:p>
        </w:tc>
        <w:tc>
          <w:tcPr>
            <w:tcW w:w="5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(6)</w:t>
            </w:r>
          </w:p>
        </w:tc>
        <w:tc>
          <w:tcPr>
            <w:tcW w:w="2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6,755,271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129,110</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387,330</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(3)</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$ 53.94</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1/28/2025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90,842</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6,628,741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301,346</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301,346</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(4)</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$ 44.09</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1/23/2024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111,137</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8,109,667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393,750</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131,250</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(5)</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$ 32.80</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1/25/2023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175,000</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12,769,750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475,000</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$ 32.36</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1/26/2022</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450,000</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$ 34.63</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1/27/2021</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540,000</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$ 23.05</w:t>
            </w:r>
          </w:p>
        </w:tc>
        <w:tc>
          <w:tcPr>
            <w:tcW w:w="142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1/28/2020</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48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3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134,878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(2)</w:t>
            </w:r>
          </w:p>
        </w:tc>
        <w:tc>
          <w:tcPr>
            <w:tcW w:w="1060" w:type="dxa"/>
            <w:vAlign w:val="bottom"/>
          </w:tcPr>
          <w:p>
            <w:pPr>
              <w:ind w:left="200"/>
              <w:spacing w:after="0"/>
              <w:rPr>
                <w:sz w:val="20"/>
                <w:szCs w:val="20"/>
                <w:color w:val="auto"/>
              </w:rPr>
            </w:pPr>
            <w:r>
              <w:rPr>
                <w:rFonts w:ascii="Arial" w:cs="Arial" w:eastAsia="Arial" w:hAnsi="Arial"/>
                <w:sz w:val="18"/>
                <w:szCs w:val="18"/>
                <w:color w:val="auto"/>
              </w:rPr>
              <w:t>$ 52.93</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1/29/2026</w:t>
            </w:r>
          </w:p>
        </w:tc>
        <w:tc>
          <w:tcPr>
            <w:tcW w:w="800" w:type="dxa"/>
            <w:vAlign w:val="bottom"/>
          </w:tcPr>
          <w:p>
            <w:pPr>
              <w:jc w:val="right"/>
              <w:spacing w:after="0"/>
              <w:rPr>
                <w:sz w:val="20"/>
                <w:szCs w:val="20"/>
                <w:color w:val="auto"/>
              </w:rPr>
            </w:pPr>
            <w:r>
              <w:rPr>
                <w:rFonts w:ascii="Arial" w:cs="Arial" w:eastAsia="Arial" w:hAnsi="Arial"/>
                <w:sz w:val="18"/>
                <w:szCs w:val="18"/>
                <w:color w:val="auto"/>
              </w:rPr>
              <w:t>25,506</w:t>
            </w:r>
          </w:p>
        </w:tc>
        <w:tc>
          <w:tcPr>
            <w:tcW w:w="500" w:type="dxa"/>
            <w:vAlign w:val="bottom"/>
          </w:tcPr>
          <w:p>
            <w:pPr>
              <w:ind w:left="2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1,861,173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35,571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106,714</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(3)</w:t>
            </w:r>
          </w:p>
        </w:tc>
        <w:tc>
          <w:tcPr>
            <w:tcW w:w="1060" w:type="dxa"/>
            <w:vAlign w:val="bottom"/>
          </w:tcPr>
          <w:p>
            <w:pPr>
              <w:ind w:left="200"/>
              <w:spacing w:after="0" w:line="202" w:lineRule="exact"/>
              <w:rPr>
                <w:sz w:val="20"/>
                <w:szCs w:val="20"/>
                <w:color w:val="auto"/>
              </w:rPr>
            </w:pPr>
            <w:r>
              <w:rPr>
                <w:rFonts w:ascii="Arial" w:cs="Arial" w:eastAsia="Arial" w:hAnsi="Arial"/>
                <w:sz w:val="18"/>
                <w:szCs w:val="18"/>
                <w:color w:val="auto"/>
              </w:rPr>
              <w:t>$ 53.94</w:t>
            </w:r>
          </w:p>
        </w:tc>
        <w:tc>
          <w:tcPr>
            <w:tcW w:w="1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1/28/2025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25,028</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1,826,293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83,024</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83,024</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(4)</w:t>
            </w:r>
          </w:p>
        </w:tc>
        <w:tc>
          <w:tcPr>
            <w:tcW w:w="1060" w:type="dxa"/>
            <w:vAlign w:val="bottom"/>
          </w:tcPr>
          <w:p>
            <w:pPr>
              <w:ind w:left="200"/>
              <w:spacing w:after="0" w:line="202" w:lineRule="exact"/>
              <w:rPr>
                <w:sz w:val="20"/>
                <w:szCs w:val="20"/>
                <w:color w:val="auto"/>
              </w:rPr>
            </w:pPr>
            <w:r>
              <w:rPr>
                <w:rFonts w:ascii="Arial" w:cs="Arial" w:eastAsia="Arial" w:hAnsi="Arial"/>
                <w:sz w:val="18"/>
                <w:szCs w:val="18"/>
                <w:color w:val="auto"/>
              </w:rPr>
              <w:t>$ 44.09</w:t>
            </w:r>
          </w:p>
        </w:tc>
        <w:tc>
          <w:tcPr>
            <w:tcW w:w="1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1/23/2024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30,620</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2,234,341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112,500</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37,500</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(5)</w:t>
            </w:r>
          </w:p>
        </w:tc>
        <w:tc>
          <w:tcPr>
            <w:tcW w:w="1060" w:type="dxa"/>
            <w:vAlign w:val="bottom"/>
          </w:tcPr>
          <w:p>
            <w:pPr>
              <w:ind w:left="200"/>
              <w:spacing w:after="0" w:line="202" w:lineRule="exact"/>
              <w:rPr>
                <w:sz w:val="20"/>
                <w:szCs w:val="20"/>
                <w:color w:val="auto"/>
              </w:rPr>
            </w:pPr>
            <w:r>
              <w:rPr>
                <w:rFonts w:ascii="Arial" w:cs="Arial" w:eastAsia="Arial" w:hAnsi="Arial"/>
                <w:sz w:val="18"/>
                <w:szCs w:val="18"/>
                <w:color w:val="auto"/>
              </w:rPr>
              <w:t>$ 32.80</w:t>
            </w:r>
          </w:p>
        </w:tc>
        <w:tc>
          <w:tcPr>
            <w:tcW w:w="1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1/25/2023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3,648,500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gridSpan w:val="2"/>
          </w:tcPr>
          <w:p>
            <w:pPr>
              <w:jc w:val="right"/>
              <w:ind w:right="14"/>
              <w:spacing w:after="0"/>
              <w:rPr>
                <w:sz w:val="20"/>
                <w:szCs w:val="20"/>
                <w:color w:val="auto"/>
              </w:rPr>
            </w:pPr>
            <w:r>
              <w:rPr>
                <w:rFonts w:ascii="Arial" w:cs="Arial" w:eastAsia="Arial" w:hAnsi="Arial"/>
                <w:sz w:val="18"/>
                <w:szCs w:val="18"/>
                <w:color w:val="auto"/>
              </w:rPr>
              <w:t>150,000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$ 32.36</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1/26/2022</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274,751</w:t>
            </w:r>
          </w:p>
        </w:tc>
        <w:tc>
          <w:tcPr>
            <w:tcW w:w="42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w w:val="99"/>
              </w:rPr>
              <w:t>(2)</w:t>
            </w:r>
          </w:p>
        </w:tc>
        <w:tc>
          <w:tcPr>
            <w:tcW w:w="1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$ 52.93</w:t>
            </w:r>
          </w:p>
        </w:tc>
        <w:tc>
          <w:tcPr>
            <w:tcW w:w="14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1/29/2026</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51,956</w:t>
            </w:r>
          </w:p>
        </w:tc>
        <w:tc>
          <w:tcPr>
            <w:tcW w:w="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3,791,229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72,459</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217,380</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(3)</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$ 53.94</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1/28/2025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50,983</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3,720,230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138,374</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(4)</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$ 44.09</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1/23/2024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51,032</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3,723,805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56,250</w:t>
            </w:r>
          </w:p>
        </w:tc>
        <w:tc>
          <w:tcPr>
            <w:tcW w:w="42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99"/>
              </w:rPr>
              <w:t>(5)</w:t>
            </w:r>
          </w:p>
        </w:tc>
        <w:tc>
          <w:tcPr>
            <w:tcW w:w="10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$ 32.80</w:t>
            </w:r>
          </w:p>
        </w:tc>
        <w:tc>
          <w:tcPr>
            <w:tcW w:w="142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1/25/2023</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5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5,472,750</w:t>
            </w:r>
          </w:p>
        </w:tc>
        <w:tc>
          <w:tcPr>
            <w:tcW w:w="0" w:type="dxa"/>
            <w:vAlign w:val="bottom"/>
          </w:tcPr>
          <w:p>
            <w:pPr>
              <w:spacing w:after="0"/>
              <w:rPr>
                <w:sz w:val="1"/>
                <w:szCs w:val="1"/>
                <w:color w:val="auto"/>
              </w:rPr>
            </w:pPr>
          </w:p>
        </w:tc>
      </w:tr>
      <w:tr>
        <w:trPr>
          <w:trHeight w:val="310"/>
        </w:trPr>
        <w:tc>
          <w:tcPr>
            <w:tcW w:w="348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3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199,819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(2)</w:t>
            </w:r>
          </w:p>
        </w:tc>
        <w:tc>
          <w:tcPr>
            <w:tcW w:w="1060" w:type="dxa"/>
            <w:vAlign w:val="bottom"/>
          </w:tcPr>
          <w:p>
            <w:pPr>
              <w:ind w:left="200"/>
              <w:spacing w:after="0"/>
              <w:rPr>
                <w:sz w:val="20"/>
                <w:szCs w:val="20"/>
                <w:color w:val="auto"/>
              </w:rPr>
            </w:pPr>
            <w:r>
              <w:rPr>
                <w:rFonts w:ascii="Arial" w:cs="Arial" w:eastAsia="Arial" w:hAnsi="Arial"/>
                <w:sz w:val="18"/>
                <w:szCs w:val="18"/>
                <w:color w:val="auto"/>
              </w:rPr>
              <w:t>$ 52.93</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1/29/2026</w:t>
            </w:r>
          </w:p>
        </w:tc>
        <w:tc>
          <w:tcPr>
            <w:tcW w:w="800" w:type="dxa"/>
            <w:vAlign w:val="bottom"/>
          </w:tcPr>
          <w:p>
            <w:pPr>
              <w:jc w:val="right"/>
              <w:spacing w:after="0"/>
              <w:rPr>
                <w:sz w:val="20"/>
                <w:szCs w:val="20"/>
                <w:color w:val="auto"/>
              </w:rPr>
            </w:pPr>
            <w:r>
              <w:rPr>
                <w:rFonts w:ascii="Arial" w:cs="Arial" w:eastAsia="Arial" w:hAnsi="Arial"/>
                <w:sz w:val="18"/>
                <w:szCs w:val="18"/>
                <w:color w:val="auto"/>
              </w:rPr>
              <w:t>37,786</w:t>
            </w:r>
          </w:p>
        </w:tc>
        <w:tc>
          <w:tcPr>
            <w:tcW w:w="500" w:type="dxa"/>
            <w:vAlign w:val="bottom"/>
          </w:tcPr>
          <w:p>
            <w:pPr>
              <w:ind w:left="2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2,757,244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52,698</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158,094</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(3)</w:t>
            </w:r>
          </w:p>
        </w:tc>
        <w:tc>
          <w:tcPr>
            <w:tcW w:w="1060" w:type="dxa"/>
            <w:vAlign w:val="bottom"/>
          </w:tcPr>
          <w:p>
            <w:pPr>
              <w:ind w:left="200"/>
              <w:spacing w:after="0" w:line="202" w:lineRule="exact"/>
              <w:rPr>
                <w:sz w:val="20"/>
                <w:szCs w:val="20"/>
                <w:color w:val="auto"/>
              </w:rPr>
            </w:pPr>
            <w:r>
              <w:rPr>
                <w:rFonts w:ascii="Arial" w:cs="Arial" w:eastAsia="Arial" w:hAnsi="Arial"/>
                <w:sz w:val="18"/>
                <w:szCs w:val="18"/>
                <w:color w:val="auto"/>
              </w:rPr>
              <w:t>$ 53.94</w:t>
            </w:r>
          </w:p>
        </w:tc>
        <w:tc>
          <w:tcPr>
            <w:tcW w:w="1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1/28/2025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37,079</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2,705,655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122,999</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(4)</w:t>
            </w:r>
          </w:p>
        </w:tc>
        <w:tc>
          <w:tcPr>
            <w:tcW w:w="1060" w:type="dxa"/>
            <w:vAlign w:val="bottom"/>
          </w:tcPr>
          <w:p>
            <w:pPr>
              <w:ind w:left="200"/>
              <w:spacing w:after="0" w:line="202" w:lineRule="exact"/>
              <w:rPr>
                <w:sz w:val="20"/>
                <w:szCs w:val="20"/>
                <w:color w:val="auto"/>
              </w:rPr>
            </w:pPr>
            <w:r>
              <w:rPr>
                <w:rFonts w:ascii="Arial" w:cs="Arial" w:eastAsia="Arial" w:hAnsi="Arial"/>
                <w:sz w:val="18"/>
                <w:szCs w:val="18"/>
                <w:color w:val="auto"/>
              </w:rPr>
              <w:t>$ 44.09</w:t>
            </w:r>
          </w:p>
        </w:tc>
        <w:tc>
          <w:tcPr>
            <w:tcW w:w="1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1/23/2024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45,362</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3,310,065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(5)</w:t>
            </w:r>
          </w:p>
        </w:tc>
        <w:tc>
          <w:tcPr>
            <w:tcW w:w="1060" w:type="dxa"/>
            <w:vAlign w:val="bottom"/>
          </w:tcPr>
          <w:p>
            <w:pPr>
              <w:ind w:left="200"/>
              <w:spacing w:after="0"/>
              <w:rPr>
                <w:sz w:val="20"/>
                <w:szCs w:val="20"/>
                <w:color w:val="auto"/>
              </w:rPr>
            </w:pPr>
            <w:r>
              <w:rPr>
                <w:rFonts w:ascii="Arial" w:cs="Arial" w:eastAsia="Arial" w:hAnsi="Arial"/>
                <w:sz w:val="18"/>
                <w:szCs w:val="18"/>
                <w:color w:val="auto"/>
              </w:rPr>
              <w:t>$ 32.80</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1/25/2023</w:t>
            </w:r>
          </w:p>
        </w:tc>
        <w:tc>
          <w:tcPr>
            <w:tcW w:w="800" w:type="dxa"/>
            <w:vAlign w:val="bottom"/>
          </w:tcPr>
          <w:p>
            <w:pPr>
              <w:jc w:val="right"/>
              <w:spacing w:after="0"/>
              <w:rPr>
                <w:sz w:val="20"/>
                <w:szCs w:val="20"/>
                <w:color w:val="auto"/>
              </w:rPr>
            </w:pPr>
            <w:r>
              <w:rPr>
                <w:rFonts w:ascii="Arial" w:cs="Arial" w:eastAsia="Arial" w:hAnsi="Arial"/>
                <w:sz w:val="18"/>
                <w:szCs w:val="18"/>
                <w:color w:val="auto"/>
              </w:rPr>
              <w:t>66,667</w:t>
            </w:r>
          </w:p>
        </w:tc>
        <w:tc>
          <w:tcPr>
            <w:tcW w:w="500" w:type="dxa"/>
            <w:vAlign w:val="bottom"/>
          </w:tcPr>
          <w:p>
            <w:pPr>
              <w:ind w:left="20"/>
              <w:spacing w:after="0"/>
              <w:rPr>
                <w:sz w:val="20"/>
                <w:szCs w:val="20"/>
                <w:color w:val="auto"/>
              </w:rPr>
            </w:pPr>
            <w:r>
              <w:rPr>
                <w:rFonts w:ascii="Arial" w:cs="Arial" w:eastAsia="Arial" w:hAnsi="Arial"/>
                <w:sz w:val="18"/>
                <w:szCs w:val="18"/>
                <w:color w:val="auto"/>
              </w:rPr>
              <w:t>(9)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4,864,691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A. Anderson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189,828</w:t>
            </w:r>
          </w:p>
        </w:tc>
        <w:tc>
          <w:tcPr>
            <w:tcW w:w="42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w w:val="99"/>
              </w:rPr>
              <w:t>(2)</w:t>
            </w:r>
          </w:p>
        </w:tc>
        <w:tc>
          <w:tcPr>
            <w:tcW w:w="1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$ 52.93</w:t>
            </w:r>
          </w:p>
        </w:tc>
        <w:tc>
          <w:tcPr>
            <w:tcW w:w="14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1/29/2026</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35,897</w:t>
            </w:r>
          </w:p>
        </w:tc>
        <w:tc>
          <w:tcPr>
            <w:tcW w:w="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2,619,404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50,063</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150,189</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(3)</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$ 53.94</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1/28/2025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35,225</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2,570,368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83,024</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83,024</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(4)</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$ 44.09</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1/23/2024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30,620</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2,234,341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34,375</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(5)</w:t>
            </w:r>
          </w:p>
        </w:tc>
        <w:tc>
          <w:tcPr>
            <w:tcW w:w="1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$ 32.80</w:t>
            </w:r>
          </w:p>
        </w:tc>
        <w:tc>
          <w:tcPr>
            <w:tcW w:w="1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1/25/2023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45,834</w:t>
            </w: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3,344,507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41,745</w:t>
            </w:r>
          </w:p>
        </w:tc>
        <w:tc>
          <w:tcPr>
            <w:tcW w:w="5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3,046,133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30, 2016 ($72.97).</w:t>
      </w:r>
    </w:p>
    <w:p>
      <w:pPr>
        <w:spacing w:after="0" w:line="117"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29, 2017, and one-third of the remaining shares become exercisable on each of January 29, 2018, January 29, 2019, and January 29, 2020.</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33</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20" w:hanging="452"/>
        <w:spacing w:after="0" w:line="24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28, 2017, and one-half of the remaining shares become exercisable on each of January 28, 2018, and January 28, 2019.</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23, 2017, and the remaining one-half become exercisable on January 23, 2018.</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Became fully exercisable on January 25, 2017.</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Vesting date is January 31, 2020.</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Vesting date is January 31, 2019.</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Vesting date is January 31, 2018.</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Vested on January 31, 2017.</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Vesting date is July 31, 2018.</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ten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2016. The Compensation Committee of the board of directors established these termination provisions to promote employee retention while offering competitive terms.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4520" w:type="dxa"/>
            <w:vAlign w:val="bottom"/>
          </w:tcPr>
          <w:p>
            <w:pPr>
              <w:jc w:val="center"/>
              <w:ind w:left="101"/>
              <w:spacing w:after="0"/>
              <w:rPr>
                <w:sz w:val="20"/>
                <w:szCs w:val="20"/>
                <w:color w:val="auto"/>
              </w:rPr>
            </w:pPr>
            <w:r>
              <w:rPr>
                <w:rFonts w:ascii="Arial" w:cs="Arial" w:eastAsia="Arial" w:hAnsi="Arial"/>
                <w:sz w:val="14"/>
                <w:szCs w:val="14"/>
                <w:b w:val="1"/>
                <w:bCs w:val="1"/>
                <w:color w:val="auto"/>
              </w:rPr>
              <w:t>Employment Termination</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20" w:type="dxa"/>
            <w:vAlign w:val="bottom"/>
          </w:tcPr>
          <w:p>
            <w:pPr>
              <w:jc w:val="center"/>
              <w:ind w:right="4"/>
              <w:spacing w:after="0"/>
              <w:rPr>
                <w:sz w:val="20"/>
                <w:szCs w:val="20"/>
                <w:color w:val="auto"/>
              </w:rPr>
            </w:pPr>
            <w:r>
              <w:rPr>
                <w:rFonts w:ascii="Arial" w:cs="Arial" w:eastAsia="Arial" w:hAnsi="Arial"/>
                <w:sz w:val="14"/>
                <w:szCs w:val="14"/>
                <w:b w:val="1"/>
                <w:bCs w:val="1"/>
                <w:color w:val="auto"/>
              </w:rPr>
              <w:t>Employment</w:t>
            </w:r>
          </w:p>
        </w:tc>
        <w:tc>
          <w:tcPr>
            <w:tcW w:w="1760" w:type="dxa"/>
            <w:vAlign w:val="bottom"/>
          </w:tcPr>
          <w:p>
            <w:pPr>
              <w:ind w:left="160"/>
              <w:spacing w:after="0"/>
              <w:rPr>
                <w:sz w:val="20"/>
                <w:szCs w:val="20"/>
                <w:color w:val="auto"/>
              </w:rPr>
            </w:pPr>
            <w:r>
              <w:rPr>
                <w:rFonts w:ascii="Arial" w:cs="Arial" w:eastAsia="Arial" w:hAnsi="Arial"/>
                <w:sz w:val="14"/>
                <w:szCs w:val="14"/>
                <w:b w:val="1"/>
                <w:bCs w:val="1"/>
                <w:color w:val="auto"/>
              </w:rPr>
              <w:t>Termination (at Least</w:t>
            </w:r>
          </w:p>
        </w:tc>
        <w:tc>
          <w:tcPr>
            <w:tcW w:w="4520" w:type="dxa"/>
            <w:vAlign w:val="bottom"/>
          </w:tcPr>
          <w:p>
            <w:pPr>
              <w:jc w:val="center"/>
              <w:ind w:left="141"/>
              <w:spacing w:after="0"/>
              <w:rPr>
                <w:sz w:val="20"/>
                <w:szCs w:val="20"/>
                <w:color w:val="auto"/>
              </w:rPr>
            </w:pPr>
            <w:r>
              <w:rPr>
                <w:rFonts w:ascii="Arial" w:cs="Arial" w:eastAsia="Arial" w:hAnsi="Arial"/>
                <w:sz w:val="14"/>
                <w:szCs w:val="14"/>
                <w:b w:val="1"/>
                <w:bCs w:val="1"/>
                <w:color w:val="auto"/>
              </w:rPr>
              <w:t>(at Least 6 Months after Grant)</w:t>
            </w:r>
          </w:p>
        </w:tc>
        <w:tc>
          <w:tcPr>
            <w:tcW w:w="1480" w:type="dxa"/>
            <w:vAlign w:val="bottom"/>
          </w:tcPr>
          <w:p>
            <w:pPr>
              <w:spacing w:after="0"/>
              <w:rPr>
                <w:sz w:val="14"/>
                <w:szCs w:val="14"/>
                <w:color w:val="auto"/>
              </w:rPr>
            </w:pPr>
          </w:p>
        </w:tc>
        <w:tc>
          <w:tcPr>
            <w:tcW w:w="1420" w:type="dxa"/>
            <w:vAlign w:val="bottom"/>
          </w:tcPr>
          <w:p>
            <w:pPr>
              <w:jc w:val="center"/>
              <w:ind w:left="6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2220" w:type="dxa"/>
            <w:vAlign w:val="bottom"/>
          </w:tcPr>
          <w:p>
            <w:pPr>
              <w:jc w:val="center"/>
              <w:ind w:right="4"/>
              <w:spacing w:after="0"/>
              <w:rPr>
                <w:sz w:val="20"/>
                <w:szCs w:val="20"/>
                <w:color w:val="auto"/>
              </w:rPr>
            </w:pPr>
            <w:r>
              <w:rPr>
                <w:rFonts w:ascii="Arial" w:cs="Arial" w:eastAsia="Arial" w:hAnsi="Arial"/>
                <w:sz w:val="14"/>
                <w:szCs w:val="14"/>
                <w:b w:val="1"/>
                <w:bCs w:val="1"/>
                <w:color w:val="auto"/>
              </w:rPr>
              <w:t>Termination Due to</w:t>
            </w:r>
          </w:p>
        </w:tc>
        <w:tc>
          <w:tcPr>
            <w:tcW w:w="1760" w:type="dxa"/>
            <w:vAlign w:val="bottom"/>
          </w:tcPr>
          <w:p>
            <w:pPr>
              <w:ind w:left="180"/>
              <w:spacing w:after="0"/>
              <w:rPr>
                <w:sz w:val="20"/>
                <w:szCs w:val="20"/>
                <w:color w:val="auto"/>
              </w:rPr>
            </w:pPr>
            <w:r>
              <w:rPr>
                <w:rFonts w:ascii="Arial" w:cs="Arial" w:eastAsia="Arial" w:hAnsi="Arial"/>
                <w:sz w:val="14"/>
                <w:szCs w:val="14"/>
                <w:b w:val="1"/>
                <w:bCs w:val="1"/>
                <w:color w:val="auto"/>
              </w:rPr>
              <w:t>6 Months after Grant)</w:t>
            </w:r>
          </w:p>
        </w:tc>
        <w:tc>
          <w:tcPr>
            <w:tcW w:w="4520" w:type="dxa"/>
            <w:vAlign w:val="bottom"/>
          </w:tcPr>
          <w:p>
            <w:pPr>
              <w:jc w:val="center"/>
              <w:ind w:left="101"/>
              <w:spacing w:after="0"/>
              <w:rPr>
                <w:sz w:val="20"/>
                <w:szCs w:val="20"/>
                <w:color w:val="auto"/>
              </w:rPr>
            </w:pPr>
            <w:r>
              <w:rPr>
                <w:rFonts w:ascii="Arial" w:cs="Arial" w:eastAsia="Arial" w:hAnsi="Arial"/>
                <w:sz w:val="14"/>
                <w:szCs w:val="14"/>
                <w:b w:val="1"/>
                <w:bCs w:val="1"/>
                <w:color w:val="auto"/>
              </w:rPr>
              <w:t>with 20 Years of Credited</w:t>
            </w:r>
          </w:p>
        </w:tc>
        <w:tc>
          <w:tcPr>
            <w:tcW w:w="1480" w:type="dxa"/>
            <w:vAlign w:val="bottom"/>
          </w:tcPr>
          <w:p>
            <w:pPr>
              <w:jc w:val="center"/>
              <w:ind w:left="4"/>
              <w:spacing w:after="0"/>
              <w:rPr>
                <w:sz w:val="20"/>
                <w:szCs w:val="20"/>
                <w:color w:val="auto"/>
              </w:rPr>
            </w:pPr>
            <w:r>
              <w:rPr>
                <w:rFonts w:ascii="Arial" w:cs="Arial" w:eastAsia="Arial" w:hAnsi="Arial"/>
                <w:sz w:val="14"/>
                <w:szCs w:val="14"/>
                <w:b w:val="1"/>
                <w:bCs w:val="1"/>
                <w:color w:val="auto"/>
              </w:rPr>
              <w:t>Employment</w:t>
            </w:r>
          </w:p>
        </w:tc>
        <w:tc>
          <w:tcPr>
            <w:tcW w:w="1420" w:type="dxa"/>
            <w:vAlign w:val="bottom"/>
          </w:tcPr>
          <w:p>
            <w:pPr>
              <w:jc w:val="center"/>
              <w:ind w:left="60"/>
              <w:spacing w:after="0"/>
              <w:rPr>
                <w:sz w:val="20"/>
                <w:szCs w:val="20"/>
                <w:color w:val="auto"/>
              </w:rPr>
            </w:pPr>
            <w:r>
              <w:rPr>
                <w:rFonts w:ascii="Arial" w:cs="Arial" w:eastAsia="Arial" w:hAnsi="Arial"/>
                <w:sz w:val="14"/>
                <w:szCs w:val="14"/>
                <w:b w:val="1"/>
                <w:bCs w:val="1"/>
                <w:color w:val="auto"/>
              </w:rPr>
              <w:t>Circumstances</w:t>
            </w:r>
          </w:p>
        </w:tc>
      </w:tr>
      <w:tr>
        <w:trPr>
          <w:trHeight w:val="162"/>
        </w:trPr>
        <w:tc>
          <w:tcPr>
            <w:tcW w:w="20" w:type="dxa"/>
            <w:vAlign w:val="bottom"/>
          </w:tcPr>
          <w:p>
            <w:pPr>
              <w:spacing w:after="0"/>
              <w:rPr>
                <w:sz w:val="14"/>
                <w:szCs w:val="14"/>
                <w:color w:val="auto"/>
              </w:rPr>
            </w:pPr>
          </w:p>
        </w:tc>
        <w:tc>
          <w:tcPr>
            <w:tcW w:w="2220" w:type="dxa"/>
            <w:vAlign w:val="bottom"/>
          </w:tcPr>
          <w:p>
            <w:pPr>
              <w:jc w:val="center"/>
              <w:ind w:right="4"/>
              <w:spacing w:after="0"/>
              <w:rPr>
                <w:sz w:val="20"/>
                <w:szCs w:val="20"/>
                <w:color w:val="auto"/>
              </w:rPr>
            </w:pPr>
            <w:r>
              <w:rPr>
                <w:rFonts w:ascii="Arial" w:cs="Arial" w:eastAsia="Arial" w:hAnsi="Arial"/>
                <w:sz w:val="14"/>
                <w:szCs w:val="14"/>
                <w:b w:val="1"/>
                <w:bCs w:val="1"/>
                <w:color w:val="auto"/>
              </w:rPr>
              <w:t>Death or Permanent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When Retirement</w:t>
            </w:r>
          </w:p>
        </w:tc>
        <w:tc>
          <w:tcPr>
            <w:tcW w:w="4520" w:type="dxa"/>
            <w:vAlign w:val="bottom"/>
          </w:tcPr>
          <w:p>
            <w:pPr>
              <w:jc w:val="center"/>
              <w:ind w:left="101"/>
              <w:spacing w:after="0"/>
              <w:rPr>
                <w:sz w:val="20"/>
                <w:szCs w:val="20"/>
                <w:color w:val="auto"/>
              </w:rPr>
            </w:pPr>
            <w:r>
              <w:rPr>
                <w:rFonts w:ascii="Arial" w:cs="Arial" w:eastAsia="Arial" w:hAnsi="Arial"/>
                <w:sz w:val="14"/>
                <w:szCs w:val="14"/>
                <w:b w:val="1"/>
                <w:bCs w:val="1"/>
                <w:color w:val="auto"/>
              </w:rPr>
              <w:t>Service, but Not Retirement</w:t>
            </w:r>
          </w:p>
        </w:tc>
        <w:tc>
          <w:tcPr>
            <w:tcW w:w="1480" w:type="dxa"/>
            <w:vAlign w:val="bottom"/>
          </w:tcPr>
          <w:p>
            <w:pPr>
              <w:jc w:val="center"/>
              <w:ind w:left="4"/>
              <w:spacing w:after="0"/>
              <w:rPr>
                <w:sz w:val="20"/>
                <w:szCs w:val="20"/>
                <w:color w:val="auto"/>
              </w:rPr>
            </w:pPr>
            <w:r>
              <w:rPr>
                <w:rFonts w:ascii="Arial" w:cs="Arial" w:eastAsia="Arial" w:hAnsi="Arial"/>
                <w:sz w:val="14"/>
                <w:szCs w:val="14"/>
                <w:b w:val="1"/>
                <w:bCs w:val="1"/>
                <w:color w:val="auto"/>
              </w:rPr>
              <w:t>Termination for</w:t>
            </w:r>
          </w:p>
        </w:tc>
        <w:tc>
          <w:tcPr>
            <w:tcW w:w="1420" w:type="dxa"/>
            <w:vAlign w:val="bottom"/>
          </w:tcPr>
          <w:p>
            <w:pPr>
              <w:jc w:val="center"/>
              <w:ind w:left="60"/>
              <w:spacing w:after="0"/>
              <w:rPr>
                <w:sz w:val="20"/>
                <w:szCs w:val="20"/>
                <w:color w:val="auto"/>
              </w:rPr>
            </w:pPr>
            <w:r>
              <w:rPr>
                <w:rFonts w:ascii="Arial" w:cs="Arial" w:eastAsia="Arial" w:hAnsi="Arial"/>
                <w:sz w:val="14"/>
                <w:szCs w:val="14"/>
                <w:b w:val="1"/>
                <w:bCs w:val="1"/>
                <w:color w:val="auto"/>
              </w:rPr>
              <w:t>of Employment</w:t>
            </w:r>
          </w:p>
        </w:tc>
      </w:tr>
      <w:tr>
        <w:trPr>
          <w:trHeight w:val="189"/>
        </w:trPr>
        <w:tc>
          <w:tcPr>
            <w:tcW w:w="20" w:type="dxa"/>
            <w:vAlign w:val="bottom"/>
          </w:tcPr>
          <w:p>
            <w:pPr>
              <w:spacing w:after="0"/>
              <w:rPr>
                <w:sz w:val="16"/>
                <w:szCs w:val="16"/>
                <w:color w:val="auto"/>
              </w:rPr>
            </w:pPr>
          </w:p>
        </w:tc>
        <w:tc>
          <w:tcPr>
            <w:tcW w:w="22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Disability</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Eligible*</w:t>
            </w:r>
          </w:p>
        </w:tc>
        <w:tc>
          <w:tcPr>
            <w:tcW w:w="452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Eligible**</w:t>
            </w:r>
          </w:p>
        </w:tc>
        <w:tc>
          <w:tcPr>
            <w:tcW w:w="148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Cause</w:t>
            </w:r>
          </w:p>
        </w:tc>
        <w:tc>
          <w:tcPr>
            <w:tcW w:w="142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99"/>
              </w:rPr>
              <w:t>Termination</w:t>
            </w:r>
          </w:p>
        </w:tc>
      </w:tr>
      <w:tr>
        <w:trPr>
          <w:trHeight w:val="195"/>
        </w:trPr>
        <w:tc>
          <w:tcPr>
            <w:tcW w:w="20" w:type="dxa"/>
            <w:vAlign w:val="bottom"/>
          </w:tcPr>
          <w:p>
            <w:pPr>
              <w:spacing w:after="0"/>
              <w:rPr>
                <w:sz w:val="16"/>
                <w:szCs w:val="16"/>
                <w:color w:val="auto"/>
              </w:rPr>
            </w:pPr>
          </w:p>
        </w:tc>
        <w:tc>
          <w:tcPr>
            <w:tcW w:w="2220" w:type="dxa"/>
            <w:vAlign w:val="bottom"/>
          </w:tcPr>
          <w:p>
            <w:pPr>
              <w:spacing w:after="0" w:line="195" w:lineRule="exact"/>
              <w:rPr>
                <w:sz w:val="20"/>
                <w:szCs w:val="20"/>
                <w:color w:val="auto"/>
              </w:rPr>
            </w:pPr>
            <w:r>
              <w:rPr>
                <w:rFonts w:ascii="Arial" w:cs="Arial" w:eastAsia="Arial" w:hAnsi="Arial"/>
                <w:sz w:val="18"/>
                <w:szCs w:val="18"/>
                <w:color w:val="auto"/>
              </w:rPr>
              <w:t>Vesting continues; option</w:t>
            </w:r>
          </w:p>
        </w:tc>
        <w:tc>
          <w:tcPr>
            <w:tcW w:w="1760" w:type="dxa"/>
            <w:vAlign w:val="bottom"/>
          </w:tcPr>
          <w:p>
            <w:pPr>
              <w:ind w:left="140"/>
              <w:spacing w:after="0" w:line="195" w:lineRule="exact"/>
              <w:rPr>
                <w:sz w:val="20"/>
                <w:szCs w:val="20"/>
                <w:color w:val="auto"/>
              </w:rPr>
            </w:pPr>
            <w:r>
              <w:rPr>
                <w:rFonts w:ascii="Arial" w:cs="Arial" w:eastAsia="Arial" w:hAnsi="Arial"/>
                <w:sz w:val="18"/>
                <w:szCs w:val="18"/>
                <w:color w:val="auto"/>
              </w:rPr>
              <w:t>Vesting continues;</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Option remains in effect to the end of</w:t>
            </w:r>
          </w:p>
        </w:tc>
        <w:tc>
          <w:tcPr>
            <w:tcW w:w="1480" w:type="dxa"/>
            <w:vAlign w:val="bottom"/>
          </w:tcPr>
          <w:p>
            <w:pPr>
              <w:ind w:left="160"/>
              <w:spacing w:after="0" w:line="195" w:lineRule="exact"/>
              <w:rPr>
                <w:sz w:val="20"/>
                <w:szCs w:val="20"/>
                <w:color w:val="auto"/>
              </w:rPr>
            </w:pPr>
            <w:r>
              <w:rPr>
                <w:rFonts w:ascii="Arial" w:cs="Arial" w:eastAsia="Arial" w:hAnsi="Arial"/>
                <w:sz w:val="18"/>
                <w:szCs w:val="18"/>
                <w:color w:val="auto"/>
              </w:rPr>
              <w:t>Option cancels</w:t>
            </w:r>
          </w:p>
        </w:tc>
        <w:tc>
          <w:tcPr>
            <w:tcW w:w="1420" w:type="dxa"/>
            <w:vAlign w:val="bottom"/>
          </w:tcPr>
          <w:p>
            <w:pPr>
              <w:ind w:left="140"/>
              <w:spacing w:after="0" w:line="195" w:lineRule="exact"/>
              <w:rPr>
                <w:sz w:val="20"/>
                <w:szCs w:val="20"/>
                <w:color w:val="auto"/>
              </w:rPr>
            </w:pPr>
            <w:r>
              <w:rPr>
                <w:rFonts w:ascii="Arial" w:cs="Arial" w:eastAsia="Arial" w:hAnsi="Arial"/>
                <w:sz w:val="18"/>
                <w:szCs w:val="18"/>
                <w:color w:val="auto"/>
              </w:rPr>
              <w:t>Option remains</w:t>
            </w:r>
          </w:p>
        </w:tc>
      </w:tr>
      <w:tr>
        <w:trPr>
          <w:trHeight w:val="203"/>
        </w:trPr>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remains in effect to end of</w:t>
            </w:r>
          </w:p>
        </w:tc>
        <w:tc>
          <w:tcPr>
            <w:tcW w:w="1760" w:type="dxa"/>
            <w:vAlign w:val="bottom"/>
          </w:tcPr>
          <w:p>
            <w:pPr>
              <w:ind w:left="140"/>
              <w:spacing w:after="0" w:line="202" w:lineRule="exact"/>
              <w:rPr>
                <w:sz w:val="20"/>
                <w:szCs w:val="20"/>
                <w:color w:val="auto"/>
              </w:rPr>
            </w:pPr>
            <w:r>
              <w:rPr>
                <w:rFonts w:ascii="Arial" w:cs="Arial" w:eastAsia="Arial" w:hAnsi="Arial"/>
                <w:sz w:val="18"/>
                <w:szCs w:val="18"/>
                <w:color w:val="auto"/>
              </w:rPr>
              <w:t>option remains</w:t>
            </w:r>
          </w:p>
        </w:tc>
        <w:tc>
          <w:tcPr>
            <w:tcW w:w="4520" w:type="dxa"/>
            <w:vAlign w:val="bottom"/>
          </w:tcPr>
          <w:p>
            <w:pPr>
              <w:ind w:left="120"/>
              <w:spacing w:after="0" w:line="202" w:lineRule="exact"/>
              <w:rPr>
                <w:sz w:val="20"/>
                <w:szCs w:val="20"/>
                <w:color w:val="auto"/>
              </w:rPr>
            </w:pPr>
            <w:r>
              <w:rPr>
                <w:rFonts w:ascii="Arial" w:cs="Arial" w:eastAsia="Arial" w:hAnsi="Arial"/>
                <w:sz w:val="18"/>
                <w:szCs w:val="18"/>
                <w:color w:val="auto"/>
              </w:rPr>
              <w:t>the term; vesting does not continue after employment</w:t>
            </w:r>
          </w:p>
        </w:tc>
        <w:tc>
          <w:tcPr>
            <w:tcW w:w="1480" w:type="dxa"/>
            <w:vAlign w:val="bottom"/>
          </w:tcPr>
          <w:p>
            <w:pPr>
              <w:spacing w:after="0"/>
              <w:rPr>
                <w:sz w:val="17"/>
                <w:szCs w:val="17"/>
                <w:color w:val="auto"/>
              </w:rPr>
            </w:pPr>
          </w:p>
        </w:tc>
        <w:tc>
          <w:tcPr>
            <w:tcW w:w="1420" w:type="dxa"/>
            <w:vAlign w:val="bottom"/>
          </w:tcPr>
          <w:p>
            <w:pPr>
              <w:ind w:left="140"/>
              <w:spacing w:after="0" w:line="202" w:lineRule="exact"/>
              <w:rPr>
                <w:sz w:val="20"/>
                <w:szCs w:val="20"/>
                <w:color w:val="auto"/>
              </w:rPr>
            </w:pPr>
            <w:r>
              <w:rPr>
                <w:rFonts w:ascii="Arial" w:cs="Arial" w:eastAsia="Arial" w:hAnsi="Arial"/>
                <w:sz w:val="18"/>
                <w:szCs w:val="18"/>
                <w:color w:val="auto"/>
              </w:rPr>
              <w:t>exercisable for</w:t>
            </w:r>
          </w:p>
        </w:tc>
      </w:tr>
      <w:tr>
        <w:trPr>
          <w:trHeight w:val="203"/>
        </w:trPr>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term</w:t>
            </w:r>
          </w:p>
        </w:tc>
        <w:tc>
          <w:tcPr>
            <w:tcW w:w="1760" w:type="dxa"/>
            <w:vAlign w:val="bottom"/>
          </w:tcPr>
          <w:p>
            <w:pPr>
              <w:ind w:left="140"/>
              <w:spacing w:after="0" w:line="202" w:lineRule="exact"/>
              <w:rPr>
                <w:sz w:val="20"/>
                <w:szCs w:val="20"/>
                <w:color w:val="auto"/>
              </w:rPr>
            </w:pPr>
            <w:r>
              <w:rPr>
                <w:rFonts w:ascii="Arial" w:cs="Arial" w:eastAsia="Arial" w:hAnsi="Arial"/>
                <w:sz w:val="18"/>
                <w:szCs w:val="18"/>
                <w:color w:val="auto"/>
              </w:rPr>
              <w:t>in effect to end</w:t>
            </w:r>
          </w:p>
        </w:tc>
        <w:tc>
          <w:tcPr>
            <w:tcW w:w="4520" w:type="dxa"/>
            <w:vAlign w:val="bottom"/>
          </w:tcPr>
          <w:p>
            <w:pPr>
              <w:ind w:left="120"/>
              <w:spacing w:after="0" w:line="202" w:lineRule="exact"/>
              <w:rPr>
                <w:sz w:val="20"/>
                <w:szCs w:val="20"/>
                <w:color w:val="auto"/>
              </w:rPr>
            </w:pPr>
            <w:r>
              <w:rPr>
                <w:rFonts w:ascii="Arial" w:cs="Arial" w:eastAsia="Arial" w:hAnsi="Arial"/>
                <w:sz w:val="18"/>
                <w:szCs w:val="18"/>
                <w:color w:val="auto"/>
              </w:rPr>
              <w:t>termination</w:t>
            </w:r>
          </w:p>
        </w:tc>
        <w:tc>
          <w:tcPr>
            <w:tcW w:w="1480" w:type="dxa"/>
            <w:vAlign w:val="bottom"/>
          </w:tcPr>
          <w:p>
            <w:pPr>
              <w:spacing w:after="0"/>
              <w:rPr>
                <w:sz w:val="17"/>
                <w:szCs w:val="17"/>
                <w:color w:val="auto"/>
              </w:rPr>
            </w:pPr>
          </w:p>
        </w:tc>
        <w:tc>
          <w:tcPr>
            <w:tcW w:w="1420" w:type="dxa"/>
            <w:vAlign w:val="bottom"/>
          </w:tcPr>
          <w:p>
            <w:pPr>
              <w:ind w:left="140"/>
              <w:spacing w:after="0" w:line="202" w:lineRule="exact"/>
              <w:rPr>
                <w:sz w:val="20"/>
                <w:szCs w:val="20"/>
                <w:color w:val="auto"/>
              </w:rPr>
            </w:pPr>
            <w:r>
              <w:rPr>
                <w:rFonts w:ascii="Arial" w:cs="Arial" w:eastAsia="Arial" w:hAnsi="Arial"/>
                <w:sz w:val="18"/>
                <w:szCs w:val="18"/>
                <w:color w:val="auto"/>
              </w:rPr>
              <w:t>30 days</w:t>
            </w:r>
          </w:p>
        </w:tc>
      </w:tr>
      <w:tr>
        <w:trPr>
          <w:trHeight w:val="21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Arial" w:cs="Arial" w:eastAsia="Arial" w:hAnsi="Arial"/>
                <w:sz w:val="18"/>
                <w:szCs w:val="18"/>
                <w:color w:val="auto"/>
              </w:rPr>
              <w:t>of term</w:t>
            </w:r>
          </w:p>
        </w:tc>
        <w:tc>
          <w:tcPr>
            <w:tcW w:w="4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107" w:lineRule="exact"/>
        <w:rPr>
          <w:sz w:val="20"/>
          <w:szCs w:val="20"/>
          <w:color w:val="auto"/>
        </w:rPr>
      </w:pPr>
    </w:p>
    <w:p>
      <w:pPr>
        <w:ind w:left="220" w:right="80" w:hanging="212"/>
        <w:spacing w:after="0" w:line="246"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Defined for purposes of equity awards made after 2012 as at least age 55 with 10 or more years of TI service or at least age 65. For awards made before 2013, the definition of normal or early retirement eligibility in the relevant pension plan applies (see “2016 pension benefits”).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This provision is not applicable to grants made after 2012.</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w:t>
      </w:r>
    </w:p>
    <w:p>
      <w:pPr>
        <w:spacing w:after="0" w:line="6" w:lineRule="exact"/>
        <w:rPr>
          <w:sz w:val="20"/>
          <w:szCs w:val="20"/>
          <w:color w:val="auto"/>
        </w:rPr>
      </w:pPr>
    </w:p>
    <w:p>
      <w:pPr>
        <w:ind w:right="560" w:firstLine="8"/>
        <w:spacing w:after="0"/>
        <w:tabs>
          <w:tab w:leader="none" w:pos="2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130"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“Stock Awards” column in the table of outstanding equity awards at fiscal year-end 2016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2016.</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080" w:type="dxa"/>
            <w:vAlign w:val="bottom"/>
          </w:tcPr>
          <w:p>
            <w:pPr>
              <w:jc w:val="center"/>
              <w:ind w:right="268"/>
              <w:spacing w:after="0"/>
              <w:rPr>
                <w:sz w:val="20"/>
                <w:szCs w:val="20"/>
                <w:color w:val="auto"/>
              </w:rPr>
            </w:pPr>
            <w:r>
              <w:rPr>
                <w:rFonts w:ascii="Arial" w:cs="Arial" w:eastAsia="Arial" w:hAnsi="Arial"/>
                <w:sz w:val="14"/>
                <w:szCs w:val="14"/>
                <w:b w:val="1"/>
                <w:bCs w:val="1"/>
                <w:color w:val="auto"/>
              </w:rPr>
              <w:t>Employment Termination</w:t>
            </w:r>
          </w:p>
        </w:tc>
        <w:tc>
          <w:tcPr>
            <w:tcW w:w="2520" w:type="dxa"/>
            <w:vAlign w:val="bottom"/>
          </w:tcPr>
          <w:p>
            <w:pPr>
              <w:jc w:val="center"/>
              <w:ind w:right="28"/>
              <w:spacing w:after="0"/>
              <w:rPr>
                <w:sz w:val="20"/>
                <w:szCs w:val="20"/>
                <w:color w:val="auto"/>
              </w:rPr>
            </w:pPr>
            <w:r>
              <w:rPr>
                <w:rFonts w:ascii="Arial" w:cs="Arial" w:eastAsia="Arial" w:hAnsi="Arial"/>
                <w:sz w:val="14"/>
                <w:szCs w:val="14"/>
                <w:b w:val="1"/>
                <w:bCs w:val="1"/>
                <w:color w:val="auto"/>
              </w:rPr>
              <w:t>Employment</w:t>
            </w:r>
          </w:p>
        </w:tc>
        <w:tc>
          <w:tcPr>
            <w:tcW w:w="2260" w:type="dxa"/>
            <w:vAlign w:val="bottom"/>
          </w:tcPr>
          <w:p>
            <w:pPr>
              <w:jc w:val="center"/>
              <w:ind w:left="728"/>
              <w:spacing w:after="0"/>
              <w:rPr>
                <w:sz w:val="20"/>
                <w:szCs w:val="20"/>
                <w:color w:val="auto"/>
              </w:rPr>
            </w:pPr>
            <w:r>
              <w:rPr>
                <w:rFonts w:ascii="Arial" w:cs="Arial" w:eastAsia="Arial" w:hAnsi="Arial"/>
                <w:sz w:val="14"/>
                <w:szCs w:val="14"/>
                <w:b w:val="1"/>
                <w:bCs w:val="1"/>
                <w:color w:val="auto"/>
              </w:rPr>
              <w:t>Other Circumstances</w:t>
            </w:r>
          </w:p>
        </w:tc>
      </w:tr>
      <w:tr>
        <w:trPr>
          <w:trHeight w:val="162"/>
        </w:trPr>
        <w:tc>
          <w:tcPr>
            <w:tcW w:w="2860" w:type="dxa"/>
            <w:vAlign w:val="bottom"/>
          </w:tcPr>
          <w:p>
            <w:pPr>
              <w:jc w:val="center"/>
              <w:ind w:right="268"/>
              <w:spacing w:after="0"/>
              <w:rPr>
                <w:sz w:val="20"/>
                <w:szCs w:val="20"/>
                <w:color w:val="auto"/>
              </w:rPr>
            </w:pPr>
            <w:r>
              <w:rPr>
                <w:rFonts w:ascii="Arial" w:cs="Arial" w:eastAsia="Arial" w:hAnsi="Arial"/>
                <w:sz w:val="14"/>
                <w:szCs w:val="14"/>
                <w:b w:val="1"/>
                <w:bCs w:val="1"/>
                <w:color w:val="auto"/>
              </w:rPr>
              <w:t>Employment Termination</w:t>
            </w:r>
          </w:p>
        </w:tc>
        <w:tc>
          <w:tcPr>
            <w:tcW w:w="3080" w:type="dxa"/>
            <w:vAlign w:val="bottom"/>
          </w:tcPr>
          <w:p>
            <w:pPr>
              <w:jc w:val="center"/>
              <w:ind w:right="268"/>
              <w:spacing w:after="0"/>
              <w:rPr>
                <w:sz w:val="20"/>
                <w:szCs w:val="20"/>
                <w:color w:val="auto"/>
              </w:rPr>
            </w:pPr>
            <w:r>
              <w:rPr>
                <w:rFonts w:ascii="Arial" w:cs="Arial" w:eastAsia="Arial" w:hAnsi="Arial"/>
                <w:sz w:val="14"/>
                <w:szCs w:val="14"/>
                <w:b w:val="1"/>
                <w:bCs w:val="1"/>
                <w:color w:val="auto"/>
              </w:rPr>
              <w:t>(at Least 6 Months after Grant)</w:t>
            </w:r>
          </w:p>
        </w:tc>
        <w:tc>
          <w:tcPr>
            <w:tcW w:w="2520" w:type="dxa"/>
            <w:vAlign w:val="bottom"/>
          </w:tcPr>
          <w:p>
            <w:pPr>
              <w:jc w:val="center"/>
              <w:ind w:right="48"/>
              <w:spacing w:after="0"/>
              <w:rPr>
                <w:sz w:val="20"/>
                <w:szCs w:val="20"/>
                <w:color w:val="auto"/>
              </w:rPr>
            </w:pPr>
            <w:r>
              <w:rPr>
                <w:rFonts w:ascii="Arial" w:cs="Arial" w:eastAsia="Arial" w:hAnsi="Arial"/>
                <w:sz w:val="14"/>
                <w:szCs w:val="14"/>
                <w:b w:val="1"/>
                <w:bCs w:val="1"/>
                <w:color w:val="auto"/>
              </w:rPr>
              <w:t>Termination for</w:t>
            </w:r>
          </w:p>
        </w:tc>
        <w:tc>
          <w:tcPr>
            <w:tcW w:w="2260" w:type="dxa"/>
            <w:vAlign w:val="bottom"/>
          </w:tcPr>
          <w:p>
            <w:pPr>
              <w:jc w:val="center"/>
              <w:ind w:left="728"/>
              <w:spacing w:after="0"/>
              <w:rPr>
                <w:sz w:val="20"/>
                <w:szCs w:val="20"/>
                <w:color w:val="auto"/>
              </w:rPr>
            </w:pPr>
            <w:r>
              <w:rPr>
                <w:rFonts w:ascii="Arial" w:cs="Arial" w:eastAsia="Arial" w:hAnsi="Arial"/>
                <w:sz w:val="14"/>
                <w:szCs w:val="14"/>
                <w:b w:val="1"/>
                <w:bCs w:val="1"/>
                <w:color w:val="auto"/>
              </w:rPr>
              <w:t>of Employment</w:t>
            </w:r>
          </w:p>
        </w:tc>
      </w:tr>
      <w:tr>
        <w:trPr>
          <w:trHeight w:val="201"/>
        </w:trPr>
        <w:tc>
          <w:tcPr>
            <w:tcW w:w="2860" w:type="dxa"/>
            <w:vAlign w:val="bottom"/>
          </w:tcPr>
          <w:p>
            <w:pPr>
              <w:jc w:val="center"/>
              <w:ind w:right="268"/>
              <w:spacing w:after="0"/>
              <w:rPr>
                <w:sz w:val="20"/>
                <w:szCs w:val="20"/>
                <w:color w:val="auto"/>
              </w:rPr>
            </w:pPr>
            <w:r>
              <w:rPr>
                <w:rFonts w:ascii="Arial" w:cs="Arial" w:eastAsia="Arial" w:hAnsi="Arial"/>
                <w:sz w:val="14"/>
                <w:szCs w:val="14"/>
                <w:b w:val="1"/>
                <w:bCs w:val="1"/>
                <w:color w:val="auto"/>
              </w:rPr>
              <w:t>Due to Death or Permanent Disability</w:t>
            </w:r>
          </w:p>
        </w:tc>
        <w:tc>
          <w:tcPr>
            <w:tcW w:w="3080" w:type="dxa"/>
            <w:vAlign w:val="bottom"/>
          </w:tcPr>
          <w:p>
            <w:pPr>
              <w:jc w:val="center"/>
              <w:ind w:right="268"/>
              <w:spacing w:after="0"/>
              <w:rPr>
                <w:sz w:val="20"/>
                <w:szCs w:val="20"/>
                <w:color w:val="auto"/>
              </w:rPr>
            </w:pPr>
            <w:r>
              <w:rPr>
                <w:rFonts w:ascii="Arial" w:cs="Arial" w:eastAsia="Arial" w:hAnsi="Arial"/>
                <w:sz w:val="14"/>
                <w:szCs w:val="14"/>
                <w:b w:val="1"/>
                <w:bCs w:val="1"/>
                <w:color w:val="auto"/>
              </w:rPr>
              <w:t>When Retirement Eligible</w:t>
            </w:r>
          </w:p>
        </w:tc>
        <w:tc>
          <w:tcPr>
            <w:tcW w:w="2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Cause</w:t>
            </w:r>
          </w:p>
        </w:tc>
        <w:tc>
          <w:tcPr>
            <w:tcW w:w="2260" w:type="dxa"/>
            <w:vAlign w:val="bottom"/>
          </w:tcPr>
          <w:p>
            <w:pPr>
              <w:jc w:val="center"/>
              <w:ind w:left="728"/>
              <w:spacing w:after="0"/>
              <w:rPr>
                <w:sz w:val="20"/>
                <w:szCs w:val="20"/>
                <w:color w:val="auto"/>
              </w:rPr>
            </w:pPr>
            <w:r>
              <w:rPr>
                <w:rFonts w:ascii="Arial" w:cs="Arial" w:eastAsia="Arial" w:hAnsi="Arial"/>
                <w:sz w:val="14"/>
                <w:szCs w:val="14"/>
                <w:b w:val="1"/>
                <w:bCs w:val="1"/>
                <w:color w:val="auto"/>
              </w:rPr>
              <w:t>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jc w:val="both"/>
        <w:ind w:right="200"/>
        <w:spacing w:after="0"/>
        <w:rPr>
          <w:sz w:val="20"/>
          <w:szCs w:val="20"/>
          <w:color w:val="auto"/>
        </w:rPr>
      </w:pPr>
      <w:r>
        <w:rPr>
          <w:rFonts w:ascii="Arial" w:cs="Arial" w:eastAsia="Arial" w:hAnsi="Arial"/>
          <w:sz w:val="18"/>
          <w:szCs w:val="18"/>
          <w:color w:val="auto"/>
        </w:rPr>
        <w:t>Vesting continues; shares are paid at the scheduled vesting date</w:t>
      </w:r>
    </w:p>
    <w:p>
      <w:pPr>
        <w:spacing w:after="0" w:line="20" w:lineRule="exact"/>
        <w:rPr>
          <w:sz w:val="20"/>
          <w:szCs w:val="20"/>
          <w:color w:val="auto"/>
        </w:rPr>
      </w:pPr>
      <w:r>
        <w:rPr>
          <w:sz w:val="20"/>
          <w:szCs w:val="20"/>
          <w:color w:val="auto"/>
        </w:rPr>
        <w:br w:type="column"/>
      </w:r>
    </w:p>
    <w:p>
      <w:pPr>
        <w:spacing w:after="0"/>
        <w:tabs>
          <w:tab w:leader="none" w:pos="2960" w:val="left"/>
          <w:tab w:leader="none" w:pos="5800" w:val="left"/>
        </w:tabs>
        <w:rPr>
          <w:sz w:val="20"/>
          <w:szCs w:val="20"/>
          <w:color w:val="auto"/>
        </w:rPr>
      </w:pPr>
      <w:r>
        <w:rPr>
          <w:rFonts w:ascii="Arial" w:cs="Arial" w:eastAsia="Arial" w:hAnsi="Arial"/>
          <w:sz w:val="18"/>
          <w:szCs w:val="18"/>
          <w:color w:val="auto"/>
        </w:rPr>
        <w:t>For grants made after 2012: Grant</w:t>
        <w:tab/>
        <w:t>Grant cancels; no shares</w:t>
      </w:r>
      <w:r>
        <w:rPr>
          <w:sz w:val="20"/>
          <w:szCs w:val="20"/>
          <w:color w:val="auto"/>
        </w:rPr>
        <w:tab/>
      </w:r>
      <w:r>
        <w:rPr>
          <w:rFonts w:ascii="Arial" w:cs="Arial" w:eastAsia="Arial" w:hAnsi="Arial"/>
          <w:sz w:val="17"/>
          <w:szCs w:val="17"/>
          <w:color w:val="auto"/>
        </w:rPr>
        <w:t>Grant cancels; no shares</w:t>
      </w:r>
    </w:p>
    <w:p>
      <w:pPr>
        <w:spacing w:after="0" w:line="235" w:lineRule="auto"/>
        <w:tabs>
          <w:tab w:leader="none" w:pos="2960" w:val="left"/>
          <w:tab w:leader="none" w:pos="5800" w:val="left"/>
        </w:tabs>
        <w:rPr>
          <w:sz w:val="20"/>
          <w:szCs w:val="20"/>
          <w:color w:val="auto"/>
        </w:rPr>
      </w:pPr>
      <w:r>
        <w:rPr>
          <w:rFonts w:ascii="Arial" w:cs="Arial" w:eastAsia="Arial" w:hAnsi="Arial"/>
          <w:sz w:val="18"/>
          <w:szCs w:val="18"/>
          <w:color w:val="auto"/>
        </w:rPr>
        <w:t>stays in effect and pays out</w:t>
      </w:r>
      <w:r>
        <w:rPr>
          <w:sz w:val="20"/>
          <w:szCs w:val="20"/>
          <w:color w:val="auto"/>
        </w:rPr>
        <w:tab/>
      </w:r>
      <w:r>
        <w:rPr>
          <w:rFonts w:ascii="Arial" w:cs="Arial" w:eastAsia="Arial" w:hAnsi="Arial"/>
          <w:sz w:val="18"/>
          <w:szCs w:val="18"/>
          <w:color w:val="auto"/>
        </w:rPr>
        <w:t>are issued</w:t>
      </w:r>
      <w:r>
        <w:rPr>
          <w:sz w:val="20"/>
          <w:szCs w:val="20"/>
          <w:color w:val="auto"/>
        </w:rPr>
        <w:tab/>
      </w:r>
      <w:r>
        <w:rPr>
          <w:rFonts w:ascii="Arial" w:cs="Arial" w:eastAsia="Arial" w:hAnsi="Arial"/>
          <w:sz w:val="18"/>
          <w:szCs w:val="18"/>
          <w:color w:val="auto"/>
        </w:rPr>
        <w:t>are issued</w:t>
      </w:r>
    </w:p>
    <w:p>
      <w:pPr>
        <w:spacing w:after="0" w:line="235" w:lineRule="auto"/>
        <w:rPr>
          <w:sz w:val="20"/>
          <w:szCs w:val="20"/>
          <w:color w:val="auto"/>
        </w:rPr>
      </w:pPr>
      <w:r>
        <w:rPr>
          <w:rFonts w:ascii="Arial" w:cs="Arial" w:eastAsia="Arial" w:hAnsi="Arial"/>
          <w:sz w:val="18"/>
          <w:szCs w:val="18"/>
          <w:color w:val="auto"/>
        </w:rPr>
        <w:t>shares at the scheduled vesting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2260" w:space="720"/>
            <w:col w:w="8440"/>
          </w:cols>
          <w:pgMar w:left="240" w:top="459" w:right="239" w:bottom="1440" w:gutter="0" w:footer="0" w:header="0"/>
          <w:type w:val="continuous"/>
        </w:sectPr>
      </w:pPr>
    </w:p>
    <w:p>
      <w:pPr>
        <w:spacing w:after="0" w:line="1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the “Stock Awards” shown in the outstanding equity awards at fiscal year-end 2016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2016 non-qualified deferred compensation table.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2016 option exercises and stock vested</w:t>
      </w:r>
    </w:p>
    <w:p>
      <w:pPr>
        <w:spacing w:after="0" w:line="2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2016 and the value of any RSUs that vested in 2016.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00" w:type="dxa"/>
            <w:vAlign w:val="bottom"/>
          </w:tcPr>
          <w:p>
            <w:pPr>
              <w:jc w:val="right"/>
              <w:ind w:right="848"/>
              <w:spacing w:after="0" w:line="143"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tcPr>
          <w:p>
            <w:pPr>
              <w:jc w:val="center"/>
              <w:ind w:right="418"/>
              <w:spacing w:after="0" w:line="14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2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tcPr>
          <w:p>
            <w:pPr>
              <w:jc w:val="right"/>
              <w:ind w:right="648"/>
              <w:spacing w:after="0"/>
              <w:rPr>
                <w:sz w:val="20"/>
                <w:szCs w:val="20"/>
                <w:color w:val="auto"/>
              </w:rPr>
            </w:pPr>
            <w:r>
              <w:rPr>
                <w:rFonts w:ascii="Arial" w:cs="Arial" w:eastAsia="Arial" w:hAnsi="Arial"/>
                <w:sz w:val="14"/>
                <w:szCs w:val="14"/>
                <w:b w:val="1"/>
                <w:bCs w:val="1"/>
                <w:color w:val="auto"/>
              </w:rPr>
              <w:t>Shares Acquired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Realized</w:t>
            </w:r>
          </w:p>
        </w:tc>
        <w:tc>
          <w:tcPr>
            <w:tcW w:w="2100" w:type="dxa"/>
            <w:vAlign w:val="bottom"/>
          </w:tcPr>
          <w:p>
            <w:pPr>
              <w:jc w:val="center"/>
              <w:ind w:right="398"/>
              <w:spacing w:after="0"/>
              <w:rPr>
                <w:sz w:val="20"/>
                <w:szCs w:val="20"/>
                <w:color w:val="auto"/>
              </w:rPr>
            </w:pPr>
            <w:r>
              <w:rPr>
                <w:rFonts w:ascii="Arial" w:cs="Arial" w:eastAsia="Arial" w:hAnsi="Arial"/>
                <w:sz w:val="14"/>
                <w:szCs w:val="14"/>
                <w:b w:val="1"/>
                <w:bCs w:val="1"/>
                <w:color w:val="auto"/>
              </w:rPr>
              <w:t>Shares Acquired</w:t>
            </w:r>
          </w:p>
        </w:tc>
        <w:tc>
          <w:tcPr>
            <w:tcW w:w="11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Value Realized</w:t>
            </w:r>
          </w:p>
        </w:tc>
      </w:tr>
      <w:tr>
        <w:trPr>
          <w:trHeight w:val="189"/>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on Exercise (#)</w:t>
            </w: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on Exercise ($)</w:t>
            </w:r>
          </w:p>
        </w:tc>
        <w:tc>
          <w:tcPr>
            <w:tcW w:w="210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rPr>
              <w:t>on Vesting (#)</w:t>
            </w:r>
          </w:p>
        </w:tc>
        <w:tc>
          <w:tcPr>
            <w:tcW w:w="11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on Vesting ($)</w:t>
            </w:r>
          </w:p>
        </w:tc>
      </w:tr>
      <w:tr>
        <w:trPr>
          <w:trHeight w:val="196"/>
        </w:trPr>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3960" w:type="dxa"/>
            <w:vAlign w:val="bottom"/>
            <w:gridSpan w:val="2"/>
            <w:shd w:val="clear" w:color="auto" w:fill="CCEEFF"/>
          </w:tcPr>
          <w:p>
            <w:pPr>
              <w:jc w:val="right"/>
              <w:ind w:right="848"/>
              <w:spacing w:after="0" w:line="196" w:lineRule="exact"/>
              <w:rPr>
                <w:sz w:val="20"/>
                <w:szCs w:val="20"/>
                <w:color w:val="auto"/>
              </w:rPr>
            </w:pPr>
            <w:r>
              <w:rPr>
                <w:rFonts w:ascii="Arial" w:cs="Arial" w:eastAsia="Arial" w:hAnsi="Arial"/>
                <w:sz w:val="18"/>
                <w:szCs w:val="18"/>
                <w:color w:val="auto"/>
              </w:rPr>
              <w:t>934,461</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$ 36,091,027</w:t>
            </w:r>
          </w:p>
        </w:tc>
        <w:tc>
          <w:tcPr>
            <w:tcW w:w="420" w:type="dxa"/>
            <w:vAlign w:val="bottom"/>
            <w:shd w:val="clear" w:color="auto" w:fill="CCEEFF"/>
          </w:tcPr>
          <w:p>
            <w:pPr>
              <w:spacing w:after="0"/>
              <w:rPr>
                <w:sz w:val="17"/>
                <w:szCs w:val="17"/>
                <w:color w:val="auto"/>
              </w:rPr>
            </w:pPr>
          </w:p>
        </w:tc>
        <w:tc>
          <w:tcPr>
            <w:tcW w:w="2100" w:type="dxa"/>
            <w:vAlign w:val="bottom"/>
            <w:shd w:val="clear" w:color="auto" w:fill="CCEEFF"/>
          </w:tcPr>
          <w:p>
            <w:pPr>
              <w:jc w:val="right"/>
              <w:ind w:right="858"/>
              <w:spacing w:after="0" w:line="196" w:lineRule="exact"/>
              <w:rPr>
                <w:sz w:val="20"/>
                <w:szCs w:val="20"/>
                <w:color w:val="auto"/>
              </w:rPr>
            </w:pPr>
            <w:r>
              <w:rPr>
                <w:rFonts w:ascii="Arial" w:cs="Arial" w:eastAsia="Arial" w:hAnsi="Arial"/>
                <w:sz w:val="18"/>
                <w:szCs w:val="18"/>
                <w:color w:val="auto"/>
              </w:rPr>
              <w:t>158,334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8,095,617</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3960" w:type="dxa"/>
            <w:vAlign w:val="bottom"/>
            <w:gridSpan w:val="2"/>
          </w:tcPr>
          <w:p>
            <w:pPr>
              <w:jc w:val="right"/>
              <w:ind w:right="848"/>
              <w:spacing w:after="0" w:line="202" w:lineRule="exact"/>
              <w:rPr>
                <w:sz w:val="20"/>
                <w:szCs w:val="20"/>
                <w:color w:val="auto"/>
              </w:rPr>
            </w:pPr>
            <w:r>
              <w:rPr>
                <w:rFonts w:ascii="Arial" w:cs="Arial" w:eastAsia="Arial" w:hAnsi="Arial"/>
                <w:sz w:val="18"/>
                <w:szCs w:val="18"/>
                <w:color w:val="auto"/>
              </w:rPr>
              <w:t>245,000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$ 10,069,525</w:t>
            </w:r>
          </w:p>
        </w:tc>
        <w:tc>
          <w:tcPr>
            <w:tcW w:w="420" w:type="dxa"/>
            <w:vAlign w:val="bottom"/>
          </w:tcPr>
          <w:p>
            <w:pPr>
              <w:spacing w:after="0"/>
              <w:rPr>
                <w:sz w:val="17"/>
                <w:szCs w:val="17"/>
                <w:color w:val="auto"/>
              </w:rPr>
            </w:pPr>
          </w:p>
        </w:tc>
        <w:tc>
          <w:tcPr>
            <w:tcW w:w="2100" w:type="dxa"/>
            <w:vAlign w:val="bottom"/>
          </w:tcPr>
          <w:p>
            <w:pPr>
              <w:jc w:val="right"/>
              <w:ind w:right="858"/>
              <w:spacing w:after="0" w:line="202" w:lineRule="exact"/>
              <w:rPr>
                <w:sz w:val="20"/>
                <w:szCs w:val="20"/>
                <w:color w:val="auto"/>
              </w:rPr>
            </w:pPr>
            <w:r>
              <w:rPr>
                <w:rFonts w:ascii="Arial" w:cs="Arial" w:eastAsia="Arial" w:hAnsi="Arial"/>
                <w:sz w:val="18"/>
                <w:szCs w:val="18"/>
                <w:color w:val="auto"/>
              </w:rPr>
              <w:t>50,000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2,556,500</w:t>
            </w: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3960" w:type="dxa"/>
            <w:vAlign w:val="bottom"/>
            <w:gridSpan w:val="2"/>
            <w:shd w:val="clear" w:color="auto" w:fill="CCEEFF"/>
          </w:tcPr>
          <w:p>
            <w:pPr>
              <w:jc w:val="right"/>
              <w:ind w:right="848"/>
              <w:spacing w:after="0" w:line="202" w:lineRule="exact"/>
              <w:rPr>
                <w:sz w:val="20"/>
                <w:szCs w:val="20"/>
                <w:color w:val="auto"/>
              </w:rPr>
            </w:pPr>
            <w:r>
              <w:rPr>
                <w:rFonts w:ascii="Arial" w:cs="Arial" w:eastAsia="Arial" w:hAnsi="Arial"/>
                <w:sz w:val="18"/>
                <w:szCs w:val="18"/>
                <w:color w:val="auto"/>
              </w:rPr>
              <w:t>253,998</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6,512,588</w:t>
            </w:r>
          </w:p>
        </w:tc>
        <w:tc>
          <w:tcPr>
            <w:tcW w:w="2100" w:type="dxa"/>
            <w:vAlign w:val="bottom"/>
            <w:shd w:val="clear" w:color="auto" w:fill="CCEEFF"/>
          </w:tcPr>
          <w:p>
            <w:pPr>
              <w:jc w:val="right"/>
              <w:ind w:right="858"/>
              <w:spacing w:after="0" w:line="202" w:lineRule="exact"/>
              <w:rPr>
                <w:sz w:val="20"/>
                <w:szCs w:val="20"/>
                <w:color w:val="auto"/>
              </w:rPr>
            </w:pPr>
            <w:r>
              <w:rPr>
                <w:rFonts w:ascii="Arial" w:cs="Arial" w:eastAsia="Arial" w:hAnsi="Arial"/>
                <w:sz w:val="18"/>
                <w:szCs w:val="18"/>
                <w:color w:val="auto"/>
              </w:rPr>
              <w:t>162,500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10,218,625</w:t>
            </w: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K. J. Ritchie</w:t>
            </w:r>
          </w:p>
        </w:tc>
        <w:tc>
          <w:tcPr>
            <w:tcW w:w="3960" w:type="dxa"/>
            <w:vAlign w:val="bottom"/>
            <w:gridSpan w:val="2"/>
          </w:tcPr>
          <w:p>
            <w:pPr>
              <w:jc w:val="right"/>
              <w:ind w:right="848"/>
              <w:spacing w:after="0" w:line="202" w:lineRule="exact"/>
              <w:rPr>
                <w:sz w:val="20"/>
                <w:szCs w:val="20"/>
                <w:color w:val="auto"/>
              </w:rPr>
            </w:pPr>
            <w:r>
              <w:rPr>
                <w:rFonts w:ascii="Arial" w:cs="Arial" w:eastAsia="Arial" w:hAnsi="Arial"/>
                <w:sz w:val="18"/>
                <w:szCs w:val="18"/>
                <w:color w:val="auto"/>
              </w:rPr>
              <w:t>216,748</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4,732,924</w:t>
            </w:r>
          </w:p>
        </w:tc>
        <w:tc>
          <w:tcPr>
            <w:tcW w:w="2100" w:type="dxa"/>
            <w:vAlign w:val="bottom"/>
          </w:tcPr>
          <w:p>
            <w:pPr>
              <w:jc w:val="right"/>
              <w:ind w:right="858"/>
              <w:spacing w:after="0" w:line="202" w:lineRule="exact"/>
              <w:rPr>
                <w:sz w:val="20"/>
                <w:szCs w:val="20"/>
                <w:color w:val="auto"/>
              </w:rPr>
            </w:pPr>
            <w:r>
              <w:rPr>
                <w:rFonts w:ascii="Arial" w:cs="Arial" w:eastAsia="Arial" w:hAnsi="Arial"/>
                <w:sz w:val="18"/>
                <w:szCs w:val="18"/>
                <w:color w:val="auto"/>
              </w:rPr>
              <w:t>58,334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2,982,617</w:t>
            </w: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 A. Anderson</w:t>
            </w:r>
          </w:p>
        </w:tc>
        <w:tc>
          <w:tcPr>
            <w:tcW w:w="3960" w:type="dxa"/>
            <w:vAlign w:val="bottom"/>
            <w:gridSpan w:val="2"/>
            <w:shd w:val="clear" w:color="auto" w:fill="CCEEFF"/>
          </w:tcPr>
          <w:p>
            <w:pPr>
              <w:jc w:val="right"/>
              <w:ind w:right="848"/>
              <w:spacing w:after="0" w:line="202" w:lineRule="exact"/>
              <w:rPr>
                <w:sz w:val="20"/>
                <w:szCs w:val="20"/>
                <w:color w:val="auto"/>
              </w:rPr>
            </w:pPr>
            <w:r>
              <w:rPr>
                <w:rFonts w:ascii="Arial" w:cs="Arial" w:eastAsia="Arial" w:hAnsi="Arial"/>
                <w:sz w:val="18"/>
                <w:szCs w:val="18"/>
                <w:color w:val="auto"/>
              </w:rPr>
              <w:t>240,625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6,694,176</w:t>
            </w:r>
          </w:p>
        </w:tc>
        <w:tc>
          <w:tcPr>
            <w:tcW w:w="2100" w:type="dxa"/>
            <w:vAlign w:val="bottom"/>
            <w:shd w:val="clear" w:color="auto" w:fill="CCEEFF"/>
          </w:tcPr>
          <w:p>
            <w:pPr>
              <w:jc w:val="right"/>
              <w:ind w:right="858"/>
              <w:spacing w:after="0" w:line="202" w:lineRule="exact"/>
              <w:rPr>
                <w:sz w:val="20"/>
                <w:szCs w:val="20"/>
                <w:color w:val="auto"/>
              </w:rPr>
            </w:pPr>
            <w:r>
              <w:rPr>
                <w:rFonts w:ascii="Arial" w:cs="Arial" w:eastAsia="Arial" w:hAnsi="Arial"/>
                <w:sz w:val="18"/>
                <w:szCs w:val="18"/>
                <w:color w:val="auto"/>
              </w:rPr>
              <w:t>45,834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2,343,492</w:t>
            </w:r>
          </w:p>
        </w:tc>
      </w:tr>
      <w:tr>
        <w:trPr>
          <w:trHeight w:val="295"/>
        </w:trPr>
        <w:tc>
          <w:tcPr>
            <w:tcW w:w="2700" w:type="dxa"/>
            <w:vAlign w:val="bottom"/>
          </w:tcPr>
          <w:p>
            <w:pPr>
              <w:spacing w:after="0"/>
              <w:rPr>
                <w:sz w:val="24"/>
                <w:szCs w:val="24"/>
                <w:color w:val="auto"/>
              </w:rPr>
            </w:pPr>
          </w:p>
        </w:tc>
        <w:tc>
          <w:tcPr>
            <w:tcW w:w="5460" w:type="dxa"/>
            <w:vAlign w:val="bottom"/>
            <w:gridSpan w:val="5"/>
          </w:tcPr>
          <w:p>
            <w:pPr>
              <w:ind w:left="1420"/>
              <w:spacing w:after="0"/>
              <w:rPr>
                <w:sz w:val="20"/>
                <w:szCs w:val="20"/>
                <w:color w:val="auto"/>
              </w:rPr>
            </w:pPr>
            <w:r>
              <w:rPr>
                <w:rFonts w:ascii="Arial" w:cs="Arial" w:eastAsia="Arial" w:hAnsi="Arial"/>
                <w:sz w:val="13"/>
                <w:szCs w:val="13"/>
                <w:color w:val="666666"/>
              </w:rPr>
              <w:t>TEXAS INSTRUMENTS  •  2017 PROXY STATEMENT</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666666"/>
              </w:rPr>
              <w:t>35</w:t>
            </w:r>
          </w:p>
        </w:tc>
      </w:tr>
    </w:tbl>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2016 pension benefits</w:t>
      </w:r>
    </w:p>
    <w:p>
      <w:pPr>
        <w:spacing w:after="0" w:line="2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table shows the present value as of December 31, 2016,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50" w:type="dxa"/>
            <w:vAlign w:val="bottom"/>
          </w:tcPr>
          <w:p>
            <w:pPr>
              <w:spacing w:after="0"/>
              <w:rPr>
                <w:sz w:val="14"/>
                <w:szCs w:val="14"/>
                <w:color w:val="auto"/>
              </w:rPr>
            </w:pPr>
          </w:p>
        </w:tc>
        <w:tc>
          <w:tcPr>
            <w:tcW w:w="409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center"/>
              <w:ind w:left="11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50" w:type="dxa"/>
            <w:vAlign w:val="bottom"/>
          </w:tcPr>
          <w:p>
            <w:pPr>
              <w:spacing w:after="0"/>
              <w:rPr>
                <w:sz w:val="14"/>
                <w:szCs w:val="14"/>
                <w:color w:val="auto"/>
              </w:rPr>
            </w:pPr>
          </w:p>
        </w:tc>
        <w:tc>
          <w:tcPr>
            <w:tcW w:w="409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Present Value</w:t>
            </w:r>
          </w:p>
        </w:tc>
        <w:tc>
          <w:tcPr>
            <w:tcW w:w="1000" w:type="dxa"/>
            <w:vAlign w:val="bottom"/>
          </w:tcPr>
          <w:p>
            <w:pPr>
              <w:jc w:val="center"/>
              <w:ind w:left="136"/>
              <w:spacing w:after="0"/>
              <w:rPr>
                <w:sz w:val="20"/>
                <w:szCs w:val="20"/>
                <w:color w:val="auto"/>
              </w:rPr>
            </w:pPr>
            <w:r>
              <w:rPr>
                <w:rFonts w:ascii="Arial" w:cs="Arial" w:eastAsia="Arial" w:hAnsi="Arial"/>
                <w:sz w:val="14"/>
                <w:szCs w:val="14"/>
                <w:b w:val="1"/>
                <w:bCs w:val="1"/>
                <w:color w:val="auto"/>
              </w:rPr>
              <w:t>During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50" w:type="dxa"/>
            <w:vAlign w:val="bottom"/>
          </w:tcPr>
          <w:p>
            <w:pPr>
              <w:spacing w:after="0"/>
              <w:rPr>
                <w:sz w:val="14"/>
                <w:szCs w:val="14"/>
                <w:color w:val="auto"/>
              </w:rPr>
            </w:pPr>
          </w:p>
        </w:tc>
        <w:tc>
          <w:tcPr>
            <w:tcW w:w="409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4"/>
                <w:szCs w:val="14"/>
                <w:color w:val="auto"/>
              </w:rPr>
            </w:pPr>
          </w:p>
        </w:tc>
        <w:tc>
          <w:tcPr>
            <w:tcW w:w="1020" w:type="dxa"/>
            <w:vAlign w:val="bottom"/>
          </w:tcPr>
          <w:p>
            <w:pPr>
              <w:jc w:val="right"/>
              <w:ind w:right="613"/>
              <w:spacing w:after="0"/>
              <w:rPr>
                <w:sz w:val="20"/>
                <w:szCs w:val="20"/>
                <w:color w:val="auto"/>
              </w:rPr>
            </w:pPr>
            <w:r>
              <w:rPr>
                <w:rFonts w:ascii="Arial" w:cs="Arial" w:eastAsia="Arial" w:hAnsi="Arial"/>
                <w:sz w:val="14"/>
                <w:szCs w:val="14"/>
                <w:b w:val="1"/>
                <w:bCs w:val="1"/>
                <w:color w:val="auto"/>
              </w:rPr>
              <w:t>of</w:t>
            </w:r>
          </w:p>
        </w:tc>
        <w:tc>
          <w:tcPr>
            <w:tcW w:w="1000" w:type="dxa"/>
            <w:vAlign w:val="bottom"/>
          </w:tcPr>
          <w:p>
            <w:pPr>
              <w:jc w:val="center"/>
              <w:ind w:left="136"/>
              <w:spacing w:after="0"/>
              <w:rPr>
                <w:sz w:val="20"/>
                <w:szCs w:val="20"/>
                <w:color w:val="auto"/>
              </w:rPr>
            </w:pPr>
            <w:r>
              <w:rPr>
                <w:rFonts w:ascii="Arial" w:cs="Arial" w:eastAsia="Arial" w:hAnsi="Arial"/>
                <w:sz w:val="14"/>
                <w:szCs w:val="14"/>
                <w:b w:val="1"/>
                <w:bCs w:val="1"/>
                <w:color w:val="auto"/>
              </w:rPr>
              <w:t>Last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50" w:type="dxa"/>
            <w:vAlign w:val="bottom"/>
          </w:tcPr>
          <w:p>
            <w:pPr>
              <w:spacing w:after="0"/>
              <w:rPr>
                <w:sz w:val="14"/>
                <w:szCs w:val="14"/>
                <w:color w:val="auto"/>
              </w:rPr>
            </w:pPr>
          </w:p>
        </w:tc>
        <w:tc>
          <w:tcPr>
            <w:tcW w:w="409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Years Credited</w:t>
            </w: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jc w:val="center"/>
              <w:ind w:left="136"/>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89"/>
        </w:trPr>
        <w:tc>
          <w:tcPr>
            <w:tcW w:w="317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4090" w:type="dxa"/>
            <w:vAlign w:val="bottom"/>
          </w:tcPr>
          <w:p>
            <w:pPr>
              <w:ind w:left="1670"/>
              <w:spacing w:after="0"/>
              <w:rPr>
                <w:sz w:val="20"/>
                <w:szCs w:val="20"/>
                <w:color w:val="auto"/>
              </w:rPr>
            </w:pPr>
            <w:r>
              <w:rPr>
                <w:rFonts w:ascii="Arial" w:cs="Arial" w:eastAsia="Arial" w:hAnsi="Arial"/>
                <w:sz w:val="14"/>
                <w:szCs w:val="14"/>
                <w:b w:val="1"/>
                <w:bCs w:val="1"/>
                <w:color w:val="auto"/>
              </w:rPr>
              <w:t>Plan Name</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 (#)</w:t>
            </w: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Benefit ($) (6)</w:t>
            </w:r>
          </w:p>
        </w:tc>
        <w:tc>
          <w:tcPr>
            <w:tcW w:w="1000" w:type="dxa"/>
            <w:vAlign w:val="bottom"/>
          </w:tcPr>
          <w:p>
            <w:pPr>
              <w:jc w:val="center"/>
              <w:ind w:left="116"/>
              <w:spacing w:after="0"/>
              <w:rPr>
                <w:sz w:val="20"/>
                <w:szCs w:val="20"/>
                <w:color w:val="auto"/>
              </w:rPr>
            </w:pPr>
            <w:r>
              <w:rPr>
                <w:rFonts w:ascii="Arial" w:cs="Arial" w:eastAsia="Arial" w:hAnsi="Arial"/>
                <w:sz w:val="14"/>
                <w:szCs w:val="14"/>
                <w:b w:val="1"/>
                <w:bCs w:val="1"/>
                <w:color w:val="auto"/>
              </w:rPr>
              <w:t>Year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5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 (2)</w:t>
            </w:r>
          </w:p>
        </w:tc>
        <w:tc>
          <w:tcPr>
            <w:tcW w:w="4090" w:type="dxa"/>
            <w:vAlign w:val="bottom"/>
            <w:tcBorders>
              <w:top w:val="single" w:sz="8" w:color="auto"/>
            </w:tcBorders>
            <w:shd w:val="clear" w:color="auto" w:fill="CCEEFF"/>
          </w:tcPr>
          <w:p>
            <w:pPr>
              <w:ind w:left="250"/>
              <w:spacing w:after="0" w:line="195" w:lineRule="exact"/>
              <w:rPr>
                <w:sz w:val="20"/>
                <w:szCs w:val="20"/>
                <w:color w:val="auto"/>
              </w:rPr>
            </w:pPr>
            <w:r>
              <w:rPr>
                <w:rFonts w:ascii="Arial" w:cs="Arial" w:eastAsia="Arial" w:hAnsi="Arial"/>
                <w:sz w:val="18"/>
                <w:szCs w:val="18"/>
                <w:color w:val="auto"/>
              </w:rPr>
              <w:t>TI Employees Pension Plan</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w:t>
            </w:r>
          </w:p>
        </w:tc>
        <w:tc>
          <w:tcPr>
            <w:tcW w:w="620" w:type="dxa"/>
            <w:vAlign w:val="bottom"/>
            <w:tcBorders>
              <w:top w:val="single" w:sz="8" w:color="auto"/>
            </w:tcBorders>
            <w:shd w:val="clear" w:color="auto" w:fill="CCEEFF"/>
          </w:tcPr>
          <w:p>
            <w:pPr>
              <w:jc w:val="right"/>
              <w:ind w:right="290"/>
              <w:spacing w:after="0" w:line="195" w:lineRule="exact"/>
              <w:rPr>
                <w:sz w:val="20"/>
                <w:szCs w:val="20"/>
                <w:color w:val="auto"/>
              </w:rPr>
            </w:pPr>
            <w:r>
              <w:rPr>
                <w:rFonts w:ascii="Arial" w:cs="Arial" w:eastAsia="Arial" w:hAnsi="Arial"/>
                <w:sz w:val="18"/>
                <w:szCs w:val="18"/>
                <w:color w:val="auto"/>
                <w:w w:val="99"/>
              </w:rPr>
              <w:t>(3)</w:t>
            </w:r>
          </w:p>
        </w:tc>
        <w:tc>
          <w:tcPr>
            <w:tcW w:w="500" w:type="dxa"/>
            <w:vAlign w:val="bottom"/>
            <w:tcBorders>
              <w:top w:val="single" w:sz="8" w:color="auto"/>
            </w:tcBorders>
            <w:shd w:val="clear" w:color="auto" w:fill="CCEEFF"/>
          </w:tcPr>
          <w:p>
            <w:pPr>
              <w:ind w:left="300"/>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73"/>
              <w:spacing w:after="0" w:line="195" w:lineRule="exact"/>
              <w:rPr>
                <w:sz w:val="20"/>
                <w:szCs w:val="20"/>
                <w:color w:val="auto"/>
              </w:rPr>
            </w:pPr>
            <w:r>
              <w:rPr>
                <w:rFonts w:ascii="Arial" w:cs="Arial" w:eastAsia="Arial" w:hAnsi="Arial"/>
                <w:sz w:val="18"/>
                <w:szCs w:val="18"/>
                <w:color w:val="auto"/>
              </w:rPr>
              <w:t>724,431</w:t>
            </w:r>
          </w:p>
        </w:tc>
        <w:tc>
          <w:tcPr>
            <w:tcW w:w="1000" w:type="dxa"/>
            <w:vAlign w:val="bottom"/>
            <w:tcBorders>
              <w:top w:val="single" w:sz="8" w:color="auto"/>
            </w:tcBorders>
            <w:shd w:val="clear" w:color="auto" w:fill="CCEEFF"/>
          </w:tcPr>
          <w:p>
            <w:pPr>
              <w:ind w:left="54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50" w:type="dxa"/>
            <w:vAlign w:val="bottom"/>
            <w:shd w:val="clear" w:color="auto" w:fill="CCEEFF"/>
          </w:tcPr>
          <w:p>
            <w:pPr>
              <w:spacing w:after="0"/>
              <w:rPr>
                <w:sz w:val="17"/>
                <w:szCs w:val="17"/>
                <w:color w:val="auto"/>
              </w:rPr>
            </w:pPr>
          </w:p>
        </w:tc>
        <w:tc>
          <w:tcPr>
            <w:tcW w:w="4090" w:type="dxa"/>
            <w:vAlign w:val="bottom"/>
            <w:shd w:val="clear" w:color="auto" w:fill="CCEEFF"/>
          </w:tcPr>
          <w:p>
            <w:pPr>
              <w:ind w:left="250"/>
              <w:spacing w:after="0" w:line="202" w:lineRule="exact"/>
              <w:rPr>
                <w:sz w:val="20"/>
                <w:szCs w:val="20"/>
                <w:color w:val="auto"/>
              </w:rPr>
            </w:pPr>
            <w:r>
              <w:rPr>
                <w:rFonts w:ascii="Arial" w:cs="Arial" w:eastAsia="Arial" w:hAnsi="Arial"/>
                <w:sz w:val="18"/>
                <w:szCs w:val="18"/>
                <w:color w:val="auto"/>
              </w:rPr>
              <w:t>TI Employees Non-Qualified Pension Plan</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99"/>
              </w:rPr>
              <w:t>(3)</w:t>
            </w:r>
          </w:p>
        </w:tc>
        <w:tc>
          <w:tcPr>
            <w:tcW w:w="5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299,404</w:t>
            </w:r>
          </w:p>
        </w:tc>
        <w:tc>
          <w:tcPr>
            <w:tcW w:w="1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50" w:type="dxa"/>
            <w:vAlign w:val="bottom"/>
            <w:shd w:val="clear" w:color="auto" w:fill="CCEEFF"/>
          </w:tcPr>
          <w:p>
            <w:pPr>
              <w:spacing w:after="0"/>
              <w:rPr>
                <w:sz w:val="17"/>
                <w:szCs w:val="17"/>
                <w:color w:val="auto"/>
              </w:rPr>
            </w:pPr>
          </w:p>
        </w:tc>
        <w:tc>
          <w:tcPr>
            <w:tcW w:w="4090" w:type="dxa"/>
            <w:vAlign w:val="bottom"/>
            <w:shd w:val="clear" w:color="auto" w:fill="CCEEFF"/>
          </w:tcPr>
          <w:p>
            <w:pPr>
              <w:ind w:left="250"/>
              <w:spacing w:after="0" w:line="203" w:lineRule="exact"/>
              <w:rPr>
                <w:sz w:val="20"/>
                <w:szCs w:val="20"/>
                <w:color w:val="auto"/>
              </w:rPr>
            </w:pPr>
            <w:r>
              <w:rPr>
                <w:rFonts w:ascii="Arial" w:cs="Arial" w:eastAsia="Arial" w:hAnsi="Arial"/>
                <w:sz w:val="18"/>
                <w:szCs w:val="18"/>
                <w:color w:val="auto"/>
              </w:rPr>
              <w:t>TI Employees Non-Qualified Pension Plan II</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w w:val="99"/>
              </w:rPr>
              <w:t>(5)</w:t>
            </w:r>
          </w:p>
        </w:tc>
        <w:tc>
          <w:tcPr>
            <w:tcW w:w="50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234,474</w:t>
            </w:r>
          </w:p>
        </w:tc>
        <w:tc>
          <w:tcPr>
            <w:tcW w:w="10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17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4090" w:type="dxa"/>
            <w:vAlign w:val="bottom"/>
          </w:tcPr>
          <w:p>
            <w:pPr>
              <w:ind w:left="250"/>
              <w:spacing w:after="0"/>
              <w:rPr>
                <w:sz w:val="20"/>
                <w:szCs w:val="20"/>
                <w:color w:val="auto"/>
              </w:rPr>
            </w:pPr>
            <w:r>
              <w:rPr>
                <w:rFonts w:ascii="Arial" w:cs="Arial" w:eastAsia="Arial" w:hAnsi="Arial"/>
                <w:sz w:val="18"/>
                <w:szCs w:val="18"/>
                <w:color w:val="auto"/>
              </w:rPr>
              <w:t>TI Employees Pension Plan</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(3)</w:t>
            </w:r>
          </w:p>
        </w:tc>
        <w:tc>
          <w:tcPr>
            <w:tcW w:w="1520" w:type="dxa"/>
            <w:vAlign w:val="bottom"/>
            <w:gridSpan w:val="2"/>
          </w:tcPr>
          <w:p>
            <w:pPr>
              <w:jc w:val="right"/>
              <w:ind w:right="173"/>
              <w:spacing w:after="0"/>
              <w:rPr>
                <w:sz w:val="20"/>
                <w:szCs w:val="20"/>
                <w:color w:val="auto"/>
              </w:rPr>
            </w:pPr>
            <w:r>
              <w:rPr>
                <w:rFonts w:ascii="Arial" w:cs="Arial" w:eastAsia="Arial" w:hAnsi="Arial"/>
                <w:sz w:val="18"/>
                <w:szCs w:val="18"/>
                <w:color w:val="auto"/>
              </w:rPr>
              <w:t>$ 1,086,561</w:t>
            </w:r>
          </w:p>
        </w:tc>
        <w:tc>
          <w:tcPr>
            <w:tcW w:w="10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50" w:type="dxa"/>
            <w:vAlign w:val="bottom"/>
          </w:tcPr>
          <w:p>
            <w:pPr>
              <w:spacing w:after="0"/>
              <w:rPr>
                <w:sz w:val="17"/>
                <w:szCs w:val="17"/>
                <w:color w:val="auto"/>
              </w:rPr>
            </w:pPr>
          </w:p>
        </w:tc>
        <w:tc>
          <w:tcPr>
            <w:tcW w:w="4090" w:type="dxa"/>
            <w:vAlign w:val="bottom"/>
          </w:tcPr>
          <w:p>
            <w:pPr>
              <w:ind w:left="250"/>
              <w:spacing w:after="0" w:line="202" w:lineRule="exact"/>
              <w:rPr>
                <w:sz w:val="20"/>
                <w:szCs w:val="20"/>
                <w:color w:val="auto"/>
              </w:rPr>
            </w:pPr>
            <w:r>
              <w:rPr>
                <w:rFonts w:ascii="Arial" w:cs="Arial" w:eastAsia="Arial" w:hAnsi="Arial"/>
                <w:sz w:val="18"/>
                <w:szCs w:val="18"/>
                <w:color w:val="auto"/>
              </w:rPr>
              <w:t>TI Employees Non-Qualified Pension Plan</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62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(4)</w:t>
            </w:r>
          </w:p>
        </w:tc>
        <w:tc>
          <w:tcPr>
            <w:tcW w:w="5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185,528</w:t>
            </w:r>
          </w:p>
        </w:tc>
        <w:tc>
          <w:tcPr>
            <w:tcW w:w="10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50" w:type="dxa"/>
            <w:vAlign w:val="bottom"/>
          </w:tcPr>
          <w:p>
            <w:pPr>
              <w:spacing w:after="0"/>
              <w:rPr>
                <w:sz w:val="18"/>
                <w:szCs w:val="18"/>
                <w:color w:val="auto"/>
              </w:rPr>
            </w:pPr>
          </w:p>
        </w:tc>
        <w:tc>
          <w:tcPr>
            <w:tcW w:w="4090" w:type="dxa"/>
            <w:vAlign w:val="bottom"/>
          </w:tcPr>
          <w:p>
            <w:pPr>
              <w:ind w:left="250"/>
              <w:spacing w:after="0"/>
              <w:rPr>
                <w:sz w:val="20"/>
                <w:szCs w:val="20"/>
                <w:color w:val="auto"/>
              </w:rPr>
            </w:pPr>
            <w:r>
              <w:rPr>
                <w:rFonts w:ascii="Arial" w:cs="Arial" w:eastAsia="Arial" w:hAnsi="Arial"/>
                <w:sz w:val="18"/>
                <w:szCs w:val="18"/>
                <w:color w:val="auto"/>
              </w:rPr>
              <w:t>TI Employees Non-Qualified Pension Plan II</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(5)</w:t>
            </w:r>
          </w:p>
        </w:tc>
        <w:tc>
          <w:tcPr>
            <w:tcW w:w="1520" w:type="dxa"/>
            <w:vAlign w:val="bottom"/>
            <w:gridSpan w:val="2"/>
          </w:tcPr>
          <w:p>
            <w:pPr>
              <w:jc w:val="right"/>
              <w:ind w:right="173"/>
              <w:spacing w:after="0"/>
              <w:rPr>
                <w:sz w:val="20"/>
                <w:szCs w:val="20"/>
                <w:color w:val="auto"/>
              </w:rPr>
            </w:pPr>
            <w:r>
              <w:rPr>
                <w:rFonts w:ascii="Arial" w:cs="Arial" w:eastAsia="Arial" w:hAnsi="Arial"/>
                <w:sz w:val="18"/>
                <w:szCs w:val="18"/>
                <w:color w:val="auto"/>
              </w:rPr>
              <w:t>$ 6,489,098</w:t>
            </w:r>
          </w:p>
        </w:tc>
        <w:tc>
          <w:tcPr>
            <w:tcW w:w="10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50" w:type="dxa"/>
            <w:vAlign w:val="bottom"/>
          </w:tcPr>
          <w:p>
            <w:pPr>
              <w:spacing w:after="0"/>
              <w:rPr>
                <w:sz w:val="8"/>
                <w:szCs w:val="8"/>
                <w:color w:val="auto"/>
              </w:rPr>
            </w:pPr>
          </w:p>
        </w:tc>
        <w:tc>
          <w:tcPr>
            <w:tcW w:w="409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5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 (2)</w:t>
            </w:r>
          </w:p>
        </w:tc>
        <w:tc>
          <w:tcPr>
            <w:tcW w:w="4090" w:type="dxa"/>
            <w:vAlign w:val="bottom"/>
            <w:shd w:val="clear" w:color="auto" w:fill="CCEEFF"/>
          </w:tcPr>
          <w:p>
            <w:pPr>
              <w:ind w:left="250"/>
              <w:spacing w:after="0" w:line="202" w:lineRule="exact"/>
              <w:rPr>
                <w:sz w:val="20"/>
                <w:szCs w:val="20"/>
                <w:color w:val="auto"/>
              </w:rPr>
            </w:pPr>
            <w:r>
              <w:rPr>
                <w:rFonts w:ascii="Arial" w:cs="Arial" w:eastAsia="Arial" w:hAnsi="Arial"/>
                <w:sz w:val="18"/>
                <w:szCs w:val="18"/>
                <w:color w:val="auto"/>
              </w:rPr>
              <w:t>TI Employees Pension Plan</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6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99"/>
              </w:rPr>
              <w:t>(3)</w:t>
            </w:r>
          </w:p>
        </w:tc>
        <w:tc>
          <w:tcPr>
            <w:tcW w:w="5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4,636</w:t>
            </w:r>
          </w:p>
        </w:tc>
        <w:tc>
          <w:tcPr>
            <w:tcW w:w="1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17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4090" w:type="dxa"/>
            <w:vAlign w:val="bottom"/>
          </w:tcPr>
          <w:p>
            <w:pPr>
              <w:ind w:left="250"/>
              <w:spacing w:after="0"/>
              <w:rPr>
                <w:sz w:val="20"/>
                <w:szCs w:val="20"/>
                <w:color w:val="auto"/>
              </w:rPr>
            </w:pPr>
            <w:r>
              <w:rPr>
                <w:rFonts w:ascii="Arial" w:cs="Arial" w:eastAsia="Arial" w:hAnsi="Arial"/>
                <w:sz w:val="18"/>
                <w:szCs w:val="18"/>
                <w:color w:val="auto"/>
              </w:rPr>
              <w:t>TI Employees Pension Plan</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(3)</w:t>
            </w:r>
          </w:p>
        </w:tc>
        <w:tc>
          <w:tcPr>
            <w:tcW w:w="1520" w:type="dxa"/>
            <w:vAlign w:val="bottom"/>
            <w:gridSpan w:val="2"/>
          </w:tcPr>
          <w:p>
            <w:pPr>
              <w:jc w:val="right"/>
              <w:ind w:right="173"/>
              <w:spacing w:after="0"/>
              <w:rPr>
                <w:sz w:val="20"/>
                <w:szCs w:val="20"/>
                <w:color w:val="auto"/>
              </w:rPr>
            </w:pPr>
            <w:r>
              <w:rPr>
                <w:rFonts w:ascii="Arial" w:cs="Arial" w:eastAsia="Arial" w:hAnsi="Arial"/>
                <w:sz w:val="18"/>
                <w:szCs w:val="18"/>
                <w:color w:val="auto"/>
              </w:rPr>
              <w:t>$ 1,558,907</w:t>
            </w:r>
          </w:p>
        </w:tc>
        <w:tc>
          <w:tcPr>
            <w:tcW w:w="10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50" w:type="dxa"/>
            <w:vAlign w:val="bottom"/>
          </w:tcPr>
          <w:p>
            <w:pPr>
              <w:spacing w:after="0"/>
              <w:rPr>
                <w:sz w:val="17"/>
                <w:szCs w:val="17"/>
                <w:color w:val="auto"/>
              </w:rPr>
            </w:pPr>
          </w:p>
        </w:tc>
        <w:tc>
          <w:tcPr>
            <w:tcW w:w="4090" w:type="dxa"/>
            <w:vAlign w:val="bottom"/>
          </w:tcPr>
          <w:p>
            <w:pPr>
              <w:ind w:left="250"/>
              <w:spacing w:after="0" w:line="202" w:lineRule="exact"/>
              <w:rPr>
                <w:sz w:val="20"/>
                <w:szCs w:val="20"/>
                <w:color w:val="auto"/>
              </w:rPr>
            </w:pPr>
            <w:r>
              <w:rPr>
                <w:rFonts w:ascii="Arial" w:cs="Arial" w:eastAsia="Arial" w:hAnsi="Arial"/>
                <w:sz w:val="18"/>
                <w:szCs w:val="18"/>
                <w:color w:val="auto"/>
              </w:rPr>
              <w:t>TI Employees Non-Qualified Pension Plan</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62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(4)</w:t>
            </w:r>
          </w:p>
        </w:tc>
        <w:tc>
          <w:tcPr>
            <w:tcW w:w="5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554,872</w:t>
            </w:r>
          </w:p>
        </w:tc>
        <w:tc>
          <w:tcPr>
            <w:tcW w:w="10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50" w:type="dxa"/>
            <w:vAlign w:val="bottom"/>
          </w:tcPr>
          <w:p>
            <w:pPr>
              <w:spacing w:after="0"/>
              <w:rPr>
                <w:sz w:val="18"/>
                <w:szCs w:val="18"/>
                <w:color w:val="auto"/>
              </w:rPr>
            </w:pPr>
          </w:p>
        </w:tc>
        <w:tc>
          <w:tcPr>
            <w:tcW w:w="4090" w:type="dxa"/>
            <w:vAlign w:val="bottom"/>
          </w:tcPr>
          <w:p>
            <w:pPr>
              <w:ind w:left="250"/>
              <w:spacing w:after="0"/>
              <w:rPr>
                <w:sz w:val="20"/>
                <w:szCs w:val="20"/>
                <w:color w:val="auto"/>
              </w:rPr>
            </w:pPr>
            <w:r>
              <w:rPr>
                <w:rFonts w:ascii="Arial" w:cs="Arial" w:eastAsia="Arial" w:hAnsi="Arial"/>
                <w:sz w:val="18"/>
                <w:szCs w:val="18"/>
                <w:color w:val="auto"/>
              </w:rPr>
              <w:t>TI Employees Non-Qualified Pension Plan II</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w w:val="99"/>
              </w:rPr>
              <w:t>(5)</w:t>
            </w:r>
          </w:p>
        </w:tc>
        <w:tc>
          <w:tcPr>
            <w:tcW w:w="1520" w:type="dxa"/>
            <w:vAlign w:val="bottom"/>
            <w:gridSpan w:val="2"/>
          </w:tcPr>
          <w:p>
            <w:pPr>
              <w:jc w:val="right"/>
              <w:ind w:right="173"/>
              <w:spacing w:after="0"/>
              <w:rPr>
                <w:sz w:val="20"/>
                <w:szCs w:val="20"/>
                <w:color w:val="auto"/>
              </w:rPr>
            </w:pPr>
            <w:r>
              <w:rPr>
                <w:rFonts w:ascii="Arial" w:cs="Arial" w:eastAsia="Arial" w:hAnsi="Arial"/>
                <w:sz w:val="18"/>
                <w:szCs w:val="18"/>
                <w:color w:val="auto"/>
              </w:rPr>
              <w:t>$ 8,723,722</w:t>
            </w:r>
          </w:p>
        </w:tc>
        <w:tc>
          <w:tcPr>
            <w:tcW w:w="10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2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Anderson does not participate in any of the company’s defined benefit pension plans because he joined TI after these plans were closed to new participants.</w:t>
      </w:r>
    </w:p>
    <w:p>
      <w:pPr>
        <w:spacing w:after="0" w:line="102"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Crutcher’s benefits are included in the 2016 summary compensation table.</w:t>
      </w:r>
    </w:p>
    <w:p>
      <w:pPr>
        <w:spacing w:after="0" w:line="108"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108" w:lineRule="exact"/>
        <w:rPr>
          <w:rFonts w:ascii="Arial" w:cs="Arial" w:eastAsia="Arial" w:hAnsi="Arial"/>
          <w:sz w:val="18"/>
          <w:szCs w:val="18"/>
          <w:color w:val="auto"/>
        </w:rPr>
      </w:pPr>
    </w:p>
    <w:p>
      <w:pPr>
        <w:ind w:left="460" w:right="54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above and ceased at December 31, 2004.</w:t>
      </w:r>
    </w:p>
    <w:p>
      <w:pPr>
        <w:spacing w:after="0" w:line="102" w:lineRule="exact"/>
        <w:rPr>
          <w:rFonts w:ascii="Arial" w:cs="Arial" w:eastAsia="Arial" w:hAnsi="Arial"/>
          <w:sz w:val="18"/>
          <w:szCs w:val="18"/>
          <w:color w:val="auto"/>
        </w:rPr>
      </w:pPr>
    </w:p>
    <w:p>
      <w:pPr>
        <w:ind w:left="460" w:right="54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above.</w:t>
      </w:r>
    </w:p>
    <w:p>
      <w:pPr>
        <w:spacing w:after="0" w:line="102" w:lineRule="exact"/>
        <w:rPr>
          <w:rFonts w:ascii="Arial" w:cs="Arial" w:eastAsia="Arial" w:hAnsi="Arial"/>
          <w:sz w:val="18"/>
          <w:szCs w:val="18"/>
          <w:color w:val="auto"/>
        </w:rPr>
      </w:pPr>
    </w:p>
    <w:p>
      <w:pPr>
        <w:ind w:left="460" w:right="60" w:hanging="452"/>
        <w:spacing w:after="0" w:line="23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10 to the financial statements contained in Item 8 in TI’s annual report on Form 10-K for the year ended December 31, 2016, except that a named executive officer’s retirement is assumed (in accordance with SEC rules) for purposes of this table to occur at age 65 and no assumption for termination prior to that date is used. The amount of the lump-sum benefit earned as of December 31, 2016, is determined using either (i) the Pension Benefit Guaranty Corporation (PBGC) interest assumption of 1.25 percent or (ii) the Pension Protection Act of 2006 (PPA) corporate bond yield interest assumption of 4.29 percent for the TI Employees Pension Plan and 4.33 percent for the TI Employees Non-Qualified Pension Plans, whichever rate produces the higher lump-sum amount. A discount rate assumption of 4.29 percent for the TI Employees Pension Plan and 4.33 percent for the non-qualified pension plans was used to determine the present value of each lump sum.</w:t>
      </w:r>
    </w:p>
    <w:p>
      <w:pPr>
        <w:spacing w:after="0" w:line="135"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Pension Plan</w:t>
      </w:r>
    </w:p>
    <w:p>
      <w:pPr>
        <w:spacing w:after="0" w:line="21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TI Employees Pension Plan is a qualified defined benefit pension plan. Please see “Benefits – Retirement plans” for a discussion of the origin and purpose of the plan. Employees who joined the U.S. payroll after November 30, 1997, are not eligible to participate in this plan.</w:t>
      </w:r>
    </w:p>
    <w:p>
      <w:pPr>
        <w:spacing w:after="0" w:line="1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As of December 31, 2016, Mr. Templeton, Mr. March and Mr. Ritchie were eligible for early or normal retirement.</w:t>
      </w:r>
    </w:p>
    <w:p>
      <w:pPr>
        <w:spacing w:after="0" w:line="203" w:lineRule="exact"/>
        <w:rPr>
          <w:sz w:val="20"/>
          <w:szCs w:val="20"/>
          <w:color w:val="auto"/>
        </w:rPr>
      </w:pPr>
    </w:p>
    <w:p>
      <w:pPr>
        <w:jc w:val="both"/>
        <w:ind w:right="160"/>
        <w:spacing w:after="0" w:line="248" w:lineRule="auto"/>
        <w:rPr>
          <w:sz w:val="20"/>
          <w:szCs w:val="20"/>
          <w:color w:val="auto"/>
        </w:rPr>
      </w:pPr>
      <w:r>
        <w:rPr>
          <w:rFonts w:ascii="Arial" w:cs="Arial" w:eastAsia="Arial" w:hAnsi="Arial"/>
          <w:sz w:val="17"/>
          <w:szCs w:val="17"/>
          <w:color w:val="auto"/>
        </w:rPr>
        <w:t>A participant may request payment of his accrued benefit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percent survivor annuity, (v) joint and 75 percent survivor annuity, and</w:t>
      </w:r>
    </w:p>
    <w:p>
      <w:pPr>
        <w:spacing w:after="0" w:line="2" w:lineRule="exact"/>
        <w:rPr>
          <w:sz w:val="20"/>
          <w:szCs w:val="20"/>
          <w:color w:val="auto"/>
        </w:rPr>
      </w:pPr>
    </w:p>
    <w:p>
      <w:pPr>
        <w:ind w:right="320" w:firstLine="8"/>
        <w:spacing w:after="0" w:line="250"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joint and 100 percent survivor annuity. If the participant does not request payment, he will begin to receive his benefit in April of the year after he reaches the age of 70 </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in the form of annuity required under the IRC.</w:t>
      </w:r>
    </w:p>
    <w:p>
      <w:pPr>
        <w:spacing w:after="0" w:line="19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20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If the participant’s employment terminates due to disability, the participant may choose to receive his accrued benefit at any time prior to age</w:t>
      </w:r>
    </w:p>
    <w:p>
      <w:pPr>
        <w:ind w:right="100" w:firstLine="8"/>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20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203"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qualified pension plan. Please see the discussion of leaves of absence under “Potential payments upon termination or change in control – Termination – Perquisites.”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non-qualified pension plans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 -qualified defined benefit pension plan. Please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9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37</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0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the discussion following the Outstanding equity awards at fiscal year-end 2016 table)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0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non-qualified pension plans. For a discussion of leaves of absence, please see “Potential payments upon termination or change in control – Termination – Perquisites.”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Survivor Benefit Plan</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Messers. Templeton, March and Ritchie were eligible for early retirement in 2016, their beneficiaries would be eligible for benefits under the survivor benefit plan if they were to die.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2016 non-qualified deferred compensation</w:t>
      </w:r>
    </w:p>
    <w:p>
      <w:pPr>
        <w:spacing w:after="0" w:line="20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2016 and the aggregate amount of his deferred compensation as of December 31,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Registrant</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Executive</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64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Contributions</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Last FY</w:t>
            </w: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Aggregate Earnings in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280" w:type="dxa"/>
            <w:vAlign w:val="bottom"/>
          </w:tcPr>
          <w:p>
            <w:pPr>
              <w:spacing w:after="0"/>
              <w:rPr>
                <w:sz w:val="14"/>
                <w:szCs w:val="14"/>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Balance at Last</w:t>
            </w:r>
          </w:p>
        </w:tc>
      </w:tr>
      <w:tr>
        <w:trPr>
          <w:trHeight w:val="189"/>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in Last FY ($) (1)</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rPr>
              <w:t>($) (2)</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Last FY ($)</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Distributions ($)</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FYE ($) (5)</w:t>
            </w:r>
          </w:p>
        </w:tc>
        <w:tc>
          <w:tcPr>
            <w:tcW w:w="240" w:type="dxa"/>
            <w:vAlign w:val="bottom"/>
            <w:tcBorders>
              <w:bottom w:val="single" w:sz="8" w:color="auto"/>
            </w:tcBorders>
          </w:tcPr>
          <w:p>
            <w:pPr>
              <w:spacing w:after="0"/>
              <w:rPr>
                <w:sz w:val="16"/>
                <w:szCs w:val="16"/>
                <w:color w:val="auto"/>
              </w:rPr>
            </w:pPr>
          </w:p>
        </w:tc>
      </w:tr>
      <w:tr>
        <w:trPr>
          <w:trHeight w:val="196"/>
        </w:trPr>
        <w:tc>
          <w:tcPr>
            <w:tcW w:w="2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1560" w:type="dxa"/>
            <w:vAlign w:val="bottom"/>
            <w:shd w:val="clear" w:color="auto" w:fill="CCEEFF"/>
          </w:tcPr>
          <w:p>
            <w:pPr>
              <w:ind w:left="146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172,923</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260,020</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2,465,527</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$ 312,071 (4)</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10,185,016</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(6)</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1560" w:type="dxa"/>
            <w:vAlign w:val="bottom"/>
          </w:tcPr>
          <w:p>
            <w:pPr>
              <w:spacing w:after="0"/>
              <w:rPr>
                <w:sz w:val="17"/>
                <w:szCs w:val="17"/>
                <w:color w:val="auto"/>
              </w:rPr>
            </w:pPr>
          </w:p>
        </w:tc>
        <w:tc>
          <w:tcPr>
            <w:tcW w:w="10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40" w:type="dxa"/>
            <w:vAlign w:val="bottom"/>
          </w:tcPr>
          <w:p>
            <w:pPr>
              <w:jc w:val="right"/>
              <w:ind w:right="35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2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1560" w:type="dxa"/>
            <w:vAlign w:val="bottom"/>
            <w:shd w:val="clear" w:color="auto" w:fill="CCEEFF"/>
          </w:tcPr>
          <w:p>
            <w:pPr>
              <w:ind w:left="146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113,229</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128,461</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121,515</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1,442,751</w:t>
            </w:r>
          </w:p>
        </w:tc>
        <w:tc>
          <w:tcPr>
            <w:tcW w:w="240" w:type="dxa"/>
            <w:vAlign w:val="bottom"/>
            <w:shd w:val="clear" w:color="auto" w:fill="CCEEFF"/>
          </w:tcPr>
          <w:p>
            <w:pPr>
              <w:spacing w:after="0"/>
              <w:rPr>
                <w:sz w:val="17"/>
                <w:szCs w:val="17"/>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K. J. Ritchie</w:t>
            </w:r>
          </w:p>
        </w:tc>
        <w:tc>
          <w:tcPr>
            <w:tcW w:w="1560" w:type="dxa"/>
            <w:vAlign w:val="bottom"/>
          </w:tcPr>
          <w:p>
            <w:pPr>
              <w:spacing w:after="0"/>
              <w:rPr>
                <w:sz w:val="17"/>
                <w:szCs w:val="17"/>
                <w:color w:val="auto"/>
              </w:rPr>
            </w:pPr>
          </w:p>
        </w:tc>
        <w:tc>
          <w:tcPr>
            <w:tcW w:w="10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40" w:type="dxa"/>
            <w:vAlign w:val="bottom"/>
          </w:tcPr>
          <w:p>
            <w:pPr>
              <w:jc w:val="right"/>
              <w:ind w:right="35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2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 A. Anderson</w:t>
            </w:r>
          </w:p>
        </w:tc>
        <w:tc>
          <w:tcPr>
            <w:tcW w:w="1560" w:type="dxa"/>
            <w:vAlign w:val="bottom"/>
            <w:shd w:val="clear" w:color="auto" w:fill="CCEEFF"/>
          </w:tcPr>
          <w:p>
            <w:pPr>
              <w:ind w:left="146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200,000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77,863</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65,446</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$ 116,322</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901,660</w:t>
            </w:r>
          </w:p>
        </w:tc>
        <w:tc>
          <w:tcPr>
            <w:tcW w:w="240" w:type="dxa"/>
            <w:vAlign w:val="bottom"/>
            <w:shd w:val="clear" w:color="auto" w:fill="CCEEFF"/>
          </w:tcPr>
          <w:p>
            <w:pPr>
              <w:spacing w:after="0"/>
              <w:rPr>
                <w:sz w:val="17"/>
                <w:szCs w:val="17"/>
                <w:color w:val="auto"/>
              </w:rPr>
            </w:pPr>
          </w:p>
        </w:tc>
      </w:tr>
    </w:tbl>
    <w:p>
      <w:pPr>
        <w:spacing w:after="0" w:line="121" w:lineRule="exact"/>
        <w:rPr>
          <w:sz w:val="20"/>
          <w:szCs w:val="20"/>
          <w:color w:val="auto"/>
        </w:rPr>
      </w:pPr>
    </w:p>
    <w:p>
      <w:pPr>
        <w:ind w:left="460" w:right="12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 shown for Mr. Templeton includes a portion of his salary and bonus paid in 2016; for Mr. Crutcher includes a portion of his salary and bonus paid in 2016; and for Mr. Anderson includes a portion of his bonus paid in 2016.</w:t>
      </w:r>
    </w:p>
    <w:p>
      <w:pPr>
        <w:spacing w:after="0" w:line="102"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2016 summary compensation table.</w:t>
      </w:r>
    </w:p>
    <w:p>
      <w:pPr>
        <w:spacing w:after="0" w:line="102"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$196,800 in dividend equivalents paid under the 120,000-share 1995 RSU award previously discussed, settlement of which has been deferred until after termination of employment; (b) a $2,179,200 increase in the value of the RSU award (calculated by subtracting the value of the award at year-end 2015 from the value of the award at year-end 2016 (in both cases, the number of RSUs is multiplied by the closing price of TI common stock on the last trading date of the year)); and (c) a $89,527 gain in Mr. Templeton’s deferred compensation account in 2016. Dividend equivalents are paid at the same rate as dividends on TI common stock.</w:t>
      </w:r>
    </w:p>
    <w:p>
      <w:pPr>
        <w:spacing w:after="0" w:line="108"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scheduled distribution of a portion of Mr. Templeton’s deferred compensation balance.</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8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amounts reported in the summary compensation table in the current or prior-year proxy statements as follows: Mr. Templeton, $1,428,616; Mr. Crutcher, $1,442,751; and Mr. Anderson $395,554. The remainder of the amount for Mr. Anderson relates to amounts earned in years for which he was not a named executive officer.</w:t>
      </w:r>
    </w:p>
    <w:p>
      <w:pPr>
        <w:spacing w:after="0" w:line="108" w:lineRule="exact"/>
        <w:rPr>
          <w:rFonts w:ascii="Arial" w:cs="Arial" w:eastAsia="Arial" w:hAnsi="Arial"/>
          <w:sz w:val="18"/>
          <w:szCs w:val="18"/>
          <w:color w:val="auto"/>
        </w:rPr>
      </w:pPr>
    </w:p>
    <w:p>
      <w:pPr>
        <w:ind w:left="460" w:right="280" w:hanging="452"/>
        <w:spacing w:after="0" w:line="24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this amount, $8,756,400 is attributable to Mr. Templeton’s 1995 RSU award, calculated as described in note 3. The remainder is the balance of his deferred compensation account.</w:t>
      </w:r>
    </w:p>
    <w:p>
      <w:pPr>
        <w:spacing w:after="0" w:line="197"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Please see “Benefits – Retirement plans” for a discussion of the purpose of the plan. An employee’s deferred compensation account contains eligible compensation the employee has elected to defer and contributions by the company that are in excess of the IRS limits on</w:t>
      </w:r>
    </w:p>
    <w:p>
      <w:pPr>
        <w:spacing w:after="0" w:line="2" w:lineRule="exact"/>
        <w:rPr>
          <w:sz w:val="20"/>
          <w:szCs w:val="20"/>
          <w:color w:val="auto"/>
        </w:rPr>
      </w:pPr>
    </w:p>
    <w:p>
      <w:pPr>
        <w:ind w:right="460" w:firstLine="8"/>
        <w:spacing w:after="0" w:line="246" w:lineRule="auto"/>
        <w:tabs>
          <w:tab w:leader="none" w:pos="2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2016,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Non-Lendable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206"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20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Potential payments upon termination or change in control</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2016, please see “Analysis of compensation determinations for 2016 – Total compensation” and “Compensation following employment termination or change in control.”</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39</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w:t>
      </w:r>
    </w:p>
    <w:p>
      <w:pPr>
        <w:spacing w:after="0" w:line="21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and non-qualified defined benefit pension plans</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“2016 pension benefits.” The amounts disbursed under the qualified and non-qualified plans are paid, respectively, by the TI Employees Pension Trust and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Survivor benefit plan</w:t>
      </w:r>
    </w:p>
    <w:p>
      <w:pPr>
        <w:spacing w:after="0" w:line="12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“2016 pension benefits – TI Employees Survivor Benefit Plan.” Amounts distributed are paid by the TI Employees Health Benefit Trust.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2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for his plan balance. The timing of payments is discussed under “2016 non-qualified deferred compensation” and except in the case of death, payments are made according to the participant’s distribution election. Amounts distributed are paid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2016 table. RSU awards include a right to receive dividend equivalents. The dividend equivalents are paid annually by the company in a single cash payment after the last dividend payment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2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97"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w:t>
      </w:r>
    </w:p>
    <w:p>
      <w:pPr>
        <w:spacing w:after="0" w:line="2" w:lineRule="exact"/>
        <w:rPr>
          <w:sz w:val="20"/>
          <w:szCs w:val="20"/>
          <w:color w:val="auto"/>
        </w:rPr>
      </w:pPr>
    </w:p>
    <w:p>
      <w:pPr>
        <w:jc w:val="both"/>
        <w:ind w:right="80"/>
        <w:spacing w:after="0" w:line="246" w:lineRule="auto"/>
        <w:rPr>
          <w:sz w:val="20"/>
          <w:szCs w:val="20"/>
          <w:color w:val="auto"/>
        </w:rPr>
      </w:pPr>
      <w:r>
        <w:rPr>
          <w:rFonts w:ascii="Arial" w:cs="Arial" w:eastAsia="Arial" w:hAnsi="Arial"/>
          <w:sz w:val="18"/>
          <w:szCs w:val="18"/>
          <w:color w:val="auto"/>
        </w:rPr>
        <w:t>During the leave, the executive officer’s stock options will continue to become exercisable and his RSUs will continue to vest. Amounts paid to an individual during a paid leave of absence are not counted when calculating benefits under the qualified and non-qualified pension plans.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case of a separation arrangement in which the executive officer will be at least 50 years old and have at least 15 years of employment with the company on his or her last day of active employment before beginning the paid leave of absence, the separation arrangement will typically include an unpaid leave of absence, to commence at the end of the paid leave and end when the executive officer has reached the earlier of age 55 with at least 20 years of employment or age 60 with at least five years of service (bridge to retirement). The bridge to retirement will be credited to years of service under the qualified and non-qualified pension plans described above. Stock options will continue to become exercisable and RSUs will remain in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2016, would have accelerated payment of the balance under that plan. Please see “2016 pension benefits – TI employees non-qualified pension plans” for a discussion of the purpose of change in control provisions of that plan as well as the circumstances and the timing of payment.</w:t>
      </w:r>
    </w:p>
    <w:p>
      <w:pPr>
        <w:spacing w:after="0" w:line="12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Please see the discussion following the Outstanding equity awards at fiscal year-end 2016 table for further information concerning change in control provisions relating to stock options and RSUs.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potential payments upon termination or change in control for each of the named executive officers.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Resignation;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(not for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Form of Compensation</w:t>
            </w:r>
          </w:p>
        </w:tc>
        <w:tc>
          <w:tcPr>
            <w:tcW w:w="18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Disability</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w w:val="99"/>
              </w:rPr>
              <w:t>for Cause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Cause)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Retirement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R.K. Templeton (1)</w:t>
            </w: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969,593</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511,601</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1,009,367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1,009,367</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1,009,367</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609,677</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209,693</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413,575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413,575</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413,575</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413,575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223,766</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164,092</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323,886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323,886</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323,886</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861,442</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1,428,616</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43,019,828</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43,019,828</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(8)</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8,756,400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43,019,828</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43,019,828</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8,756,400 (9)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121,633,120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121,633,120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121,633,120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121,633,120</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R.K. Templeton 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166,455,984</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167,828,392</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10,503,228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166,399,776</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166,399,776</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9,169,975</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K.P. March (1)</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1,717,833</w:t>
            </w:r>
          </w:p>
        </w:tc>
        <w:tc>
          <w:tcPr>
            <w:tcW w:w="320" w:type="dxa"/>
            <w:vAlign w:val="bottom"/>
          </w:tcPr>
          <w:p>
            <w:pPr>
              <w:ind w:left="20"/>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780,816</w:t>
            </w:r>
          </w:p>
        </w:tc>
        <w:tc>
          <w:tcPr>
            <w:tcW w:w="320" w:type="dxa"/>
            <w:vAlign w:val="bottom"/>
          </w:tcPr>
          <w:p>
            <w:pPr>
              <w:ind w:left="20"/>
              <w:spacing w:after="0"/>
              <w:rPr>
                <w:sz w:val="20"/>
                <w:szCs w:val="20"/>
                <w:color w:val="auto"/>
              </w:rPr>
            </w:pPr>
            <w:r>
              <w:rPr>
                <w:rFonts w:ascii="Arial" w:cs="Arial" w:eastAsia="Arial" w:hAnsi="Arial"/>
                <w:sz w:val="14"/>
                <w:szCs w:val="14"/>
                <w:color w:val="auto"/>
              </w:rPr>
              <w:t>(3)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1,489,136</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1,489,136</w:t>
            </w:r>
          </w:p>
        </w:tc>
        <w:tc>
          <w:tcPr>
            <w:tcW w:w="32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1,489,136</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349,792</w:t>
            </w:r>
          </w:p>
        </w:tc>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131,344</w:t>
            </w:r>
          </w:p>
        </w:tc>
        <w:tc>
          <w:tcPr>
            <w:tcW w:w="320" w:type="dxa"/>
            <w:vAlign w:val="bottom"/>
          </w:tcPr>
          <w:p>
            <w:pPr>
              <w:ind w:left="20"/>
              <w:spacing w:after="0"/>
              <w:rPr>
                <w:sz w:val="20"/>
                <w:szCs w:val="20"/>
                <w:color w:val="auto"/>
              </w:rPr>
            </w:pPr>
            <w:r>
              <w:rPr>
                <w:rFonts w:ascii="Arial" w:cs="Arial" w:eastAsia="Arial" w:hAnsi="Arial"/>
                <w:sz w:val="14"/>
                <w:szCs w:val="14"/>
                <w:color w:val="auto"/>
              </w:rPr>
              <w:t>(3)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248,669</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248,669</w:t>
            </w:r>
          </w:p>
        </w:tc>
        <w:tc>
          <w:tcPr>
            <w:tcW w:w="32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248,669</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248,669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8,788,904</w:t>
            </w:r>
          </w:p>
        </w:tc>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4,559,507</w:t>
            </w:r>
          </w:p>
        </w:tc>
        <w:tc>
          <w:tcPr>
            <w:tcW w:w="320" w:type="dxa"/>
            <w:vAlign w:val="bottom"/>
          </w:tcPr>
          <w:p>
            <w:pPr>
              <w:ind w:left="20"/>
              <w:spacing w:after="0"/>
              <w:rPr>
                <w:sz w:val="20"/>
                <w:szCs w:val="20"/>
                <w:color w:val="auto"/>
              </w:rPr>
            </w:pPr>
            <w:r>
              <w:rPr>
                <w:rFonts w:ascii="Arial" w:cs="Arial" w:eastAsia="Arial" w:hAnsi="Arial"/>
                <w:sz w:val="14"/>
                <w:szCs w:val="14"/>
                <w:color w:val="auto"/>
              </w:rPr>
              <w:t>(3)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8,697,508</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8,697,508</w:t>
            </w:r>
          </w:p>
        </w:tc>
        <w:tc>
          <w:tcPr>
            <w:tcW w:w="32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8,697,508</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4,963,646</w:t>
            </w:r>
          </w:p>
        </w:tc>
        <w:tc>
          <w:tcPr>
            <w:tcW w:w="320" w:type="dxa"/>
            <w:vAlign w:val="bottom"/>
          </w:tcPr>
          <w:p>
            <w:pPr>
              <w:ind w:left="2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Deferred Compensation</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9,570,307</w:t>
            </w:r>
          </w:p>
        </w:tc>
        <w:tc>
          <w:tcPr>
            <w:tcW w:w="320" w:type="dxa"/>
            <w:vAlign w:val="bottom"/>
          </w:tcPr>
          <w:p>
            <w:pPr>
              <w:ind w:left="20"/>
              <w:spacing w:after="0"/>
              <w:rPr>
                <w:sz w:val="20"/>
                <w:szCs w:val="20"/>
                <w:color w:val="auto"/>
              </w:rPr>
            </w:pPr>
            <w:r>
              <w:rPr>
                <w:rFonts w:ascii="Arial" w:cs="Arial" w:eastAsia="Arial" w:hAnsi="Arial"/>
                <w:sz w:val="14"/>
                <w:szCs w:val="14"/>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9,570,307</w:t>
            </w:r>
          </w:p>
        </w:tc>
        <w:tc>
          <w:tcPr>
            <w:tcW w:w="320" w:type="dxa"/>
            <w:vAlign w:val="bottom"/>
          </w:tcPr>
          <w:p>
            <w:pPr>
              <w:ind w:left="2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9,570,307</w:t>
            </w:r>
          </w:p>
        </w:tc>
        <w:tc>
          <w:tcPr>
            <w:tcW w:w="320" w:type="dxa"/>
            <w:vAlign w:val="bottom"/>
          </w:tcPr>
          <w:p>
            <w:pPr>
              <w:ind w:left="20"/>
              <w:spacing w:after="0"/>
              <w:rPr>
                <w:sz w:val="20"/>
                <w:szCs w:val="20"/>
                <w:color w:val="auto"/>
              </w:rPr>
            </w:pPr>
            <w:r>
              <w:rPr>
                <w:rFonts w:ascii="Arial" w:cs="Arial" w:eastAsia="Arial" w:hAnsi="Arial"/>
                <w:sz w:val="14"/>
                <w:szCs w:val="14"/>
                <w:color w:val="auto"/>
              </w:rPr>
              <w:t>(10)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9,570,307</w:t>
            </w:r>
          </w:p>
        </w:tc>
        <w:tc>
          <w:tcPr>
            <w:tcW w:w="340" w:type="dxa"/>
            <w:vAlign w:val="bottom"/>
          </w:tcPr>
          <w:p>
            <w:pPr>
              <w:ind w:left="2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140"/>
              <w:spacing w:after="0" w:line="144" w:lineRule="exact"/>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22,323,105</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22,323,105</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22,323,105</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22,323,105</w:t>
            </w:r>
          </w:p>
        </w:tc>
        <w:tc>
          <w:tcPr>
            <w:tcW w:w="34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920" w:type="dxa"/>
            <w:vAlign w:val="bottom"/>
          </w:tcPr>
          <w:p>
            <w:pPr>
              <w:jc w:val="right"/>
              <w:ind w:right="188"/>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ind w:left="280"/>
              <w:spacing w:after="0"/>
              <w:rPr>
                <w:sz w:val="20"/>
                <w:szCs w:val="20"/>
                <w:color w:val="auto"/>
              </w:rPr>
            </w:pPr>
            <w:r>
              <w:rPr>
                <w:rFonts w:ascii="Arial" w:cs="Arial" w:eastAsia="Arial" w:hAnsi="Arial"/>
                <w:sz w:val="14"/>
                <w:szCs w:val="14"/>
                <w:b w:val="1"/>
                <w:bCs w:val="1"/>
                <w:color w:val="auto"/>
              </w:rPr>
              <w:t>K.P. March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42,749,941</w:t>
            </w: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42,328,725</w:t>
            </w:r>
          </w:p>
        </w:tc>
        <w:tc>
          <w:tcPr>
            <w:tcW w:w="32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10,435,313</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42,328,725</w:t>
            </w: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42,328,725</w:t>
            </w:r>
          </w:p>
        </w:tc>
        <w:tc>
          <w:tcPr>
            <w:tcW w:w="3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248,669</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B.T. Crutcher</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4,352</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1,442,751</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16,708,014</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16,708,014</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17,277,450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17,277,450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1,378,895</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B.T. Crutcher 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33,996,493</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35,430,407</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1,383,247</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K.J. Ritchie (1)</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2,131,015</w:t>
            </w:r>
          </w:p>
        </w:tc>
        <w:tc>
          <w:tcPr>
            <w:tcW w:w="320" w:type="dxa"/>
            <w:vAlign w:val="bottom"/>
          </w:tcPr>
          <w:p>
            <w:pPr>
              <w:ind w:left="20"/>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1,030,370</w:t>
            </w:r>
          </w:p>
        </w:tc>
        <w:tc>
          <w:tcPr>
            <w:tcW w:w="320" w:type="dxa"/>
            <w:vAlign w:val="bottom"/>
          </w:tcPr>
          <w:p>
            <w:pPr>
              <w:ind w:left="20"/>
              <w:spacing w:after="0"/>
              <w:rPr>
                <w:sz w:val="20"/>
                <w:szCs w:val="20"/>
                <w:color w:val="auto"/>
              </w:rPr>
            </w:pPr>
            <w:r>
              <w:rPr>
                <w:rFonts w:ascii="Arial" w:cs="Arial" w:eastAsia="Arial" w:hAnsi="Arial"/>
                <w:sz w:val="14"/>
                <w:szCs w:val="14"/>
                <w:color w:val="auto"/>
              </w:rPr>
              <w:t>(3)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2,025,110</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2,025,110</w:t>
            </w:r>
          </w:p>
        </w:tc>
        <w:tc>
          <w:tcPr>
            <w:tcW w:w="32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2,025,110</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926,549</w:t>
            </w:r>
          </w:p>
        </w:tc>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362,423</w:t>
            </w:r>
          </w:p>
        </w:tc>
        <w:tc>
          <w:tcPr>
            <w:tcW w:w="320" w:type="dxa"/>
            <w:vAlign w:val="bottom"/>
          </w:tcPr>
          <w:p>
            <w:pPr>
              <w:ind w:left="20"/>
              <w:spacing w:after="0"/>
              <w:rPr>
                <w:sz w:val="20"/>
                <w:szCs w:val="20"/>
                <w:color w:val="auto"/>
              </w:rPr>
            </w:pPr>
            <w:r>
              <w:rPr>
                <w:rFonts w:ascii="Arial" w:cs="Arial" w:eastAsia="Arial" w:hAnsi="Arial"/>
                <w:sz w:val="14"/>
                <w:szCs w:val="14"/>
                <w:color w:val="auto"/>
              </w:rPr>
              <w:t>(3)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709,436</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709,436</w:t>
            </w:r>
          </w:p>
        </w:tc>
        <w:tc>
          <w:tcPr>
            <w:tcW w:w="32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709,436</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709,436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11,085,929</w:t>
            </w:r>
          </w:p>
        </w:tc>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5,677,964</w:t>
            </w:r>
          </w:p>
        </w:tc>
        <w:tc>
          <w:tcPr>
            <w:tcW w:w="320" w:type="dxa"/>
            <w:vAlign w:val="bottom"/>
          </w:tcPr>
          <w:p>
            <w:pPr>
              <w:ind w:left="20"/>
              <w:spacing w:after="0"/>
              <w:rPr>
                <w:sz w:val="20"/>
                <w:szCs w:val="20"/>
                <w:color w:val="auto"/>
              </w:rPr>
            </w:pPr>
            <w:r>
              <w:rPr>
                <w:rFonts w:ascii="Arial" w:cs="Arial" w:eastAsia="Arial" w:hAnsi="Arial"/>
                <w:sz w:val="14"/>
                <w:szCs w:val="14"/>
                <w:color w:val="auto"/>
              </w:rPr>
              <w:t>(3)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11,162,457</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11,162,457</w:t>
            </w:r>
          </w:p>
        </w:tc>
        <w:tc>
          <w:tcPr>
            <w:tcW w:w="32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11,162,457</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6,826,246</w:t>
            </w:r>
          </w:p>
        </w:tc>
        <w:tc>
          <w:tcPr>
            <w:tcW w:w="320" w:type="dxa"/>
            <w:vAlign w:val="bottom"/>
          </w:tcPr>
          <w:p>
            <w:pPr>
              <w:ind w:left="2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Deferred Compensation</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13,637,655</w:t>
            </w:r>
          </w:p>
        </w:tc>
        <w:tc>
          <w:tcPr>
            <w:tcW w:w="320" w:type="dxa"/>
            <w:vAlign w:val="bottom"/>
          </w:tcPr>
          <w:p>
            <w:pPr>
              <w:ind w:left="20"/>
              <w:spacing w:after="0"/>
              <w:rPr>
                <w:sz w:val="20"/>
                <w:szCs w:val="20"/>
                <w:color w:val="auto"/>
              </w:rPr>
            </w:pPr>
            <w:r>
              <w:rPr>
                <w:rFonts w:ascii="Arial" w:cs="Arial" w:eastAsia="Arial" w:hAnsi="Arial"/>
                <w:sz w:val="14"/>
                <w:szCs w:val="14"/>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13,637,655</w:t>
            </w:r>
          </w:p>
        </w:tc>
        <w:tc>
          <w:tcPr>
            <w:tcW w:w="320" w:type="dxa"/>
            <w:vAlign w:val="bottom"/>
          </w:tcPr>
          <w:p>
            <w:pPr>
              <w:ind w:left="2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13,637,655</w:t>
            </w:r>
          </w:p>
        </w:tc>
        <w:tc>
          <w:tcPr>
            <w:tcW w:w="320" w:type="dxa"/>
            <w:vAlign w:val="bottom"/>
          </w:tcPr>
          <w:p>
            <w:pPr>
              <w:ind w:left="20"/>
              <w:spacing w:after="0"/>
              <w:rPr>
                <w:sz w:val="20"/>
                <w:szCs w:val="20"/>
                <w:color w:val="auto"/>
              </w:rPr>
            </w:pPr>
            <w:r>
              <w:rPr>
                <w:rFonts w:ascii="Arial" w:cs="Arial" w:eastAsia="Arial" w:hAnsi="Arial"/>
                <w:sz w:val="14"/>
                <w:szCs w:val="14"/>
                <w:color w:val="auto"/>
              </w:rPr>
              <w:t>(10)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13,637,655</w:t>
            </w:r>
          </w:p>
        </w:tc>
        <w:tc>
          <w:tcPr>
            <w:tcW w:w="340" w:type="dxa"/>
            <w:vAlign w:val="bottom"/>
          </w:tcPr>
          <w:p>
            <w:pPr>
              <w:ind w:left="2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140"/>
              <w:spacing w:after="0" w:line="144" w:lineRule="exact"/>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13,576,456</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13,576,456</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13,576,456</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13,576,456</w:t>
            </w:r>
          </w:p>
        </w:tc>
        <w:tc>
          <w:tcPr>
            <w:tcW w:w="34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920" w:type="dxa"/>
            <w:vAlign w:val="bottom"/>
          </w:tcPr>
          <w:p>
            <w:pPr>
              <w:jc w:val="right"/>
              <w:ind w:right="188"/>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ind w:left="280"/>
              <w:spacing w:after="0"/>
              <w:rPr>
                <w:sz w:val="20"/>
                <w:szCs w:val="20"/>
                <w:color w:val="auto"/>
              </w:rPr>
            </w:pPr>
            <w:r>
              <w:rPr>
                <w:rFonts w:ascii="Arial" w:cs="Arial" w:eastAsia="Arial" w:hAnsi="Arial"/>
                <w:sz w:val="14"/>
                <w:szCs w:val="14"/>
                <w:b w:val="1"/>
                <w:bCs w:val="1"/>
                <w:color w:val="auto"/>
              </w:rPr>
              <w:t>K.J. Ritchie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41,357,604</w:t>
            </w: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41,111,114</w:t>
            </w:r>
          </w:p>
        </w:tc>
        <w:tc>
          <w:tcPr>
            <w:tcW w:w="32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13,897,003</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41,111,114</w:t>
            </w: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41,111,114</w:t>
            </w:r>
          </w:p>
        </w:tc>
        <w:tc>
          <w:tcPr>
            <w:tcW w:w="3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709,436</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S.A. Anderson (1)</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Compensation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901,660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13,814,753</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13,814,753</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13,814,753</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13,814,753</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13,791,259</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13,791,259</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13,791,259</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13,791,259</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S.A. Anderson 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27,606,012</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28,507,672</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27,606,012</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27,606,012</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7"/>
          </w:tcPr>
          <w:p>
            <w:pPr>
              <w:jc w:val="right"/>
              <w:spacing w:after="0"/>
              <w:rPr>
                <w:sz w:val="20"/>
                <w:szCs w:val="20"/>
                <w:color w:val="auto"/>
              </w:rPr>
            </w:pPr>
            <w:r>
              <w:rPr>
                <w:rFonts w:ascii="Arial" w:cs="Arial" w:eastAsia="Arial" w:hAnsi="Arial"/>
                <w:sz w:val="13"/>
                <w:szCs w:val="13"/>
                <w:color w:val="666666"/>
              </w:rPr>
              <w:t>TEXAS INSTRUMENTS  •  2017 PROXY STATEMENT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666666"/>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4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Messrs. Templeton, March and Ritchie were retirement eligible for purposes of TI’s defined benefit pension plans and under the terms of their equity compensation awards as of December 31, 2016. Mr. Anderson was retirement eligible under the terms of his equity compensation awards as of December 31, 2016.</w:t>
      </w:r>
    </w:p>
    <w:p>
      <w:pPr>
        <w:spacing w:after="0" w:line="108" w:lineRule="exact"/>
        <w:rPr>
          <w:rFonts w:ascii="Arial" w:cs="Arial" w:eastAsia="Arial" w:hAnsi="Arial"/>
          <w:sz w:val="18"/>
          <w:szCs w:val="18"/>
          <w:color w:val="auto"/>
        </w:rPr>
      </w:pPr>
    </w:p>
    <w:p>
      <w:pPr>
        <w:ind w:left="460" w:right="200" w:hanging="452"/>
        <w:spacing w:after="0" w:line="257"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to the named executive officer in the event of termination as of December 31, 2016,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2016 and are described in note 6 to the 2016 pension benefits table.</w:t>
      </w:r>
    </w:p>
    <w:p>
      <w:pPr>
        <w:spacing w:after="0" w:line="94" w:lineRule="exact"/>
        <w:rPr>
          <w:rFonts w:ascii="Arial" w:cs="Arial" w:eastAsia="Arial" w:hAnsi="Arial"/>
          <w:sz w:val="17"/>
          <w:szCs w:val="17"/>
          <w:color w:val="auto"/>
        </w:rPr>
      </w:pPr>
    </w:p>
    <w:p>
      <w:pPr>
        <w:ind w:left="460" w:right="10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108"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2016, calculated as required by the terms of the plans assuming the earliest possible payment date.</w:t>
      </w:r>
    </w:p>
    <w:p>
      <w:pPr>
        <w:spacing w:after="0" w:line="102" w:lineRule="exact"/>
        <w:rPr>
          <w:rFonts w:ascii="Arial" w:cs="Arial" w:eastAsia="Arial" w:hAnsi="Arial"/>
          <w:sz w:val="18"/>
          <w:szCs w:val="18"/>
          <w:color w:val="auto"/>
        </w:rPr>
      </w:pPr>
    </w:p>
    <w:p>
      <w:pPr>
        <w:ind w:left="460" w:right="76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 above.</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460" w:right="28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Balance as of December 31, 2016, under the non-qualified deferred compensation plan. For all other termination events, balances are distributed in accordance with the participant’s distribution election.</w:t>
      </w:r>
    </w:p>
    <w:p>
      <w:pPr>
        <w:spacing w:after="0" w:line="102"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30, 2016 ($72.97). In the event of termination due to disability or death, all outstanding awards will continue to vest according to their terms. Please see the first table under “Outstanding equity awards at fiscal year-end 2016” for the number of unvested RSUs as of December 31, 2016, and the related discussion following that table of an additional outstanding RSU award held by Mr. Templeton.</w:t>
      </w:r>
    </w:p>
    <w:p>
      <w:pPr>
        <w:spacing w:after="0" w:line="107" w:lineRule="exact"/>
        <w:rPr>
          <w:rFonts w:ascii="Arial" w:cs="Arial" w:eastAsia="Arial" w:hAnsi="Arial"/>
          <w:sz w:val="18"/>
          <w:szCs w:val="18"/>
          <w:color w:val="auto"/>
        </w:rPr>
      </w:pPr>
    </w:p>
    <w:p>
      <w:pPr>
        <w:ind w:left="460" w:right="32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30, 2016 ($72.97).</w:t>
      </w:r>
    </w:p>
    <w:p>
      <w:pPr>
        <w:spacing w:after="0" w:line="102" w:lineRule="exact"/>
        <w:rPr>
          <w:rFonts w:ascii="Arial" w:cs="Arial" w:eastAsia="Arial" w:hAnsi="Arial"/>
          <w:sz w:val="18"/>
          <w:szCs w:val="18"/>
          <w:color w:val="auto"/>
        </w:rPr>
      </w:pPr>
    </w:p>
    <w:p>
      <w:pPr>
        <w:ind w:left="460" w:right="16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30, 2016 ($72.97). RSU awards stay in effect and pay out shares according to the vesting schedule.</w:t>
      </w:r>
    </w:p>
    <w:p>
      <w:pPr>
        <w:spacing w:after="0" w:line="102"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30, 2016 ($72.97), multiplied by the number of shares under such options as of December 31, 2016.</w:t>
      </w:r>
    </w:p>
    <w:p>
      <w:pPr>
        <w:spacing w:after="0" w:line="102" w:lineRule="exact"/>
        <w:rPr>
          <w:rFonts w:ascii="Arial" w:cs="Arial" w:eastAsia="Arial" w:hAnsi="Arial"/>
          <w:sz w:val="18"/>
          <w:szCs w:val="18"/>
          <w:color w:val="auto"/>
        </w:rPr>
      </w:pPr>
    </w:p>
    <w:p>
      <w:pPr>
        <w:ind w:left="460" w:right="10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30, 2016 ($72.97), multiplied by the number of shares under such options as of December 31, 2016.</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20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2016 for filing with the SEC.</w:t>
      </w:r>
    </w:p>
    <w:p>
      <w:pPr>
        <w:spacing w:after="0" w:line="224" w:lineRule="exact"/>
        <w:rPr>
          <w:sz w:val="20"/>
          <w:szCs w:val="20"/>
          <w:color w:val="auto"/>
        </w:rPr>
      </w:pPr>
    </w:p>
    <w:p>
      <w:pPr>
        <w:ind w:left="360"/>
        <w:spacing w:after="0"/>
        <w:tabs>
          <w:tab w:leader="none" w:pos="4180" w:val="left"/>
          <w:tab w:leader="none" w:pos="6780" w:val="left"/>
          <w:tab w:leader="none" w:pos="9540" w:val="left"/>
        </w:tabs>
        <w:rPr>
          <w:sz w:val="20"/>
          <w:szCs w:val="20"/>
          <w:color w:val="auto"/>
        </w:rPr>
      </w:pPr>
      <w:r>
        <w:rPr>
          <w:rFonts w:ascii="Arial" w:cs="Arial" w:eastAsia="Arial" w:hAnsi="Arial"/>
          <w:sz w:val="18"/>
          <w:szCs w:val="18"/>
          <w:color w:val="auto"/>
        </w:rPr>
        <w:t>Ralph W. Babb, Jr., Chair</w:t>
      </w:r>
      <w:r>
        <w:rPr>
          <w:sz w:val="20"/>
          <w:szCs w:val="20"/>
          <w:color w:val="auto"/>
        </w:rPr>
        <w:tab/>
      </w:r>
      <w:r>
        <w:rPr>
          <w:rFonts w:ascii="Arial" w:cs="Arial" w:eastAsia="Arial" w:hAnsi="Arial"/>
          <w:sz w:val="18"/>
          <w:szCs w:val="18"/>
          <w:color w:val="auto"/>
        </w:rPr>
        <w:t>Mark A. Blinn</w:t>
      </w:r>
      <w:r>
        <w:rPr>
          <w:sz w:val="20"/>
          <w:szCs w:val="20"/>
          <w:color w:val="auto"/>
        </w:rPr>
        <w:tab/>
      </w:r>
      <w:r>
        <w:rPr>
          <w:rFonts w:ascii="Arial" w:cs="Arial" w:eastAsia="Arial" w:hAnsi="Arial"/>
          <w:sz w:val="18"/>
          <w:szCs w:val="18"/>
          <w:color w:val="auto"/>
        </w:rPr>
        <w:t>Janet F. Clark</w:t>
      </w:r>
      <w:r>
        <w:rPr>
          <w:sz w:val="20"/>
          <w:szCs w:val="20"/>
          <w:color w:val="auto"/>
        </w:rPr>
        <w:tab/>
      </w:r>
      <w:r>
        <w:rPr>
          <w:rFonts w:ascii="Arial" w:cs="Arial" w:eastAsia="Arial" w:hAnsi="Arial"/>
          <w:sz w:val="18"/>
          <w:szCs w:val="18"/>
          <w:color w:val="auto"/>
        </w:rPr>
        <w:t>Jean M. Hobby</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2017.</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20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9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Ernst &amp; Young are expected to be present, and to be available to respond to appropriate questions, at the annual meeting.</w:t>
      </w:r>
    </w:p>
    <w:p>
      <w:pPr>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w:t>
            </w:r>
          </w:p>
        </w:tc>
        <w:tc>
          <w:tcPr>
            <w:tcW w:w="4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w w:val="99"/>
              </w:rPr>
              <w:t>9,664,000</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9,096,000</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Audit-Related</w:t>
            </w:r>
          </w:p>
        </w:tc>
        <w:tc>
          <w:tcPr>
            <w:tcW w:w="4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789,000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795,000</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w:t>
            </w:r>
          </w:p>
        </w:tc>
        <w:tc>
          <w:tcPr>
            <w:tcW w:w="4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w w:val="99"/>
              </w:rPr>
              <w:t>3,238,000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2,827,000</w:t>
            </w: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All Other</w:t>
            </w:r>
          </w:p>
        </w:tc>
        <w:tc>
          <w:tcPr>
            <w:tcW w:w="4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28,000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29,000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services provided were as follows:</w:t>
      </w:r>
    </w:p>
    <w:p>
      <w:pPr>
        <w:spacing w:after="0" w:line="212"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97"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w:t>
      </w:r>
    </w:p>
    <w:p>
      <w:pPr>
        <w:spacing w:after="0"/>
        <w:rPr>
          <w:sz w:val="20"/>
          <w:szCs w:val="20"/>
          <w:color w:val="auto"/>
        </w:rPr>
      </w:pPr>
      <w:r>
        <w:rPr>
          <w:rFonts w:ascii="Arial" w:cs="Arial" w:eastAsia="Arial" w:hAnsi="Arial"/>
          <w:sz w:val="18"/>
          <w:szCs w:val="18"/>
          <w:color w:val="auto"/>
        </w:rPr>
        <w:t>and foreign tax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Other: TI Foundation audit and training.</w:t>
      </w:r>
    </w:p>
    <w:p>
      <w:pPr>
        <w:spacing w:after="0" w:line="21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43</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2016.</w:t>
      </w:r>
    </w:p>
    <w:p>
      <w:pPr>
        <w:spacing w:after="0" w:line="19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2017.</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Voting securities</w:t>
      </w:r>
    </w:p>
    <w:p>
      <w:pPr>
        <w:spacing w:after="0" w:line="205"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21, 2017, may vote at the meeting or any adjournment of the meeting. As of February 21, 2017, 999,639,733 shares of TI common stock were outstanding. This is the only class of capital stock entitled to vote at the meeting. Each holder of common stock has one vote for each share held.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Security ownership of certain beneficial owners</w:t>
      </w:r>
    </w:p>
    <w:p>
      <w:pPr>
        <w:spacing w:after="0" w:line="20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following table shows the only persons who have reported beneficial ownership of more than 5 percent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20" w:type="dxa"/>
            <w:vAlign w:val="bottom"/>
          </w:tcPr>
          <w:p>
            <w:pPr>
              <w:jc w:val="right"/>
              <w:ind w:right="336"/>
              <w:spacing w:after="0"/>
              <w:rPr>
                <w:sz w:val="20"/>
                <w:szCs w:val="20"/>
                <w:color w:val="auto"/>
              </w:rPr>
            </w:pPr>
            <w:r>
              <w:rPr>
                <w:rFonts w:ascii="Arial" w:cs="Arial" w:eastAsia="Arial" w:hAnsi="Arial"/>
                <w:sz w:val="14"/>
                <w:szCs w:val="14"/>
                <w:b w:val="1"/>
                <w:bCs w:val="1"/>
                <w:color w:val="auto"/>
              </w:rPr>
              <w:t>Shares Owned at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24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2016</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The Vanguard Group</w:t>
            </w:r>
          </w:p>
        </w:tc>
        <w:tc>
          <w:tcPr>
            <w:tcW w:w="24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100 Vanguard Blvd.</w:t>
            </w:r>
          </w:p>
        </w:tc>
        <w:tc>
          <w:tcPr>
            <w:tcW w:w="2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Malvern, PA 19355</w:t>
            </w:r>
          </w:p>
        </w:tc>
        <w:tc>
          <w:tcPr>
            <w:tcW w:w="2420" w:type="dxa"/>
            <w:vAlign w:val="bottom"/>
            <w:shd w:val="clear" w:color="auto" w:fill="CCEEFF"/>
          </w:tcPr>
          <w:p>
            <w:pPr>
              <w:jc w:val="right"/>
              <w:ind w:right="236"/>
              <w:spacing w:after="0" w:line="203" w:lineRule="exact"/>
              <w:rPr>
                <w:sz w:val="20"/>
                <w:szCs w:val="20"/>
                <w:color w:val="auto"/>
              </w:rPr>
            </w:pPr>
            <w:r>
              <w:rPr>
                <w:rFonts w:ascii="Arial" w:cs="Arial" w:eastAsia="Arial" w:hAnsi="Arial"/>
                <w:sz w:val="18"/>
                <w:szCs w:val="18"/>
                <w:color w:val="auto"/>
              </w:rPr>
              <w:t>76,095,137 (1)</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418"/>
        </w:trPr>
        <w:tc>
          <w:tcPr>
            <w:tcW w:w="8040" w:type="dxa"/>
            <w:vAlign w:val="bottom"/>
            <w:gridSpan w:val="2"/>
          </w:tcPr>
          <w:p>
            <w:pPr>
              <w:spacing w:after="0"/>
              <w:rPr>
                <w:sz w:val="20"/>
                <w:szCs w:val="20"/>
                <w:color w:val="auto"/>
              </w:rPr>
            </w:pPr>
            <w:r>
              <w:rPr>
                <w:rFonts w:ascii="Arial" w:cs="Arial" w:eastAsia="Arial" w:hAnsi="Arial"/>
                <w:sz w:val="18"/>
                <w:szCs w:val="18"/>
                <w:color w:val="auto"/>
              </w:rPr>
              <w:t>Capital Research Global Investors (2)</w:t>
            </w: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333 South Hope Street</w:t>
            </w: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40" w:type="dxa"/>
            <w:vAlign w:val="bottom"/>
            <w:gridSpan w:val="2"/>
          </w:tcPr>
          <w:p>
            <w:pPr>
              <w:spacing w:after="0"/>
              <w:rPr>
                <w:sz w:val="20"/>
                <w:szCs w:val="20"/>
                <w:color w:val="auto"/>
              </w:rPr>
            </w:pPr>
            <w:r>
              <w:rPr>
                <w:rFonts w:ascii="Arial" w:cs="Arial" w:eastAsia="Arial" w:hAnsi="Arial"/>
                <w:sz w:val="18"/>
                <w:szCs w:val="18"/>
                <w:color w:val="auto"/>
              </w:rPr>
              <w:t>Los Angeles, CA 90071</w:t>
            </w:r>
          </w:p>
        </w:tc>
        <w:tc>
          <w:tcPr>
            <w:tcW w:w="2420" w:type="dxa"/>
            <w:vAlign w:val="bottom"/>
          </w:tcPr>
          <w:p>
            <w:pPr>
              <w:jc w:val="right"/>
              <w:ind w:right="236"/>
              <w:spacing w:after="0"/>
              <w:rPr>
                <w:sz w:val="20"/>
                <w:szCs w:val="20"/>
                <w:color w:val="auto"/>
              </w:rPr>
            </w:pPr>
            <w:r>
              <w:rPr>
                <w:rFonts w:ascii="Arial" w:cs="Arial" w:eastAsia="Arial" w:hAnsi="Arial"/>
                <w:sz w:val="18"/>
                <w:szCs w:val="18"/>
                <w:color w:val="auto"/>
              </w:rPr>
              <w:t>64,081,361 (3)</w:t>
            </w:r>
          </w:p>
        </w:tc>
        <w:tc>
          <w:tcPr>
            <w:tcW w:w="96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BlackRock, Inc.</w:t>
            </w:r>
          </w:p>
        </w:tc>
        <w:tc>
          <w:tcPr>
            <w:tcW w:w="2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New York, NY 10055</w:t>
            </w:r>
          </w:p>
        </w:tc>
        <w:tc>
          <w:tcPr>
            <w:tcW w:w="2420" w:type="dxa"/>
            <w:vAlign w:val="bottom"/>
            <w:shd w:val="clear" w:color="auto" w:fill="CCEEFF"/>
          </w:tcPr>
          <w:p>
            <w:pPr>
              <w:jc w:val="right"/>
              <w:ind w:right="236"/>
              <w:spacing w:after="0" w:line="203" w:lineRule="exact"/>
              <w:rPr>
                <w:sz w:val="20"/>
                <w:szCs w:val="20"/>
                <w:color w:val="auto"/>
              </w:rPr>
            </w:pPr>
            <w:r>
              <w:rPr>
                <w:rFonts w:ascii="Arial" w:cs="Arial" w:eastAsia="Arial" w:hAnsi="Arial"/>
                <w:sz w:val="18"/>
                <w:szCs w:val="18"/>
                <w:color w:val="auto"/>
              </w:rPr>
              <w:t>62,941,800 (4)</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418"/>
        </w:trPr>
        <w:tc>
          <w:tcPr>
            <w:tcW w:w="8040" w:type="dxa"/>
            <w:vAlign w:val="bottom"/>
            <w:gridSpan w:val="2"/>
          </w:tcPr>
          <w:p>
            <w:pPr>
              <w:spacing w:after="0"/>
              <w:rPr>
                <w:sz w:val="20"/>
                <w:szCs w:val="20"/>
                <w:color w:val="auto"/>
              </w:rPr>
            </w:pPr>
            <w:r>
              <w:rPr>
                <w:rFonts w:ascii="Arial" w:cs="Arial" w:eastAsia="Arial" w:hAnsi="Arial"/>
                <w:sz w:val="18"/>
                <w:szCs w:val="18"/>
                <w:color w:val="auto"/>
              </w:rPr>
              <w:t>Capital World Investors (2)</w:t>
            </w: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2" w:lineRule="exact"/>
              <w:rPr>
                <w:sz w:val="20"/>
                <w:szCs w:val="20"/>
                <w:color w:val="auto"/>
              </w:rPr>
            </w:pPr>
            <w:r>
              <w:rPr>
                <w:rFonts w:ascii="Arial" w:cs="Arial" w:eastAsia="Arial" w:hAnsi="Arial"/>
                <w:sz w:val="18"/>
                <w:szCs w:val="18"/>
                <w:color w:val="auto"/>
              </w:rPr>
              <w:t>333 South Hope Street</w:t>
            </w: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40" w:type="dxa"/>
            <w:vAlign w:val="bottom"/>
            <w:gridSpan w:val="2"/>
          </w:tcPr>
          <w:p>
            <w:pPr>
              <w:spacing w:after="0"/>
              <w:rPr>
                <w:sz w:val="20"/>
                <w:szCs w:val="20"/>
                <w:color w:val="auto"/>
              </w:rPr>
            </w:pPr>
            <w:r>
              <w:rPr>
                <w:rFonts w:ascii="Arial" w:cs="Arial" w:eastAsia="Arial" w:hAnsi="Arial"/>
                <w:sz w:val="18"/>
                <w:szCs w:val="18"/>
                <w:color w:val="auto"/>
              </w:rPr>
              <w:t>Los Angeles, CA 90071</w:t>
            </w:r>
          </w:p>
        </w:tc>
        <w:tc>
          <w:tcPr>
            <w:tcW w:w="2420" w:type="dxa"/>
            <w:vAlign w:val="bottom"/>
          </w:tcPr>
          <w:p>
            <w:pPr>
              <w:jc w:val="right"/>
              <w:ind w:right="236"/>
              <w:spacing w:after="0"/>
              <w:rPr>
                <w:sz w:val="20"/>
                <w:szCs w:val="20"/>
                <w:color w:val="auto"/>
              </w:rPr>
            </w:pPr>
            <w:r>
              <w:rPr>
                <w:rFonts w:ascii="Arial" w:cs="Arial" w:eastAsia="Arial" w:hAnsi="Arial"/>
                <w:sz w:val="18"/>
                <w:szCs w:val="18"/>
                <w:color w:val="auto"/>
              </w:rPr>
              <w:t>53,007,241 (5)</w:t>
            </w: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660" w:hanging="452"/>
        <w:spacing w:after="0" w:line="246"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According to its Form 13G filing, The Vanguard Group has sole voting power for 1,566,804, shared voting power for 188,609, sole dispositive power for 74,355,091 and shared dispositive power for 1,740,046 of these shares.</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division of Capital Research and Management Company (CRMC).</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0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According to its Form 13G filing, Capital Research Global Investors is deemed to be the beneficial owner of these shares as a result of CRMC acting as an investment advisor to various investment companies. Capital Research Global Investors has sole dispositive power and sole voting power for these shares.</w:t>
      </w:r>
    </w:p>
    <w:p>
      <w:pPr>
        <w:spacing w:after="0" w:line="108" w:lineRule="exact"/>
        <w:rPr>
          <w:rFonts w:ascii="Arial" w:cs="Arial" w:eastAsia="Arial" w:hAnsi="Arial"/>
          <w:sz w:val="18"/>
          <w:szCs w:val="18"/>
          <w:color w:val="auto"/>
        </w:rPr>
      </w:pPr>
    </w:p>
    <w:p>
      <w:pPr>
        <w:ind w:left="460" w:right="300" w:hanging="452"/>
        <w:spacing w:after="0" w:line="246"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According to its Form 13G filing, BlackRock, Inc. has sole voting power for 51,697,857 shares, shared voting power for 15,738 shares, sole dispositive power for 62,926,062 shares and shared dispositive power for 15,738 shares.</w:t>
      </w:r>
    </w:p>
    <w:p>
      <w:pPr>
        <w:spacing w:after="0" w:line="102" w:lineRule="exact"/>
        <w:rPr>
          <w:rFonts w:ascii="Arial" w:cs="Arial" w:eastAsia="Arial" w:hAnsi="Arial"/>
          <w:sz w:val="18"/>
          <w:szCs w:val="18"/>
          <w:color w:val="auto"/>
        </w:rPr>
      </w:pPr>
    </w:p>
    <w:p>
      <w:pPr>
        <w:ind w:left="460" w:right="4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According to its Form 13G filing, Capital World Investors is deemed to be the beneficial owner of these shares as a result of CRMC acting as an investment advisor to various investment companies. Capital World Investors has sole voting power and sole dispositive power for these shares.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Security ownership of directors and management</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120" w:type="dxa"/>
            <w:vAlign w:val="bottom"/>
          </w:tcPr>
          <w:p>
            <w:pPr>
              <w:jc w:val="right"/>
              <w:ind w:right="492"/>
              <w:spacing w:after="0"/>
              <w:rPr>
                <w:sz w:val="20"/>
                <w:szCs w:val="20"/>
                <w:color w:val="auto"/>
              </w:rPr>
            </w:pPr>
            <w:r>
              <w:rPr>
                <w:rFonts w:ascii="Arial" w:cs="Arial" w:eastAsia="Arial" w:hAnsi="Arial"/>
                <w:sz w:val="14"/>
                <w:szCs w:val="14"/>
                <w:b w:val="1"/>
                <w:bCs w:val="1"/>
                <w:color w:val="auto"/>
              </w:rPr>
              <w:t>Shares Owned at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r>
      <w:tr>
        <w:trPr>
          <w:trHeight w:val="189"/>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December 31, 2016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Class</w:t>
            </w:r>
          </w:p>
        </w:tc>
      </w:tr>
      <w:tr>
        <w:trPr>
          <w:trHeight w:val="196"/>
        </w:trPr>
        <w:tc>
          <w:tcPr>
            <w:tcW w:w="6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(1)</w:t>
            </w:r>
          </w:p>
        </w:tc>
        <w:tc>
          <w:tcPr>
            <w:tcW w:w="4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R. W. Babb, Jr.</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92,179</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 A. Blinn</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32,296</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D. A. Carp</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149,634</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 F. Clark</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8,552</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C. S. Cox</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106,700</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 M. Hobby</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2,000</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R. Kirk</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25,000</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145,008</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R. E. Sanchez</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64,268</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91,150</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R. K. Templeton</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3,788,950</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 T. Whitman</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124,121</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311"/>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Management (2)</w:t>
            </w:r>
          </w:p>
        </w:tc>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 P. March</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863,074</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B. T. Crutcher</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648,381</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455,075</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S. A. Anderson</w:t>
            </w:r>
          </w:p>
        </w:tc>
        <w:tc>
          <w:tcPr>
            <w:tcW w:w="4120" w:type="dxa"/>
            <w:vAlign w:val="bottom"/>
          </w:tcPr>
          <w:p>
            <w:pPr>
              <w:jc w:val="right"/>
              <w:ind w:right="632"/>
              <w:spacing w:after="0" w:line="202" w:lineRule="exact"/>
              <w:rPr>
                <w:sz w:val="20"/>
                <w:szCs w:val="20"/>
                <w:color w:val="auto"/>
              </w:rPr>
            </w:pPr>
            <w:r>
              <w:rPr>
                <w:rFonts w:ascii="Arial" w:cs="Arial" w:eastAsia="Arial" w:hAnsi="Arial"/>
                <w:sz w:val="18"/>
                <w:szCs w:val="18"/>
                <w:color w:val="auto"/>
              </w:rPr>
              <w:t>495,815</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executive officers and directors as a group (3)</w:t>
            </w:r>
          </w:p>
        </w:tc>
        <w:tc>
          <w:tcPr>
            <w:tcW w:w="4120" w:type="dxa"/>
            <w:vAlign w:val="bottom"/>
            <w:shd w:val="clear" w:color="auto" w:fill="CCEEFF"/>
          </w:tcPr>
          <w:p>
            <w:pPr>
              <w:jc w:val="right"/>
              <w:ind w:right="632"/>
              <w:spacing w:after="0" w:line="202" w:lineRule="exact"/>
              <w:rPr>
                <w:sz w:val="20"/>
                <w:szCs w:val="20"/>
                <w:color w:val="auto"/>
              </w:rPr>
            </w:pPr>
            <w:r>
              <w:rPr>
                <w:rFonts w:ascii="Arial" w:cs="Arial" w:eastAsia="Arial" w:hAnsi="Arial"/>
                <w:sz w:val="18"/>
                <w:szCs w:val="18"/>
                <w:color w:val="auto"/>
              </w:rPr>
              <w:t>9,619,542</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338"/>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40"/>
              <w:spacing w:after="0"/>
              <w:rPr>
                <w:sz w:val="20"/>
                <w:szCs w:val="20"/>
                <w:color w:val="auto"/>
              </w:rPr>
            </w:pPr>
            <w:r>
              <w:rPr>
                <w:rFonts w:ascii="Arial" w:cs="Arial" w:eastAsia="Arial" w:hAnsi="Arial"/>
                <w:sz w:val="18"/>
                <w:szCs w:val="18"/>
                <w:color w:val="auto"/>
              </w:rPr>
              <w:t>less than 1 percent.</w:t>
            </w:r>
          </w:p>
        </w:tc>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07" w:lineRule="exact"/>
        <w:rPr>
          <w:sz w:val="20"/>
          <w:szCs w:val="20"/>
          <w:color w:val="auto"/>
        </w:rPr>
      </w:pPr>
    </w:p>
    <w:p>
      <w:pPr>
        <w:ind w:left="460" w:right="16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Bluedorn was elected to the board effective March 1, 2017. On that date, he was granted 2,000 restricted stock units pursuant to the terms of the 2009 Director Compensation Plan.</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45</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center"/>
              <w:ind w:left="175"/>
              <w:spacing w:after="0"/>
              <w:rPr>
                <w:sz w:val="20"/>
                <w:szCs w:val="20"/>
                <w:color w:val="auto"/>
              </w:rPr>
            </w:pPr>
            <w:r>
              <w:rPr>
                <w:rFonts w:ascii="Arial" w:cs="Arial" w:eastAsia="Arial" w:hAnsi="Arial"/>
                <w:sz w:val="14"/>
                <w:szCs w:val="14"/>
                <w:b w:val="1"/>
                <w:bCs w:val="1"/>
                <w:color w:val="auto"/>
              </w:rPr>
              <w:t>Shares</w:t>
            </w:r>
          </w:p>
        </w:tc>
      </w:tr>
      <w:tr>
        <w:trPr>
          <w:trHeight w:val="162"/>
        </w:trPr>
        <w:tc>
          <w:tcPr>
            <w:tcW w:w="3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spacing w:after="0"/>
              <w:rPr>
                <w:sz w:val="14"/>
                <w:szCs w:val="14"/>
                <w:color w:val="auto"/>
              </w:rPr>
            </w:pPr>
          </w:p>
        </w:tc>
        <w:tc>
          <w:tcPr>
            <w:tcW w:w="1260" w:type="dxa"/>
            <w:vAlign w:val="bottom"/>
          </w:tcPr>
          <w:p>
            <w:pPr>
              <w:jc w:val="center"/>
              <w:ind w:left="155"/>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3160" w:type="dxa"/>
            <w:vAlign w:val="bottom"/>
          </w:tcPr>
          <w:p>
            <w:pPr>
              <w:spacing w:after="0"/>
              <w:rPr>
                <w:sz w:val="14"/>
                <w:szCs w:val="14"/>
                <w:color w:val="auto"/>
              </w:rPr>
            </w:pPr>
          </w:p>
        </w:tc>
        <w:tc>
          <w:tcPr>
            <w:tcW w:w="3180" w:type="dxa"/>
            <w:vAlign w:val="bottom"/>
          </w:tcPr>
          <w:p>
            <w:pPr>
              <w:jc w:val="center"/>
              <w:ind w:left="1454"/>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Credited to</w:t>
            </w:r>
          </w:p>
        </w:tc>
        <w:tc>
          <w:tcPr>
            <w:tcW w:w="1520" w:type="dxa"/>
            <w:vAlign w:val="bottom"/>
          </w:tcPr>
          <w:p>
            <w:pPr>
              <w:spacing w:after="0"/>
              <w:rPr>
                <w:sz w:val="14"/>
                <w:szCs w:val="14"/>
                <w:color w:val="auto"/>
              </w:rPr>
            </w:pPr>
          </w:p>
        </w:tc>
        <w:tc>
          <w:tcPr>
            <w:tcW w:w="1260" w:type="dxa"/>
            <w:vAlign w:val="bottom"/>
          </w:tcPr>
          <w:p>
            <w:pPr>
              <w:jc w:val="center"/>
              <w:ind w:left="175"/>
              <w:spacing w:after="0"/>
              <w:rPr>
                <w:sz w:val="20"/>
                <w:szCs w:val="20"/>
                <w:color w:val="auto"/>
              </w:rPr>
            </w:pPr>
            <w:r>
              <w:rPr>
                <w:rFonts w:ascii="Arial" w:cs="Arial" w:eastAsia="Arial" w:hAnsi="Arial"/>
                <w:sz w:val="14"/>
                <w:szCs w:val="14"/>
                <w:b w:val="1"/>
                <w:bCs w:val="1"/>
                <w:color w:val="auto"/>
              </w:rPr>
              <w:t>to Deferred</w:t>
            </w:r>
          </w:p>
        </w:tc>
      </w:tr>
      <w:tr>
        <w:trPr>
          <w:trHeight w:val="162"/>
        </w:trPr>
        <w:tc>
          <w:tcPr>
            <w:tcW w:w="3160" w:type="dxa"/>
            <w:vAlign w:val="bottom"/>
          </w:tcPr>
          <w:p>
            <w:pPr>
              <w:spacing w:after="0"/>
              <w:rPr>
                <w:sz w:val="14"/>
                <w:szCs w:val="14"/>
                <w:color w:val="auto"/>
              </w:rPr>
            </w:pPr>
          </w:p>
        </w:tc>
        <w:tc>
          <w:tcPr>
            <w:tcW w:w="3180" w:type="dxa"/>
            <w:vAlign w:val="bottom"/>
          </w:tcPr>
          <w:p>
            <w:pPr>
              <w:jc w:val="center"/>
              <w:ind w:left="1434"/>
              <w:spacing w:after="0"/>
              <w:rPr>
                <w:sz w:val="20"/>
                <w:szCs w:val="20"/>
                <w:color w:val="auto"/>
              </w:rPr>
            </w:pPr>
            <w:r>
              <w:rPr>
                <w:rFonts w:ascii="Arial" w:cs="Arial" w:eastAsia="Arial" w:hAnsi="Arial"/>
                <w:sz w:val="14"/>
                <w:szCs w:val="14"/>
                <w:b w:val="1"/>
                <w:bCs w:val="1"/>
                <w:color w:val="auto"/>
              </w:rPr>
              <w:t>Obtainable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401(k)</w:t>
            </w:r>
          </w:p>
        </w:tc>
        <w:tc>
          <w:tcPr>
            <w:tcW w:w="1520" w:type="dxa"/>
            <w:vAlign w:val="bottom"/>
          </w:tcPr>
          <w:p>
            <w:pPr>
              <w:jc w:val="right"/>
              <w:ind w:right="473"/>
              <w:spacing w:after="0"/>
              <w:rPr>
                <w:sz w:val="20"/>
                <w:szCs w:val="20"/>
                <w:color w:val="auto"/>
              </w:rPr>
            </w:pPr>
            <w:r>
              <w:rPr>
                <w:rFonts w:ascii="Arial" w:cs="Arial" w:eastAsia="Arial" w:hAnsi="Arial"/>
                <w:sz w:val="14"/>
                <w:szCs w:val="14"/>
                <w:b w:val="1"/>
                <w:bCs w:val="1"/>
                <w:color w:val="auto"/>
              </w:rPr>
              <w:t>RSUs</w:t>
            </w:r>
          </w:p>
        </w:tc>
        <w:tc>
          <w:tcPr>
            <w:tcW w:w="1260" w:type="dxa"/>
            <w:vAlign w:val="bottom"/>
          </w:tcPr>
          <w:p>
            <w:pPr>
              <w:jc w:val="center"/>
              <w:ind w:left="175"/>
              <w:spacing w:after="0"/>
              <w:rPr>
                <w:sz w:val="20"/>
                <w:szCs w:val="20"/>
                <w:color w:val="auto"/>
              </w:rPr>
            </w:pPr>
            <w:r>
              <w:rPr>
                <w:rFonts w:ascii="Arial" w:cs="Arial" w:eastAsia="Arial" w:hAnsi="Arial"/>
                <w:sz w:val="14"/>
                <w:szCs w:val="14"/>
                <w:b w:val="1"/>
                <w:bCs w:val="1"/>
                <w:color w:val="auto"/>
              </w:rPr>
              <w:t>Compensation</w:t>
            </w:r>
          </w:p>
        </w:tc>
      </w:tr>
      <w:tr>
        <w:trPr>
          <w:trHeight w:val="189"/>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w:t>
            </w:r>
          </w:p>
        </w:tc>
        <w:tc>
          <w:tcPr>
            <w:tcW w:w="3180" w:type="dxa"/>
            <w:vAlign w:val="bottom"/>
            <w:tcBorders>
              <w:bottom w:val="single" w:sz="8" w:color="auto"/>
            </w:tcBorders>
          </w:tcPr>
          <w:p>
            <w:pPr>
              <w:jc w:val="center"/>
              <w:ind w:left="1454"/>
              <w:spacing w:after="0"/>
              <w:rPr>
                <w:sz w:val="20"/>
                <w:szCs w:val="20"/>
                <w:color w:val="auto"/>
              </w:rPr>
            </w:pPr>
            <w:r>
              <w:rPr>
                <w:rFonts w:ascii="Arial" w:cs="Arial" w:eastAsia="Arial" w:hAnsi="Arial"/>
                <w:sz w:val="14"/>
                <w:szCs w:val="14"/>
                <w:b w:val="1"/>
                <w:bCs w:val="1"/>
                <w:color w:val="auto"/>
              </w:rPr>
              <w:t>within 60 Days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w:t>
            </w: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 Shares) (a)</w:t>
            </w:r>
          </w:p>
        </w:tc>
        <w:tc>
          <w:tcPr>
            <w:tcW w:w="1260" w:type="dxa"/>
            <w:vAlign w:val="bottom"/>
            <w:tcBorders>
              <w:bottom w:val="single" w:sz="8" w:color="auto"/>
            </w:tcBorders>
          </w:tcPr>
          <w:p>
            <w:pPr>
              <w:jc w:val="center"/>
              <w:ind w:left="175"/>
              <w:spacing w:after="0"/>
              <w:rPr>
                <w:sz w:val="20"/>
                <w:szCs w:val="20"/>
                <w:color w:val="auto"/>
              </w:rPr>
            </w:pPr>
            <w:r>
              <w:rPr>
                <w:rFonts w:ascii="Arial" w:cs="Arial" w:eastAsia="Arial" w:hAnsi="Arial"/>
                <w:sz w:val="14"/>
                <w:szCs w:val="14"/>
                <w:b w:val="1"/>
                <w:bCs w:val="1"/>
                <w:color w:val="auto"/>
              </w:rPr>
              <w:t>Accounts (b)</w:t>
            </w: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3180" w:type="dxa"/>
            <w:vAlign w:val="bottom"/>
            <w:shd w:val="clear" w:color="auto" w:fill="CCEEFF"/>
          </w:tcPr>
          <w:p>
            <w:pPr>
              <w:jc w:val="right"/>
              <w:ind w:right="434"/>
              <w:spacing w:after="0" w:line="196" w:lineRule="exact"/>
              <w:rPr>
                <w:sz w:val="20"/>
                <w:szCs w:val="20"/>
                <w:color w:val="auto"/>
              </w:rPr>
            </w:pPr>
            <w:r>
              <w:rPr>
                <w:rFonts w:ascii="Arial" w:cs="Arial" w:eastAsia="Arial" w:hAnsi="Arial"/>
                <w:sz w:val="18"/>
                <w:szCs w:val="18"/>
                <w:color w:val="auto"/>
              </w:rPr>
              <w:t>53,897</w:t>
            </w:r>
          </w:p>
        </w:tc>
        <w:tc>
          <w:tcPr>
            <w:tcW w:w="1380" w:type="dxa"/>
            <w:vAlign w:val="bottom"/>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line="196" w:lineRule="exact"/>
              <w:rPr>
                <w:sz w:val="20"/>
                <w:szCs w:val="20"/>
                <w:color w:val="auto"/>
              </w:rPr>
            </w:pPr>
            <w:r>
              <w:rPr>
                <w:rFonts w:ascii="Arial" w:cs="Arial" w:eastAsia="Arial" w:hAnsi="Arial"/>
                <w:sz w:val="18"/>
                <w:szCs w:val="18"/>
                <w:color w:val="auto"/>
              </w:rPr>
              <w:t>17,035</w:t>
            </w:r>
          </w:p>
        </w:tc>
        <w:tc>
          <w:tcPr>
            <w:tcW w:w="1260" w:type="dxa"/>
            <w:vAlign w:val="bottom"/>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rPr>
              <w:t>20,247</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318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16,990</w:t>
            </w:r>
          </w:p>
        </w:tc>
        <w:tc>
          <w:tcPr>
            <w:tcW w:w="138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8,010</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7,296</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3180" w:type="dxa"/>
            <w:vAlign w:val="bottom"/>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74,897</w:t>
            </w:r>
          </w:p>
        </w:tc>
        <w:tc>
          <w:tcPr>
            <w:tcW w:w="138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33,699</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41,038</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J. F. Clark</w:t>
            </w:r>
          </w:p>
        </w:tc>
        <w:tc>
          <w:tcPr>
            <w:tcW w:w="318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2,497</w:t>
            </w:r>
          </w:p>
        </w:tc>
        <w:tc>
          <w:tcPr>
            <w:tcW w:w="138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3,889</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2,166</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3180" w:type="dxa"/>
            <w:vAlign w:val="bottom"/>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74,897</w:t>
            </w:r>
          </w:p>
        </w:tc>
        <w:tc>
          <w:tcPr>
            <w:tcW w:w="138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27,035</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1,629</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318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2,000</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Kirk</w:t>
            </w:r>
          </w:p>
        </w:tc>
        <w:tc>
          <w:tcPr>
            <w:tcW w:w="3180" w:type="dxa"/>
            <w:vAlign w:val="bottom"/>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16,990</w:t>
            </w:r>
          </w:p>
        </w:tc>
        <w:tc>
          <w:tcPr>
            <w:tcW w:w="138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8,010</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318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74,897</w:t>
            </w:r>
          </w:p>
        </w:tc>
        <w:tc>
          <w:tcPr>
            <w:tcW w:w="138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11,058</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43,076</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E. Sanchez</w:t>
            </w:r>
          </w:p>
        </w:tc>
        <w:tc>
          <w:tcPr>
            <w:tcW w:w="3180" w:type="dxa"/>
            <w:vAlign w:val="bottom"/>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43,895</w:t>
            </w:r>
          </w:p>
        </w:tc>
        <w:tc>
          <w:tcPr>
            <w:tcW w:w="138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9,058</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6,225</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W. R. Sanders</w:t>
            </w:r>
          </w:p>
        </w:tc>
        <w:tc>
          <w:tcPr>
            <w:tcW w:w="318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53,897</w:t>
            </w:r>
          </w:p>
        </w:tc>
        <w:tc>
          <w:tcPr>
            <w:tcW w:w="138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18,658</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1,618</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 Templeton</w:t>
            </w:r>
          </w:p>
        </w:tc>
        <w:tc>
          <w:tcPr>
            <w:tcW w:w="3180" w:type="dxa"/>
            <w:vAlign w:val="bottom"/>
            <w:shd w:val="clear" w:color="auto" w:fill="CCEEFF"/>
          </w:tcPr>
          <w:p>
            <w:pPr>
              <w:jc w:val="right"/>
              <w:ind w:right="434"/>
              <w:spacing w:after="0" w:line="202" w:lineRule="exact"/>
              <w:rPr>
                <w:sz w:val="20"/>
                <w:szCs w:val="20"/>
                <w:color w:val="auto"/>
              </w:rPr>
            </w:pPr>
            <w:r>
              <w:rPr>
                <w:rFonts w:ascii="Arial" w:cs="Arial" w:eastAsia="Arial" w:hAnsi="Arial"/>
                <w:sz w:val="18"/>
                <w:szCs w:val="18"/>
                <w:color w:val="auto"/>
              </w:rPr>
              <w:t>2,822,716</w:t>
            </w:r>
          </w:p>
        </w:tc>
        <w:tc>
          <w:tcPr>
            <w:tcW w:w="138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13,154</w:t>
            </w:r>
          </w:p>
        </w:tc>
        <w:tc>
          <w:tcPr>
            <w:tcW w:w="152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589,555</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C. T. Whitman</w:t>
            </w:r>
          </w:p>
        </w:tc>
        <w:tc>
          <w:tcPr>
            <w:tcW w:w="3180" w:type="dxa"/>
            <w:vAlign w:val="bottom"/>
          </w:tcPr>
          <w:p>
            <w:pPr>
              <w:jc w:val="right"/>
              <w:ind w:right="434"/>
              <w:spacing w:after="0"/>
              <w:rPr>
                <w:sz w:val="20"/>
                <w:szCs w:val="20"/>
                <w:color w:val="auto"/>
              </w:rPr>
            </w:pPr>
            <w:r>
              <w:rPr>
                <w:rFonts w:ascii="Arial" w:cs="Arial" w:eastAsia="Arial" w:hAnsi="Arial"/>
                <w:sz w:val="18"/>
                <w:szCs w:val="18"/>
                <w:color w:val="auto"/>
              </w:rPr>
              <w:t>74,897</w:t>
            </w:r>
          </w:p>
        </w:tc>
        <w:tc>
          <w:tcPr>
            <w:tcW w:w="13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rPr>
                <w:sz w:val="20"/>
                <w:szCs w:val="20"/>
                <w:color w:val="auto"/>
              </w:rPr>
            </w:pPr>
            <w:r>
              <w:rPr>
                <w:rFonts w:ascii="Arial" w:cs="Arial" w:eastAsia="Arial" w:hAnsi="Arial"/>
                <w:sz w:val="18"/>
                <w:szCs w:val="18"/>
                <w:color w:val="auto"/>
              </w:rPr>
              <w:t>24,535</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9,697</w:t>
            </w:r>
          </w:p>
        </w:tc>
      </w:tr>
    </w:tbl>
    <w:p>
      <w:pPr>
        <w:spacing w:after="0" w:line="106" w:lineRule="exact"/>
        <w:rPr>
          <w:sz w:val="20"/>
          <w:szCs w:val="20"/>
          <w:color w:val="auto"/>
        </w:rPr>
      </w:pPr>
    </w:p>
    <w:p>
      <w:pPr>
        <w:ind w:left="900" w:right="2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108"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4440" w:type="dxa"/>
            <w:vAlign w:val="bottom"/>
          </w:tcPr>
          <w:p>
            <w:pPr>
              <w:ind w:left="3440"/>
              <w:spacing w:after="0"/>
              <w:rPr>
                <w:sz w:val="20"/>
                <w:szCs w:val="20"/>
                <w:color w:val="auto"/>
              </w:rPr>
            </w:pPr>
            <w:r>
              <w:rPr>
                <w:rFonts w:ascii="Arial" w:cs="Arial" w:eastAsia="Arial" w:hAnsi="Arial"/>
                <w:sz w:val="14"/>
                <w:szCs w:val="14"/>
                <w:b w:val="1"/>
                <w:bCs w:val="1"/>
                <w:color w:val="auto"/>
              </w:rPr>
              <w:t>Shares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Credited to</w:t>
            </w:r>
          </w:p>
        </w:tc>
        <w:tc>
          <w:tcPr>
            <w:tcW w:w="12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4440" w:type="dxa"/>
            <w:vAlign w:val="bottom"/>
          </w:tcPr>
          <w:p>
            <w:pPr>
              <w:ind w:left="3300"/>
              <w:spacing w:after="0"/>
              <w:rPr>
                <w:sz w:val="20"/>
                <w:szCs w:val="20"/>
                <w:color w:val="auto"/>
              </w:rPr>
            </w:pPr>
            <w:r>
              <w:rPr>
                <w:rFonts w:ascii="Arial" w:cs="Arial" w:eastAsia="Arial" w:hAnsi="Arial"/>
                <w:sz w:val="14"/>
                <w:szCs w:val="14"/>
                <w:b w:val="1"/>
                <w:bCs w:val="1"/>
                <w:color w:val="auto"/>
              </w:rPr>
              <w:t>Obtainable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401(k)</w:t>
            </w:r>
          </w:p>
        </w:tc>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RSUs</w:t>
            </w:r>
          </w:p>
        </w:tc>
      </w:tr>
      <w:tr>
        <w:trPr>
          <w:trHeight w:val="189"/>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Officer</w:t>
            </w:r>
          </w:p>
        </w:tc>
        <w:tc>
          <w:tcPr>
            <w:tcW w:w="444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within 60 Days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 P. March</w:t>
            </w:r>
          </w:p>
        </w:tc>
        <w:tc>
          <w:tcPr>
            <w:tcW w:w="4440" w:type="dxa"/>
            <w:vAlign w:val="bottom"/>
            <w:shd w:val="clear" w:color="auto" w:fill="CCEEFF"/>
          </w:tcPr>
          <w:p>
            <w:pPr>
              <w:ind w:left="3320"/>
              <w:spacing w:after="0" w:line="196" w:lineRule="exact"/>
              <w:rPr>
                <w:sz w:val="20"/>
                <w:szCs w:val="20"/>
                <w:color w:val="auto"/>
              </w:rPr>
            </w:pPr>
            <w:r>
              <w:rPr>
                <w:rFonts w:ascii="Arial" w:cs="Arial" w:eastAsia="Arial" w:hAnsi="Arial"/>
                <w:sz w:val="18"/>
                <w:szCs w:val="18"/>
                <w:color w:val="auto"/>
              </w:rPr>
              <w:t>529,485</w:t>
            </w:r>
          </w:p>
        </w:tc>
        <w:tc>
          <w:tcPr>
            <w:tcW w:w="1360" w:type="dxa"/>
            <w:vAlign w:val="bottom"/>
            <w:shd w:val="clear" w:color="auto" w:fill="CCEEFF"/>
          </w:tcPr>
          <w:p>
            <w:pPr>
              <w:jc w:val="right"/>
              <w:ind w:right="439"/>
              <w:spacing w:after="0" w:line="196" w:lineRule="exact"/>
              <w:rPr>
                <w:sz w:val="20"/>
                <w:szCs w:val="20"/>
                <w:color w:val="auto"/>
              </w:rPr>
            </w:pPr>
            <w:r>
              <w:rPr>
                <w:rFonts w:ascii="Arial" w:cs="Arial" w:eastAsia="Arial" w:hAnsi="Arial"/>
                <w:sz w:val="18"/>
                <w:szCs w:val="18"/>
                <w:color w:val="auto"/>
              </w:rPr>
              <w:t>2,120</w:t>
            </w:r>
          </w:p>
        </w:tc>
        <w:tc>
          <w:tcPr>
            <w:tcW w:w="12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131,154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B. T. Crutcher</w:t>
            </w:r>
          </w:p>
        </w:tc>
        <w:tc>
          <w:tcPr>
            <w:tcW w:w="4440" w:type="dxa"/>
            <w:vAlign w:val="bottom"/>
          </w:tcPr>
          <w:p>
            <w:pPr>
              <w:ind w:left="3320"/>
              <w:spacing w:after="0" w:line="202" w:lineRule="exact"/>
              <w:rPr>
                <w:sz w:val="20"/>
                <w:szCs w:val="20"/>
                <w:color w:val="auto"/>
              </w:rPr>
            </w:pPr>
            <w:r>
              <w:rPr>
                <w:rFonts w:ascii="Arial" w:cs="Arial" w:eastAsia="Arial" w:hAnsi="Arial"/>
                <w:sz w:val="18"/>
                <w:szCs w:val="18"/>
                <w:color w:val="auto"/>
              </w:rPr>
              <w:t>339,131</w:t>
            </w:r>
          </w:p>
        </w:tc>
        <w:tc>
          <w:tcPr>
            <w:tcW w:w="1360" w:type="dxa"/>
            <w:vAlign w:val="bottom"/>
          </w:tcPr>
          <w:p>
            <w:pPr>
              <w:jc w:val="right"/>
              <w:ind w:right="439"/>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320"/>
              <w:spacing w:after="0" w:line="202" w:lineRule="exact"/>
              <w:rPr>
                <w:sz w:val="20"/>
                <w:szCs w:val="20"/>
                <w:color w:val="auto"/>
              </w:rPr>
            </w:pPr>
            <w:r>
              <w:rPr>
                <w:rFonts w:ascii="Arial" w:cs="Arial" w:eastAsia="Arial" w:hAnsi="Arial"/>
                <w:sz w:val="18"/>
                <w:szCs w:val="18"/>
                <w:color w:val="auto"/>
              </w:rPr>
              <w:t>228,971</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4440" w:type="dxa"/>
            <w:vAlign w:val="bottom"/>
            <w:shd w:val="clear" w:color="auto" w:fill="CCEEFF"/>
          </w:tcPr>
          <w:p>
            <w:pPr>
              <w:ind w:left="3320"/>
              <w:spacing w:after="0" w:line="202" w:lineRule="exact"/>
              <w:rPr>
                <w:sz w:val="20"/>
                <w:szCs w:val="20"/>
                <w:color w:val="auto"/>
              </w:rPr>
            </w:pPr>
            <w:r>
              <w:rPr>
                <w:rFonts w:ascii="Arial" w:cs="Arial" w:eastAsia="Arial" w:hAnsi="Arial"/>
                <w:sz w:val="18"/>
                <w:szCs w:val="18"/>
                <w:color w:val="auto"/>
              </w:rPr>
              <w:t>266,937</w:t>
            </w:r>
          </w:p>
        </w:tc>
        <w:tc>
          <w:tcPr>
            <w:tcW w:w="1360" w:type="dxa"/>
            <w:vAlign w:val="bottom"/>
            <w:shd w:val="clear" w:color="auto" w:fill="CCEEFF"/>
          </w:tcPr>
          <w:p>
            <w:pPr>
              <w:jc w:val="right"/>
              <w:ind w:right="439"/>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186,894</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S. A. Anderson</w:t>
            </w:r>
          </w:p>
        </w:tc>
        <w:tc>
          <w:tcPr>
            <w:tcW w:w="4440" w:type="dxa"/>
            <w:vAlign w:val="bottom"/>
          </w:tcPr>
          <w:p>
            <w:pPr>
              <w:ind w:left="3320"/>
              <w:spacing w:after="0"/>
              <w:rPr>
                <w:sz w:val="20"/>
                <w:szCs w:val="20"/>
                <w:color w:val="auto"/>
              </w:rPr>
            </w:pPr>
            <w:r>
              <w:rPr>
                <w:rFonts w:ascii="Arial" w:cs="Arial" w:eastAsia="Arial" w:hAnsi="Arial"/>
                <w:sz w:val="18"/>
                <w:szCs w:val="18"/>
                <w:color w:val="auto"/>
              </w:rPr>
              <w:t>306,494</w:t>
            </w:r>
          </w:p>
        </w:tc>
        <w:tc>
          <w:tcPr>
            <w:tcW w:w="136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1220" w:type="dxa"/>
            <w:vAlign w:val="bottom"/>
          </w:tcPr>
          <w:p>
            <w:pPr>
              <w:ind w:left="320"/>
              <w:spacing w:after="0"/>
              <w:rPr>
                <w:sz w:val="20"/>
                <w:szCs w:val="20"/>
                <w:color w:val="auto"/>
              </w:rPr>
            </w:pPr>
            <w:r>
              <w:rPr>
                <w:rFonts w:ascii="Arial" w:cs="Arial" w:eastAsia="Arial" w:hAnsi="Arial"/>
                <w:sz w:val="18"/>
                <w:szCs w:val="18"/>
                <w:color w:val="auto"/>
              </w:rPr>
              <w:t>189,321</w:t>
            </w:r>
          </w:p>
        </w:tc>
      </w:tr>
    </w:tbl>
    <w:p>
      <w:pPr>
        <w:spacing w:after="0" w:line="10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6,685,805 shares obtainable within 60 days;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34,572 shares credited to 401(k) accounts;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2,024,572 shares subject to RSU awards; for the terms of these RSUs, please see pages 15 and 35; and</w:t>
      </w:r>
    </w:p>
    <w:p>
      <w:pPr>
        <w:spacing w:after="0" w:line="117" w:lineRule="exact"/>
        <w:rPr>
          <w:rFonts w:ascii="Arial" w:cs="Arial" w:eastAsia="Arial" w:hAnsi="Arial"/>
          <w:sz w:val="18"/>
          <w:szCs w:val="18"/>
          <w:color w:val="auto"/>
        </w:rPr>
      </w:pPr>
    </w:p>
    <w:p>
      <w:pPr>
        <w:ind w:left="900" w:right="440" w:hanging="446"/>
        <w:spacing w:after="0" w:line="246"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132,991 shares credited to certain non-employee directors’ deferred compensation accounts; shares in deferred compensation accounts are issued following a director’s termination of service.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Related person transactions</w:t>
      </w:r>
    </w:p>
    <w:p>
      <w:pPr>
        <w:spacing w:after="0" w:line="2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0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117"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139"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20" w:hanging="446"/>
        <w:spacing w:after="0" w:line="23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107" w:lineRule="exact"/>
        <w:rPr>
          <w:rFonts w:ascii="Arial" w:cs="Arial" w:eastAsia="Arial" w:hAnsi="Arial"/>
          <w:sz w:val="18"/>
          <w:szCs w:val="18"/>
          <w:color w:val="auto"/>
        </w:rPr>
      </w:pPr>
    </w:p>
    <w:p>
      <w:pPr>
        <w:ind w:left="900" w:right="520" w:hanging="446"/>
        <w:spacing w:after="0" w:line="24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percent or greater ownership interest, by which someone listed in (a) is employed, or of which someone listed in (a) is a director, principal or partner.</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20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required approvals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Arrangement Involving:</w:t>
            </w:r>
          </w:p>
        </w:tc>
        <w:tc>
          <w:tcPr>
            <w:tcW w:w="39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Approval Required by:</w:t>
            </w:r>
          </w:p>
        </w:tc>
      </w:tr>
      <w:tr>
        <w:trPr>
          <w:trHeight w:val="195"/>
        </w:trPr>
        <w:tc>
          <w:tcPr>
            <w:tcW w:w="7460" w:type="dxa"/>
            <w:vAlign w:val="bottom"/>
          </w:tcPr>
          <w:p>
            <w:pPr>
              <w:spacing w:after="0" w:line="195"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960" w:type="dxa"/>
            <w:vAlign w:val="bottom"/>
          </w:tcPr>
          <w:p>
            <w:pPr>
              <w:ind w:left="800"/>
              <w:spacing w:after="0" w:line="195" w:lineRule="exact"/>
              <w:rPr>
                <w:sz w:val="20"/>
                <w:szCs w:val="20"/>
                <w:color w:val="auto"/>
              </w:rPr>
            </w:pPr>
            <w:r>
              <w:rPr>
                <w:rFonts w:ascii="Arial" w:cs="Arial" w:eastAsia="Arial" w:hAnsi="Arial"/>
                <w:sz w:val="18"/>
                <w:szCs w:val="18"/>
                <w:color w:val="auto"/>
              </w:rPr>
              <w:t>G&amp;SR Committee</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Member of such person, or an entity in which any of the foregoing has a 5 percent</w:t>
            </w:r>
          </w:p>
        </w:tc>
        <w:tc>
          <w:tcPr>
            <w:tcW w:w="3960" w:type="dxa"/>
            <w:vAlign w:val="bottom"/>
          </w:tcPr>
          <w:p>
            <w:pPr>
              <w:spacing w:after="0"/>
              <w:rPr>
                <w:sz w:val="17"/>
                <w:szCs w:val="17"/>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8"/>
                <w:szCs w:val="18"/>
                <w:color w:val="auto"/>
              </w:rPr>
              <w:t>or greater ownership interest</w:t>
            </w:r>
          </w:p>
        </w:tc>
        <w:tc>
          <w:tcPr>
            <w:tcW w:w="3960" w:type="dxa"/>
            <w:vAlign w:val="bottom"/>
          </w:tcPr>
          <w:p>
            <w:pPr>
              <w:spacing w:after="0"/>
              <w:rPr>
                <w:sz w:val="18"/>
                <w:szCs w:val="18"/>
                <w:color w:val="auto"/>
              </w:rPr>
            </w:pPr>
          </w:p>
        </w:tc>
      </w:tr>
      <w:tr>
        <w:trPr>
          <w:trHeight w:val="404"/>
        </w:trPr>
        <w:tc>
          <w:tcPr>
            <w:tcW w:w="7460" w:type="dxa"/>
            <w:vAlign w:val="bottom"/>
          </w:tcPr>
          <w:p>
            <w:pPr>
              <w:spacing w:after="0"/>
              <w:rPr>
                <w:sz w:val="20"/>
                <w:szCs w:val="20"/>
                <w:color w:val="auto"/>
              </w:rPr>
            </w:pPr>
            <w:r>
              <w:rPr>
                <w:rFonts w:ascii="Arial" w:cs="Arial" w:eastAsia="Arial" w:hAnsi="Arial"/>
                <w:sz w:val="18"/>
                <w:szCs w:val="18"/>
                <w:color w:val="auto"/>
              </w:rPr>
              <w:t>Chair of the G&amp;SR Committee, chief compliance officer, any of his or her Immediate</w:t>
            </w:r>
          </w:p>
        </w:tc>
        <w:tc>
          <w:tcPr>
            <w:tcW w:w="3960" w:type="dxa"/>
            <w:vAlign w:val="bottom"/>
          </w:tcPr>
          <w:p>
            <w:pPr>
              <w:ind w:left="800"/>
              <w:spacing w:after="0"/>
              <w:rPr>
                <w:sz w:val="20"/>
                <w:szCs w:val="20"/>
                <w:color w:val="auto"/>
              </w:rPr>
            </w:pPr>
            <w:r>
              <w:rPr>
                <w:rFonts w:ascii="Arial" w:cs="Arial" w:eastAsia="Arial" w:hAnsi="Arial"/>
                <w:sz w:val="18"/>
                <w:szCs w:val="18"/>
                <w:color w:val="auto"/>
              </w:rPr>
              <w:t>G&amp;SR Committee</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Family Members, or an entity in which any of the foregoing has a 5 percent or</w:t>
            </w:r>
          </w:p>
        </w:tc>
        <w:tc>
          <w:tcPr>
            <w:tcW w:w="3960" w:type="dxa"/>
            <w:vAlign w:val="bottom"/>
          </w:tcPr>
          <w:p>
            <w:pPr>
              <w:spacing w:after="0"/>
              <w:rPr>
                <w:sz w:val="17"/>
                <w:szCs w:val="17"/>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8"/>
                <w:szCs w:val="18"/>
                <w:color w:val="auto"/>
              </w:rPr>
              <w:t>greater ownership interest</w:t>
            </w:r>
          </w:p>
        </w:tc>
        <w:tc>
          <w:tcPr>
            <w:tcW w:w="3960" w:type="dxa"/>
            <w:vAlign w:val="bottom"/>
          </w:tcPr>
          <w:p>
            <w:pPr>
              <w:spacing w:after="0"/>
              <w:rPr>
                <w:sz w:val="18"/>
                <w:szCs w:val="18"/>
                <w:color w:val="auto"/>
              </w:rPr>
            </w:pPr>
          </w:p>
        </w:tc>
      </w:tr>
    </w:tbl>
    <w:p>
      <w:pPr>
        <w:spacing w:after="0" w:line="19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5" w:lineRule="exact"/>
        <w:rPr>
          <w:sz w:val="20"/>
          <w:szCs w:val="20"/>
          <w:color w:val="auto"/>
        </w:rPr>
      </w:pPr>
    </w:p>
    <w:p>
      <w:pPr>
        <w:jc w:val="both"/>
        <w:ind w:right="1460"/>
        <w:spacing w:after="0"/>
        <w:rPr>
          <w:sz w:val="20"/>
          <w:szCs w:val="20"/>
          <w:color w:val="auto"/>
        </w:rPr>
      </w:pPr>
      <w:r>
        <w:rPr>
          <w:rFonts w:ascii="Arial" w:cs="Arial" w:eastAsia="Arial" w:hAnsi="Arial"/>
          <w:sz w:val="18"/>
          <w:szCs w:val="18"/>
          <w:color w:val="auto"/>
        </w:rPr>
        <w:t>Any other director or executive officer, an Immediate Family Member of such person, or an entity in which any of the foregoing has a 5 percent or greater ownership 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5 percent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Compliance Officer</w:t>
      </w:r>
    </w:p>
    <w:p>
      <w:pPr>
        <w:spacing w:after="0" w:line="234" w:lineRule="auto"/>
        <w:rPr>
          <w:sz w:val="20"/>
          <w:szCs w:val="20"/>
          <w:color w:val="auto"/>
        </w:rPr>
      </w:pPr>
      <w:r>
        <w:rPr>
          <w:rFonts w:ascii="Arial" w:cs="Arial" w:eastAsia="Arial" w:hAnsi="Arial"/>
          <w:sz w:val="18"/>
          <w:szCs w:val="18"/>
          <w:color w:val="auto"/>
        </w:rPr>
        <w:t>in consultation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 of the G&amp;SR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G&amp;SR Committee</w:t>
      </w:r>
    </w:p>
    <w:p>
      <w:pPr>
        <w:spacing w:after="0" w:line="200" w:lineRule="exact"/>
        <w:rPr>
          <w:sz w:val="20"/>
          <w:szCs w:val="20"/>
          <w:color w:val="auto"/>
        </w:rPr>
      </w:pPr>
    </w:p>
    <w:p>
      <w:pPr>
        <w:sectPr>
          <w:pgSz w:w="11900" w:h="16838" w:orient="portrait"/>
          <w:cols w:equalWidth="0" w:num="2">
            <w:col w:w="7540" w:space="720"/>
            <w:col w:w="3160"/>
          </w:cols>
          <w:pgMar w:left="240" w:top="459" w:right="239" w:bottom="1440" w:gutter="0" w:footer="0" w:header="0"/>
          <w:type w:val="continuous"/>
        </w:sectPr>
      </w:pPr>
    </w:p>
    <w:p>
      <w:pPr>
        <w:spacing w:after="0" w:line="1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No member of the G&amp;SR Committee will participate in the consideration of a related person arrangement in which such member or any of his or her Immediate Family Members is the related person.</w:t>
      </w:r>
    </w:p>
    <w:p>
      <w:pPr>
        <w:spacing w:after="0" w:line="1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20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224" w:lineRule="exact"/>
        <w:rPr>
          <w:sz w:val="20"/>
          <w:szCs w:val="20"/>
          <w:color w:val="auto"/>
        </w:rPr>
      </w:pPr>
    </w:p>
    <w:p>
      <w:pPr>
        <w:ind w:left="780" w:right="100" w:hanging="556"/>
        <w:spacing w:after="0" w:line="234"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percent holder is their position as such;</w:t>
      </w:r>
    </w:p>
    <w:p>
      <w:pPr>
        <w:spacing w:after="0" w:line="1" w:lineRule="exact"/>
        <w:rPr>
          <w:rFonts w:ascii="Arial" w:cs="Arial" w:eastAsia="Arial" w:hAnsi="Arial"/>
          <w:sz w:val="18"/>
          <w:szCs w:val="18"/>
          <w:color w:val="auto"/>
        </w:rPr>
      </w:pPr>
    </w:p>
    <w:p>
      <w:pPr>
        <w:ind w:left="780" w:right="60" w:hanging="556"/>
        <w:spacing w:after="0" w:line="234"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780" w:right="500" w:hanging="556"/>
        <w:spacing w:after="0" w:line="246"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47</w:t>
            </w:r>
          </w:p>
        </w:tc>
      </w:tr>
    </w:tbl>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80" w:hanging="55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ind w:left="1120" w:right="220" w:hanging="321"/>
        <w:spacing w:after="0" w:line="234" w:lineRule="auto"/>
        <w:tabs>
          <w:tab w:leader="none" w:pos="1120" w:val="left"/>
        </w:tabs>
        <w:numPr>
          <w:ilvl w:val="1"/>
          <w:numId w:val="74"/>
        </w:numPr>
        <w:rPr>
          <w:rFonts w:ascii="Arial" w:cs="Arial" w:eastAsia="Arial" w:hAnsi="Arial"/>
          <w:sz w:val="15"/>
          <w:szCs w:val="15"/>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percent of the outstanding equity of such party;</w:t>
      </w:r>
    </w:p>
    <w:p>
      <w:pPr>
        <w:spacing w:after="0" w:line="1" w:lineRule="exact"/>
        <w:rPr>
          <w:rFonts w:ascii="Arial" w:cs="Arial" w:eastAsia="Arial" w:hAnsi="Arial"/>
          <w:sz w:val="15"/>
          <w:szCs w:val="15"/>
          <w:color w:val="auto"/>
        </w:rPr>
      </w:pPr>
    </w:p>
    <w:p>
      <w:pPr>
        <w:ind w:left="1120" w:hanging="321"/>
        <w:spacing w:after="0" w:line="234" w:lineRule="auto"/>
        <w:tabs>
          <w:tab w:leader="none" w:pos="1120" w:val="left"/>
        </w:tabs>
        <w:numPr>
          <w:ilvl w:val="1"/>
          <w:numId w:val="74"/>
        </w:numPr>
        <w:rPr>
          <w:rFonts w:ascii="Arial" w:cs="Arial" w:eastAsia="Arial" w:hAnsi="Arial"/>
          <w:sz w:val="15"/>
          <w:szCs w:val="15"/>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percent of the total ownership interest of the limited partnership;</w:t>
      </w:r>
    </w:p>
    <w:p>
      <w:pPr>
        <w:spacing w:after="0" w:line="1" w:lineRule="exact"/>
        <w:rPr>
          <w:rFonts w:ascii="Arial" w:cs="Arial" w:eastAsia="Arial" w:hAnsi="Arial"/>
          <w:sz w:val="15"/>
          <w:szCs w:val="15"/>
          <w:color w:val="auto"/>
        </w:rPr>
      </w:pPr>
    </w:p>
    <w:p>
      <w:pPr>
        <w:ind w:left="1120" w:hanging="321"/>
        <w:spacing w:after="0" w:line="234" w:lineRule="auto"/>
        <w:tabs>
          <w:tab w:leader="none" w:pos="1120" w:val="left"/>
        </w:tabs>
        <w:numPr>
          <w:ilvl w:val="1"/>
          <w:numId w:val="74"/>
        </w:numPr>
        <w:rPr>
          <w:rFonts w:ascii="Arial" w:cs="Arial" w:eastAsia="Arial" w:hAnsi="Arial"/>
          <w:sz w:val="15"/>
          <w:szCs w:val="15"/>
          <w:color w:val="auto"/>
        </w:rPr>
      </w:pPr>
      <w:r>
        <w:rPr>
          <w:rFonts w:ascii="Arial" w:cs="Arial" w:eastAsia="Arial" w:hAnsi="Arial"/>
          <w:sz w:val="18"/>
          <w:szCs w:val="18"/>
          <w:color w:val="auto"/>
        </w:rPr>
        <w:t>their position as a director of another corporation or organization;</w:t>
      </w:r>
    </w:p>
    <w:p>
      <w:pPr>
        <w:ind w:left="1120" w:hanging="321"/>
        <w:spacing w:after="0" w:line="234" w:lineRule="auto"/>
        <w:tabs>
          <w:tab w:leader="none" w:pos="1120" w:val="left"/>
        </w:tabs>
        <w:numPr>
          <w:ilvl w:val="1"/>
          <w:numId w:val="74"/>
        </w:numPr>
        <w:rPr>
          <w:rFonts w:ascii="Arial" w:cs="Arial" w:eastAsia="Arial" w:hAnsi="Arial"/>
          <w:sz w:val="15"/>
          <w:szCs w:val="15"/>
          <w:color w:val="auto"/>
        </w:rPr>
      </w:pPr>
      <w:r>
        <w:rPr>
          <w:rFonts w:ascii="Arial" w:cs="Arial" w:eastAsia="Arial" w:hAnsi="Arial"/>
          <w:sz w:val="18"/>
          <w:szCs w:val="18"/>
          <w:color w:val="auto"/>
        </w:rPr>
        <w:t>the ownership of TI stock and all holders of that class of stock receive the same benefit on a pro-rata basis;</w:t>
      </w:r>
    </w:p>
    <w:p>
      <w:pPr>
        <w:ind w:left="780" w:hanging="556"/>
        <w:spacing w:after="0" w:line="234"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Transactions in the ordinary course of business where the only relationship of a TI director or executive officer, or their Immediate Family Member is as an employee (other than an executive officer) and/or less than a 10 percent beneficial owner of the other entity if</w:t>
      </w:r>
    </w:p>
    <w:p>
      <w:pPr>
        <w:spacing w:after="0" w:line="1" w:lineRule="exact"/>
        <w:rPr>
          <w:rFonts w:ascii="Arial" w:cs="Arial" w:eastAsia="Arial" w:hAnsi="Arial"/>
          <w:sz w:val="18"/>
          <w:szCs w:val="18"/>
          <w:color w:val="auto"/>
        </w:rPr>
      </w:pPr>
    </w:p>
    <w:p>
      <w:pPr>
        <w:ind w:left="780" w:right="160"/>
        <w:spacing w:after="0" w:line="234" w:lineRule="auto"/>
        <w:rPr>
          <w:rFonts w:ascii="Arial" w:cs="Arial" w:eastAsia="Arial" w:hAnsi="Arial"/>
          <w:sz w:val="18"/>
          <w:szCs w:val="18"/>
          <w:color w:val="auto"/>
        </w:rPr>
      </w:pPr>
      <w:r>
        <w:rPr>
          <w:rFonts w:ascii="Arial" w:cs="Arial" w:eastAsia="Arial" w:hAnsi="Arial"/>
          <w:sz w:val="18"/>
          <w:szCs w:val="18"/>
          <w:color w:val="auto"/>
        </w:rPr>
        <w:t>(i) the TI director or executive officer is not involved in negotiating the terms of the transaction and (ii) amounts involved for the fiscal year do not exceed the greater of $200,000 or 2 percent of the entity’s consolidated gross revenues for that year;</w:t>
      </w:r>
    </w:p>
    <w:p>
      <w:pPr>
        <w:spacing w:after="0" w:line="1" w:lineRule="exact"/>
        <w:rPr>
          <w:rFonts w:ascii="Arial" w:cs="Arial" w:eastAsia="Arial" w:hAnsi="Arial"/>
          <w:sz w:val="18"/>
          <w:szCs w:val="18"/>
          <w:color w:val="auto"/>
        </w:rPr>
      </w:pPr>
    </w:p>
    <w:p>
      <w:pPr>
        <w:ind w:left="780" w:right="20" w:hanging="556"/>
        <w:spacing w:after="0" w:line="234"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percent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3" w:lineRule="exact"/>
        <w:rPr>
          <w:rFonts w:ascii="Arial" w:cs="Arial" w:eastAsia="Arial" w:hAnsi="Arial"/>
          <w:sz w:val="18"/>
          <w:szCs w:val="18"/>
          <w:color w:val="auto"/>
        </w:rPr>
      </w:pPr>
    </w:p>
    <w:p>
      <w:pPr>
        <w:ind w:left="780" w:right="80" w:hanging="556"/>
        <w:spacing w:after="0" w:line="239"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20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During 2016, the son of R. Gregory Delagi (Senior Vice President) was employed in our facilities organization. Mr. Delagi was not involved in any decisions regarding his son’s employment at TI, and the compensation of his son was consistent with that of similarly situated employees.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Compensation committee interlocks and insider participation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2016, Messrs. Carp and Sanchez and Mses. Patsley and Whitman served on the Compensation Committee. No committee member</w:t>
      </w:r>
    </w:p>
    <w:p>
      <w:pPr>
        <w:ind w:right="180" w:firstLine="8"/>
        <w:spacing w:after="0" w:line="239" w:lineRule="auto"/>
        <w:tabs>
          <w:tab w:leader="none" w:pos="2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Cost of solicitation</w:t>
      </w:r>
    </w:p>
    <w:p>
      <w:pPr>
        <w:spacing w:after="0" w:line="20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Stockholder proposals and nominations for 2018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980" w:type="dxa"/>
            <w:vAlign w:val="bottom"/>
          </w:tcPr>
          <w:p>
            <w:pPr>
              <w:jc w:val="center"/>
              <w:ind w:left="60"/>
              <w:spacing w:after="0"/>
              <w:rPr>
                <w:sz w:val="20"/>
                <w:szCs w:val="20"/>
                <w:color w:val="auto"/>
              </w:rPr>
            </w:pPr>
            <w:r>
              <w:rPr>
                <w:rFonts w:ascii="Arial" w:cs="Arial" w:eastAsia="Arial" w:hAnsi="Arial"/>
                <w:sz w:val="14"/>
                <w:szCs w:val="14"/>
                <w:b w:val="1"/>
                <w:bCs w:val="1"/>
                <w:color w:val="auto"/>
              </w:rPr>
              <w:t>Other Proposals/Nominees to be</w:t>
            </w: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300" w:type="dxa"/>
            <w:vAlign w:val="bottom"/>
          </w:tcPr>
          <w:p>
            <w:pPr>
              <w:ind w:left="540"/>
              <w:spacing w:after="0"/>
              <w:rPr>
                <w:sz w:val="20"/>
                <w:szCs w:val="20"/>
                <w:color w:val="auto"/>
              </w:rPr>
            </w:pPr>
            <w:r>
              <w:rPr>
                <w:rFonts w:ascii="Arial" w:cs="Arial" w:eastAsia="Arial" w:hAnsi="Arial"/>
                <w:sz w:val="14"/>
                <w:szCs w:val="14"/>
                <w:b w:val="1"/>
                <w:bCs w:val="1"/>
                <w:color w:val="auto"/>
              </w:rPr>
              <w:t>Director Nominees for Inclusion</w:t>
            </w:r>
          </w:p>
        </w:tc>
        <w:tc>
          <w:tcPr>
            <w:tcW w:w="2980" w:type="dxa"/>
            <w:vAlign w:val="bottom"/>
          </w:tcPr>
          <w:p>
            <w:pPr>
              <w:jc w:val="center"/>
              <w:ind w:left="40"/>
              <w:spacing w:after="0"/>
              <w:rPr>
                <w:sz w:val="20"/>
                <w:szCs w:val="20"/>
                <w:color w:val="auto"/>
              </w:rPr>
            </w:pPr>
            <w:r>
              <w:rPr>
                <w:rFonts w:ascii="Arial" w:cs="Arial" w:eastAsia="Arial" w:hAnsi="Arial"/>
                <w:sz w:val="14"/>
                <w:szCs w:val="14"/>
                <w:b w:val="1"/>
                <w:bCs w:val="1"/>
                <w:color w:val="auto"/>
              </w:rPr>
              <w:t>Presented at 2018 Annual Meeting</w:t>
            </w: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60" w:type="dxa"/>
            <w:vAlign w:val="bottom"/>
          </w:tcPr>
          <w:p>
            <w:pPr>
              <w:ind w:left="360"/>
              <w:spacing w:after="0"/>
              <w:rPr>
                <w:sz w:val="20"/>
                <w:szCs w:val="20"/>
                <w:color w:val="auto"/>
              </w:rPr>
            </w:pPr>
            <w:r>
              <w:rPr>
                <w:rFonts w:ascii="Arial" w:cs="Arial" w:eastAsia="Arial" w:hAnsi="Arial"/>
                <w:sz w:val="14"/>
                <w:szCs w:val="14"/>
                <w:b w:val="1"/>
                <w:bCs w:val="1"/>
                <w:color w:val="auto"/>
              </w:rPr>
              <w:t>Proposals for Inclusion in</w:t>
            </w:r>
          </w:p>
        </w:tc>
        <w:tc>
          <w:tcPr>
            <w:tcW w:w="3300" w:type="dxa"/>
            <w:vAlign w:val="bottom"/>
          </w:tcPr>
          <w:p>
            <w:pPr>
              <w:jc w:val="center"/>
              <w:ind w:left="179"/>
              <w:spacing w:after="0"/>
              <w:rPr>
                <w:sz w:val="20"/>
                <w:szCs w:val="20"/>
                <w:color w:val="auto"/>
              </w:rPr>
            </w:pPr>
            <w:r>
              <w:rPr>
                <w:rFonts w:ascii="Arial" w:cs="Arial" w:eastAsia="Arial" w:hAnsi="Arial"/>
                <w:sz w:val="14"/>
                <w:szCs w:val="14"/>
                <w:b w:val="1"/>
                <w:bCs w:val="1"/>
                <w:color w:val="auto"/>
              </w:rPr>
              <w:t>in 2018 Proxy Materials</w:t>
            </w:r>
          </w:p>
        </w:tc>
        <w:tc>
          <w:tcPr>
            <w:tcW w:w="2980" w:type="dxa"/>
            <w:vAlign w:val="bottom"/>
          </w:tcPr>
          <w:p>
            <w:pPr>
              <w:jc w:val="center"/>
              <w:ind w:left="60"/>
              <w:spacing w:after="0"/>
              <w:rPr>
                <w:sz w:val="20"/>
                <w:szCs w:val="20"/>
                <w:color w:val="auto"/>
              </w:rPr>
            </w:pPr>
            <w:r>
              <w:rPr>
                <w:rFonts w:ascii="Arial" w:cs="Arial" w:eastAsia="Arial" w:hAnsi="Arial"/>
                <w:sz w:val="14"/>
                <w:szCs w:val="14"/>
                <w:b w:val="1"/>
                <w:bCs w:val="1"/>
                <w:color w:val="auto"/>
              </w:rPr>
              <w:t>(and Not for Inclusion in our</w:t>
            </w:r>
          </w:p>
        </w:tc>
      </w:tr>
      <w:tr>
        <w:trPr>
          <w:trHeight w:val="189"/>
        </w:trPr>
        <w:tc>
          <w:tcPr>
            <w:tcW w:w="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2018 Proxy Materials</w:t>
            </w:r>
          </w:p>
        </w:tc>
        <w:tc>
          <w:tcPr>
            <w:tcW w:w="330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rPr>
              <w:t>(Proxy Access)</w:t>
            </w:r>
          </w:p>
        </w:tc>
        <w:tc>
          <w:tcPr>
            <w:tcW w:w="298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rPr>
              <w:t>Proxy Materials)</w:t>
            </w:r>
          </w:p>
        </w:tc>
      </w:tr>
      <w:tr>
        <w:trPr>
          <w:trHeight w:val="195"/>
        </w:trPr>
        <w:tc>
          <w:tcPr>
            <w:tcW w:w="20" w:type="dxa"/>
            <w:vAlign w:val="bottom"/>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When proposal must be</w:t>
            </w:r>
          </w:p>
        </w:tc>
        <w:tc>
          <w:tcPr>
            <w:tcW w:w="2360" w:type="dxa"/>
            <w:vAlign w:val="bottom"/>
          </w:tcPr>
          <w:p>
            <w:pPr>
              <w:ind w:left="340"/>
              <w:spacing w:after="0" w:line="195" w:lineRule="exact"/>
              <w:rPr>
                <w:sz w:val="20"/>
                <w:szCs w:val="20"/>
                <w:color w:val="auto"/>
              </w:rPr>
            </w:pPr>
            <w:r>
              <w:rPr>
                <w:rFonts w:ascii="Arial" w:cs="Arial" w:eastAsia="Arial" w:hAnsi="Arial"/>
                <w:sz w:val="18"/>
                <w:szCs w:val="18"/>
                <w:color w:val="auto"/>
              </w:rPr>
              <w:t>On or before</w:t>
            </w:r>
          </w:p>
        </w:tc>
        <w:tc>
          <w:tcPr>
            <w:tcW w:w="3300" w:type="dxa"/>
            <w:vAlign w:val="bottom"/>
          </w:tcPr>
          <w:p>
            <w:pPr>
              <w:ind w:left="240"/>
              <w:spacing w:after="0" w:line="195" w:lineRule="exact"/>
              <w:rPr>
                <w:sz w:val="20"/>
                <w:szCs w:val="20"/>
                <w:color w:val="auto"/>
              </w:rPr>
            </w:pPr>
            <w:r>
              <w:rPr>
                <w:rFonts w:ascii="Arial" w:cs="Arial" w:eastAsia="Arial" w:hAnsi="Arial"/>
                <w:sz w:val="18"/>
                <w:szCs w:val="18"/>
                <w:color w:val="auto"/>
              </w:rPr>
              <w:t>No earlier than October 7, 2017, and</w:t>
            </w:r>
          </w:p>
        </w:tc>
        <w:tc>
          <w:tcPr>
            <w:tcW w:w="2980" w:type="dxa"/>
            <w:vAlign w:val="bottom"/>
          </w:tcPr>
          <w:p>
            <w:pPr>
              <w:ind w:left="140"/>
              <w:spacing w:after="0" w:line="195" w:lineRule="exact"/>
              <w:rPr>
                <w:sz w:val="20"/>
                <w:szCs w:val="20"/>
                <w:color w:val="auto"/>
              </w:rPr>
            </w:pPr>
            <w:r>
              <w:rPr>
                <w:rFonts w:ascii="Arial" w:cs="Arial" w:eastAsia="Arial" w:hAnsi="Arial"/>
                <w:sz w:val="18"/>
                <w:szCs w:val="18"/>
                <w:color w:val="auto"/>
              </w:rPr>
              <w:t>No earlier than December 21,</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received by Texas Instruments</w:t>
            </w:r>
          </w:p>
        </w:tc>
        <w:tc>
          <w:tcPr>
            <w:tcW w:w="2360" w:type="dxa"/>
            <w:vAlign w:val="bottom"/>
          </w:tcPr>
          <w:p>
            <w:pPr>
              <w:ind w:left="340"/>
              <w:spacing w:after="0" w:line="202" w:lineRule="exact"/>
              <w:rPr>
                <w:sz w:val="20"/>
                <w:szCs w:val="20"/>
                <w:color w:val="auto"/>
              </w:rPr>
            </w:pPr>
            <w:r>
              <w:rPr>
                <w:rFonts w:ascii="Arial" w:cs="Arial" w:eastAsia="Arial" w:hAnsi="Arial"/>
                <w:sz w:val="18"/>
                <w:szCs w:val="18"/>
                <w:color w:val="auto"/>
              </w:rPr>
              <w:t>November 6, 2017</w:t>
            </w:r>
          </w:p>
        </w:tc>
        <w:tc>
          <w:tcPr>
            <w:tcW w:w="3300" w:type="dxa"/>
            <w:vAlign w:val="bottom"/>
          </w:tcPr>
          <w:p>
            <w:pPr>
              <w:ind w:left="240"/>
              <w:spacing w:after="0" w:line="202" w:lineRule="exact"/>
              <w:rPr>
                <w:sz w:val="20"/>
                <w:szCs w:val="20"/>
                <w:color w:val="auto"/>
              </w:rPr>
            </w:pPr>
            <w:r>
              <w:rPr>
                <w:rFonts w:ascii="Arial" w:cs="Arial" w:eastAsia="Arial" w:hAnsi="Arial"/>
                <w:sz w:val="18"/>
                <w:szCs w:val="18"/>
                <w:color w:val="auto"/>
              </w:rPr>
              <w:t>no later than</w:t>
            </w:r>
          </w:p>
        </w:tc>
        <w:tc>
          <w:tcPr>
            <w:tcW w:w="2980" w:type="dxa"/>
            <w:vAlign w:val="bottom"/>
          </w:tcPr>
          <w:p>
            <w:pPr>
              <w:jc w:val="center"/>
              <w:ind w:left="60"/>
              <w:spacing w:after="0" w:line="202" w:lineRule="exact"/>
              <w:rPr>
                <w:sz w:val="20"/>
                <w:szCs w:val="20"/>
                <w:color w:val="auto"/>
              </w:rPr>
            </w:pPr>
            <w:r>
              <w:rPr>
                <w:rFonts w:ascii="Arial" w:cs="Arial" w:eastAsia="Arial" w:hAnsi="Arial"/>
                <w:sz w:val="18"/>
                <w:szCs w:val="18"/>
                <w:color w:val="auto"/>
                <w:w w:val="99"/>
              </w:rPr>
              <w:t>2017, and no later than January 20,</w:t>
            </w:r>
          </w:p>
        </w:tc>
      </w:tr>
      <w:tr>
        <w:trPr>
          <w:trHeight w:val="21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300" w:type="dxa"/>
            <w:vAlign w:val="bottom"/>
          </w:tcPr>
          <w:p>
            <w:pPr>
              <w:ind w:left="240"/>
              <w:spacing w:after="0"/>
              <w:rPr>
                <w:sz w:val="20"/>
                <w:szCs w:val="20"/>
                <w:color w:val="auto"/>
              </w:rPr>
            </w:pPr>
            <w:r>
              <w:rPr>
                <w:rFonts w:ascii="Arial" w:cs="Arial" w:eastAsia="Arial" w:hAnsi="Arial"/>
                <w:sz w:val="18"/>
                <w:szCs w:val="18"/>
                <w:color w:val="auto"/>
              </w:rPr>
              <w:t>November 6, 2017</w:t>
            </w:r>
          </w:p>
        </w:tc>
        <w:tc>
          <w:tcPr>
            <w:tcW w:w="2980" w:type="dxa"/>
            <w:vAlign w:val="bottom"/>
          </w:tcPr>
          <w:p>
            <w:pPr>
              <w:ind w:left="140"/>
              <w:spacing w:after="0"/>
              <w:rPr>
                <w:sz w:val="20"/>
                <w:szCs w:val="20"/>
                <w:color w:val="auto"/>
              </w:rPr>
            </w:pPr>
            <w:r>
              <w:rPr>
                <w:rFonts w:ascii="Arial" w:cs="Arial" w:eastAsia="Arial" w:hAnsi="Arial"/>
                <w:sz w:val="18"/>
                <w:szCs w:val="18"/>
                <w:color w:val="auto"/>
              </w:rPr>
              <w:t>2018</w:t>
            </w:r>
          </w:p>
        </w:tc>
      </w:tr>
      <w:tr>
        <w:trPr>
          <w:trHeight w:val="295"/>
        </w:trPr>
        <w:tc>
          <w:tcPr>
            <w:tcW w:w="2780" w:type="dxa"/>
            <w:vAlign w:val="bottom"/>
            <w:gridSpan w:val="2"/>
          </w:tcPr>
          <w:p>
            <w:pPr>
              <w:ind w:left="20"/>
              <w:spacing w:after="0"/>
              <w:rPr>
                <w:sz w:val="20"/>
                <w:szCs w:val="20"/>
                <w:color w:val="auto"/>
              </w:rPr>
            </w:pPr>
            <w:r>
              <w:rPr>
                <w:rFonts w:ascii="Arial" w:cs="Arial" w:eastAsia="Arial" w:hAnsi="Arial"/>
                <w:sz w:val="13"/>
                <w:szCs w:val="13"/>
                <w:color w:val="666666"/>
              </w:rPr>
              <w:t>48</w:t>
            </w:r>
          </w:p>
        </w:tc>
        <w:tc>
          <w:tcPr>
            <w:tcW w:w="5660" w:type="dxa"/>
            <w:vAlign w:val="bottom"/>
            <w:gridSpan w:val="2"/>
          </w:tcPr>
          <w:p>
            <w:pPr>
              <w:ind w:left="1340"/>
              <w:spacing w:after="0"/>
              <w:rPr>
                <w:sz w:val="20"/>
                <w:szCs w:val="20"/>
                <w:color w:val="auto"/>
              </w:rPr>
            </w:pPr>
            <w:r>
              <w:rPr>
                <w:rFonts w:ascii="Arial" w:cs="Arial" w:eastAsia="Arial" w:hAnsi="Arial"/>
                <w:sz w:val="13"/>
                <w:szCs w:val="13"/>
                <w:color w:val="666666"/>
              </w:rPr>
              <w:t>TEXAS INSTRUMENTS  •  2017 PROXY STATEMENT</w:t>
            </w:r>
          </w:p>
        </w:tc>
        <w:tc>
          <w:tcPr>
            <w:tcW w:w="2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Proposals are to be sent to: Texas Instruments Incorporated, 12500 TI Boulevard, MS 8658, Dallas, TX 75243, Attn: Secretary.</w:t>
      </w:r>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all suggestions from stockholders concerning the company’s business are welcome and will be carefully considered by TI’s management. To ensure that your suggestions receive appropriate review, the G&amp;SR Committee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“Communications with the board” for information on contacting the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Benefit plan voting</w:t>
      </w:r>
    </w:p>
    <w:p>
      <w:pPr>
        <w:spacing w:after="0" w:line="2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17, 2017, in the manner described in the notice of annual meeting.</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17, 2017, will be voted in the same proportions as the shares in the plans for which voting instructions have been received by that date unless otherwise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Section 16(a) beneficial ownership reporting compliance</w:t>
      </w:r>
    </w:p>
    <w:p>
      <w:pPr>
        <w:spacing w:after="0" w:line="20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Section 16(a) of the Securities Exchange Act requires certain persons, including the company’s directors and executive officers, to file reports with the SEC regarding beneficial ownership of certain equity securities of the company. The company believes that all reports during 2016 were timely filed by its directors and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Telephone and internet voting</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Financial Solutions, Inc., are consistent with the requirements of applicable law.</w:t>
      </w:r>
    </w:p>
    <w:p>
      <w:pPr>
        <w:spacing w:after="0" w:line="202" w:lineRule="exact"/>
        <w:rPr>
          <w:sz w:val="20"/>
          <w:szCs w:val="20"/>
          <w:color w:val="auto"/>
        </w:rPr>
      </w:pPr>
    </w:p>
    <w:p>
      <w:pPr>
        <w:ind w:right="220"/>
        <w:spacing w:after="0"/>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Stockholders sharing the same address</w:t>
      </w:r>
    </w:p>
    <w:p>
      <w:pPr>
        <w:spacing w:after="0" w:line="205"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Investor Relations at the address given above.</w:t>
      </w:r>
    </w:p>
    <w:p>
      <w:pPr>
        <w:spacing w:after="0" w:line="131"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49</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Electronic delivery of proxy materials and copies of our Form 10-K</w:t>
      </w:r>
    </w:p>
    <w:p>
      <w:pPr>
        <w:spacing w:after="0" w:line="2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214-479-3773 for more information. If you are a participant in a TI benefit plan and would like to request electronic delivery, please call TI Investor Relations for more information.</w:t>
      </w:r>
    </w:p>
    <w:p>
      <w:pPr>
        <w:spacing w:after="0" w:line="18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20, 2017. This 2017 proxy statement and the company’s 2016 annual report are accessible at: www.proxyvote.com.</w:t>
      </w:r>
    </w:p>
    <w:p>
      <w:pPr>
        <w:spacing w:after="0" w:line="176" w:lineRule="exact"/>
        <w:rPr>
          <w:sz w:val="20"/>
          <w:szCs w:val="20"/>
          <w:color w:val="auto"/>
        </w:rPr>
      </w:pPr>
    </w:p>
    <w:p>
      <w:pPr>
        <w:ind w:right="640"/>
        <w:spacing w:after="0" w:line="234" w:lineRule="auto"/>
        <w:rPr>
          <w:sz w:val="20"/>
          <w:szCs w:val="20"/>
          <w:color w:val="auto"/>
        </w:rPr>
      </w:pPr>
      <w:r>
        <w:rPr>
          <w:rFonts w:ascii="Arial" w:cs="Arial" w:eastAsia="Arial" w:hAnsi="Arial"/>
          <w:sz w:val="18"/>
          <w:szCs w:val="18"/>
          <w:color w:val="auto"/>
        </w:rPr>
        <w:t xml:space="preserve">The company’s annual report to stockholders, which contains consolidated financial statements for the year ended December 31, 2016, accompanies this proxy statement. </w:t>
      </w:r>
      <w:r>
        <w:rPr>
          <w:rFonts w:ascii="Arial" w:cs="Arial" w:eastAsia="Arial" w:hAnsi="Arial"/>
          <w:sz w:val="18"/>
          <w:szCs w:val="18"/>
          <w:b w:val="1"/>
          <w:bCs w:val="1"/>
          <w:color w:val="auto"/>
        </w:rPr>
        <w:t>You may also obtain a copy of the company’s annual report on Form 10-K for the year ended</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color w:val="auto"/>
        </w:rPr>
        <w:t xml:space="preserve">December 31, 2016, that was filed with the SEC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w:t>
      </w:r>
    </w:p>
    <w:p>
      <w:pPr>
        <w:spacing w:after="0" w:line="19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74930</wp:posOffset>
            </wp:positionV>
            <wp:extent cx="2066925" cy="600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Cynthia Hoff Trochu</w:t>
      </w:r>
    </w:p>
    <w:p>
      <w:pPr>
        <w:ind w:left="734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Secretary and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March 6, 2017</w:t>
      </w:r>
    </w:p>
    <w:p>
      <w:pPr>
        <w:spacing w:after="0"/>
        <w:rPr>
          <w:sz w:val="20"/>
          <w:szCs w:val="20"/>
          <w:color w:val="auto"/>
        </w:rPr>
      </w:pPr>
      <w:r>
        <w:rPr>
          <w:rFonts w:ascii="Arial" w:cs="Arial" w:eastAsia="Arial" w:hAnsi="Arial"/>
          <w:sz w:val="18"/>
          <w:szCs w:val="18"/>
          <w:color w:val="auto"/>
        </w:rPr>
        <w:t>Dallas, Texas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3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Statements herein that describe TI’s business strategy, plans, goals, future capital spending levels and potential for growth, improved profit margins and cash generation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w:t>
      </w:r>
    </w:p>
    <w:p>
      <w:pPr>
        <w:spacing w:after="0" w:line="4"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10-K for the year ended December 31, 2016. The forward-looking statements included in this proxy statement are made only as of the date of this proxy statement and we undertake no obligation to update the forward-looking statements to reflect subsequent events or circumstances.</w:t>
      </w:r>
    </w:p>
    <w:p>
      <w:pPr>
        <w:spacing w:after="0" w:line="124" w:lineRule="exact"/>
        <w:rPr>
          <w:sz w:val="20"/>
          <w:szCs w:val="20"/>
          <w:color w:val="auto"/>
        </w:rPr>
      </w:pPr>
    </w:p>
    <w:p>
      <w:pPr>
        <w:ind w:left="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2017 PROXY STATEMENT</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Directions and other annual meeting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Directions</w:t>
      </w:r>
    </w:p>
    <w:p>
      <w:pPr>
        <w:spacing w:after="0" w:line="187"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color w:val="auto"/>
        </w:rPr>
        <w:t xml:space="preserve">From DFW airport: </w:t>
      </w:r>
      <w:r>
        <w:rPr>
          <w:rFonts w:ascii="Arial" w:cs="Arial" w:eastAsia="Arial" w:hAnsi="Arial"/>
          <w:sz w:val="18"/>
          <w:szCs w:val="18"/>
          <w:color w:val="auto"/>
        </w:rPr>
        <w:t>Take the North Airport exit to IH-635E. Take IH-635E to the Greenville Avenue exit. Turn right (South) on Greenville. Turn</w:t>
      </w:r>
      <w:r>
        <w:rPr>
          <w:rFonts w:ascii="Arial" w:cs="Arial" w:eastAsia="Arial" w:hAnsi="Arial"/>
          <w:sz w:val="18"/>
          <w:szCs w:val="18"/>
          <w:i w:val="1"/>
          <w:iCs w:val="1"/>
          <w:color w:val="auto"/>
        </w:rPr>
        <w:t xml:space="preserve"> </w:t>
      </w:r>
      <w:r>
        <w:rPr>
          <w:rFonts w:ascii="Arial" w:cs="Arial" w:eastAsia="Arial" w:hAnsi="Arial"/>
          <w:sz w:val="18"/>
          <w:szCs w:val="18"/>
          <w:color w:val="auto"/>
        </w:rPr>
        <w:t>right (West) on Forest Lane. Texas Instruments will be on your right at the second traffic light.</w:t>
      </w:r>
    </w:p>
    <w:p>
      <w:pPr>
        <w:spacing w:after="0" w:line="161"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i w:val="1"/>
          <w:i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 right</w:t>
      </w:r>
      <w:r>
        <w:rPr>
          <w:rFonts w:ascii="Arial" w:cs="Arial" w:eastAsia="Arial" w:hAnsi="Arial"/>
          <w:sz w:val="18"/>
          <w:szCs w:val="18"/>
          <w:i w:val="1"/>
          <w:iCs w:val="1"/>
          <w:color w:val="auto"/>
        </w:rPr>
        <w:t xml:space="preserve"> </w:t>
      </w:r>
      <w:r>
        <w:rPr>
          <w:rFonts w:ascii="Arial" w:cs="Arial" w:eastAsia="Arial" w:hAnsi="Arial"/>
          <w:sz w:val="18"/>
          <w:szCs w:val="18"/>
          <w:color w:val="auto"/>
        </w:rPr>
        <w:t>(East) on Forest Lane. You will pass two traffic lights. At the third light, the entrance to Texas Instruments will be on your left.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Parking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All visitors should park at the South Lobby, where reserved parking will be available.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Security</w:t>
      </w:r>
    </w:p>
    <w:p>
      <w:pPr>
        <w:spacing w:after="0" w:line="20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Please be advised that TI’s security policy forbids weapons, cameras and audio/video recording devices inside TI buildings. All bags will be subject to search upon entry into the building.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Attendance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attending the annual meeting please see the discussion under “Attendance requirements.”</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80" w:type="dxa"/>
            <w:vAlign w:val="bottom"/>
          </w:tcPr>
          <w:p>
            <w:pPr>
              <w:spacing w:after="0"/>
              <w:rPr>
                <w:sz w:val="20"/>
                <w:szCs w:val="20"/>
                <w:color w:val="auto"/>
              </w:rPr>
            </w:pPr>
            <w:r>
              <w:rPr>
                <w:rFonts w:ascii="Arial" w:cs="Arial" w:eastAsia="Arial" w:hAnsi="Arial"/>
                <w:sz w:val="13"/>
                <w:szCs w:val="13"/>
                <w:color w:val="666666"/>
              </w:rPr>
              <w:t>TEXAS INSTRUMENTS  •  2017 PROXY STATEMENT</w:t>
            </w:r>
          </w:p>
        </w:tc>
        <w:tc>
          <w:tcPr>
            <w:tcW w:w="2120" w:type="dxa"/>
            <w:vAlign w:val="bottom"/>
          </w:tcPr>
          <w:p>
            <w:pPr>
              <w:jc w:val="right"/>
              <w:spacing w:after="0"/>
              <w:rPr>
                <w:sz w:val="20"/>
                <w:szCs w:val="20"/>
                <w:color w:val="auto"/>
              </w:rPr>
            </w:pPr>
            <w:r>
              <w:rPr>
                <w:rFonts w:ascii="Arial" w:cs="Arial" w:eastAsia="Arial" w:hAnsi="Arial"/>
                <w:sz w:val="13"/>
                <w:szCs w:val="13"/>
                <w:color w:val="666666"/>
              </w:rPr>
              <w:t>51</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Non-GAAP reconciliations</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Percentage of Revenue</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center"/>
              <w:ind w:right="300"/>
              <w:spacing w:after="0" w:line="143" w:lineRule="exact"/>
              <w:rPr>
                <w:sz w:val="20"/>
                <w:szCs w:val="20"/>
                <w:color w:val="auto"/>
              </w:rPr>
            </w:pPr>
            <w:r>
              <w:rPr>
                <w:rFonts w:ascii="Arial" w:cs="Arial" w:eastAsia="Arial" w:hAnsi="Arial"/>
                <w:sz w:val="14"/>
                <w:szCs w:val="14"/>
                <w:b w:val="1"/>
                <w:bCs w:val="1"/>
                <w:color w:val="auto"/>
              </w:rPr>
              <w:t>For Years Ended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 as a Percentage of Revenue</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rPr>
              <w:t>For Years Ended December 31,</w:t>
            </w:r>
          </w:p>
        </w:tc>
        <w:tc>
          <w:tcPr>
            <w:tcW w:w="80" w:type="dxa"/>
            <w:vAlign w:val="bottom"/>
          </w:tcPr>
          <w:p>
            <w:pPr>
              <w:spacing w:after="0"/>
              <w:rPr>
                <w:sz w:val="15"/>
                <w:szCs w:val="15"/>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b w:val="1"/>
                <w:bCs w:val="1"/>
                <w:color w:val="auto"/>
              </w:rPr>
              <w:t>(Millions of dollars)</w:t>
            </w: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13,370</w:t>
            </w:r>
          </w:p>
        </w:tc>
        <w:tc>
          <w:tcPr>
            <w:tcW w:w="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13,000</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13,045</w:t>
            </w:r>
          </w:p>
        </w:tc>
        <w:tc>
          <w:tcPr>
            <w:tcW w:w="10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$ 39,415</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Cash flow from operations (GAAP)</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4,614</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4,397</w:t>
            </w: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4,054</w:t>
            </w: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$ 13,065</w:t>
            </w:r>
          </w:p>
        </w:tc>
        <w:tc>
          <w:tcPr>
            <w:tcW w:w="660" w:type="dxa"/>
            <w:vAlign w:val="bottom"/>
          </w:tcPr>
          <w:p>
            <w:pPr>
              <w:jc w:val="right"/>
              <w:ind w:right="22"/>
              <w:spacing w:after="0" w:line="202" w:lineRule="exact"/>
              <w:rPr>
                <w:sz w:val="20"/>
                <w:szCs w:val="20"/>
                <w:color w:val="auto"/>
              </w:rPr>
            </w:pPr>
            <w:r>
              <w:rPr>
                <w:rFonts w:ascii="Arial" w:cs="Arial" w:eastAsia="Arial" w:hAnsi="Arial"/>
                <w:sz w:val="18"/>
                <w:szCs w:val="18"/>
                <w:b w:val="1"/>
                <w:bCs w:val="1"/>
                <w:color w:val="auto"/>
              </w:rPr>
              <w:t>34.5%</w:t>
            </w:r>
          </w:p>
        </w:tc>
        <w:tc>
          <w:tcPr>
            <w:tcW w:w="740" w:type="dxa"/>
            <w:vAlign w:val="bottom"/>
          </w:tcPr>
          <w:p>
            <w:pPr>
              <w:ind w:left="100"/>
              <w:spacing w:after="0" w:line="202" w:lineRule="exact"/>
              <w:rPr>
                <w:sz w:val="20"/>
                <w:szCs w:val="20"/>
                <w:color w:val="auto"/>
              </w:rPr>
            </w:pPr>
            <w:r>
              <w:rPr>
                <w:rFonts w:ascii="Arial" w:cs="Arial" w:eastAsia="Arial" w:hAnsi="Arial"/>
                <w:sz w:val="18"/>
                <w:szCs w:val="18"/>
                <w:color w:val="auto"/>
              </w:rPr>
              <w:t>33.8%</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31.1%</w:t>
            </w:r>
          </w:p>
        </w:tc>
        <w:tc>
          <w:tcPr>
            <w:tcW w:w="64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33.1%</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(385)</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(1,467)</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vMerge w:val="restart"/>
          </w:tcPr>
          <w:p>
            <w:pPr>
              <w:jc w:val="right"/>
              <w:ind w:right="22"/>
              <w:spacing w:after="0"/>
              <w:rPr>
                <w:sz w:val="20"/>
                <w:szCs w:val="20"/>
                <w:color w:val="auto"/>
              </w:rPr>
            </w:pPr>
            <w:r>
              <w:rPr>
                <w:rFonts w:ascii="Arial" w:cs="Arial" w:eastAsia="Arial" w:hAnsi="Arial"/>
                <w:sz w:val="18"/>
                <w:szCs w:val="18"/>
                <w:b w:val="1"/>
                <w:bCs w:val="1"/>
                <w:color w:val="auto"/>
              </w:rPr>
              <w:t>30.5%</w:t>
            </w: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2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4,083</w:t>
            </w:r>
          </w:p>
        </w:tc>
        <w:tc>
          <w:tcPr>
            <w:tcW w:w="160" w:type="dxa"/>
            <w:vAlign w:val="bottom"/>
            <w:vMerge w:val="continue"/>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3,846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3,669</w:t>
            </w:r>
          </w:p>
        </w:tc>
        <w:tc>
          <w:tcPr>
            <w:tcW w:w="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9"/>
              </w:rPr>
              <w:t>$ 11,598</w:t>
            </w:r>
          </w:p>
        </w:tc>
        <w:tc>
          <w:tcPr>
            <w:tcW w:w="2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29.6%</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580" w:type="dxa"/>
            <w:vAlign w:val="bottom"/>
          </w:tcPr>
          <w:p>
            <w:pPr>
              <w:ind w:left="20"/>
              <w:spacing w:after="0"/>
              <w:rPr>
                <w:sz w:val="20"/>
                <w:szCs w:val="20"/>
                <w:color w:val="auto"/>
              </w:rPr>
            </w:pPr>
            <w:r>
              <w:rPr>
                <w:rFonts w:ascii="Arial" w:cs="Arial" w:eastAsia="Arial" w:hAnsi="Arial"/>
                <w:sz w:val="13"/>
                <w:szCs w:val="13"/>
                <w:color w:val="666666"/>
              </w:rPr>
              <w:t>A-1</w:t>
            </w:r>
          </w:p>
        </w:tc>
        <w:tc>
          <w:tcPr>
            <w:tcW w:w="2160" w:type="dxa"/>
            <w:vAlign w:val="bottom"/>
            <w:gridSpan w:val="4"/>
          </w:tcPr>
          <w:p>
            <w:pPr>
              <w:jc w:val="right"/>
              <w:ind w:right="80"/>
              <w:spacing w:after="0"/>
              <w:rPr>
                <w:sz w:val="20"/>
                <w:szCs w:val="20"/>
                <w:color w:val="auto"/>
              </w:rPr>
            </w:pPr>
            <w:r>
              <w:rPr>
                <w:rFonts w:ascii="Arial" w:cs="Arial" w:eastAsia="Arial" w:hAnsi="Arial"/>
                <w:sz w:val="13"/>
                <w:szCs w:val="13"/>
                <w:color w:val="666666"/>
              </w:rPr>
              <w:t>TEXAS INSTRUMENTS  •</w:t>
            </w:r>
          </w:p>
        </w:tc>
        <w:tc>
          <w:tcPr>
            <w:tcW w:w="1880" w:type="dxa"/>
            <w:vAlign w:val="bottom"/>
            <w:gridSpan w:val="8"/>
          </w:tcPr>
          <w:p>
            <w:pPr>
              <w:ind w:left="60"/>
              <w:spacing w:after="0"/>
              <w:rPr>
                <w:sz w:val="20"/>
                <w:szCs w:val="20"/>
                <w:color w:val="auto"/>
              </w:rPr>
            </w:pPr>
            <w:r>
              <w:rPr>
                <w:rFonts w:ascii="Arial" w:cs="Arial" w:eastAsia="Arial" w:hAnsi="Arial"/>
                <w:sz w:val="13"/>
                <w:szCs w:val="13"/>
                <w:color w:val="666666"/>
              </w:rPr>
              <w:t>2017 PROXY STATEMENT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240030</wp:posOffset>
            </wp:positionV>
            <wp:extent cx="1311910" cy="454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119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b w:val="1"/>
                <w:bCs w:val="1"/>
                <w:color w:val="auto"/>
                <w:w w:val="98"/>
              </w:rPr>
              <w:t>For registered shares, your proxy must be received by 11:59 P.M. (Eastern time) on</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b w:val="1"/>
                <w:bCs w:val="1"/>
                <w:i w:val="1"/>
                <w:iCs w:val="1"/>
                <w:color w:val="auto"/>
              </w:rPr>
              <w:t>April 19, 2017</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TEXAS INSTRUMENTS INCORPORATED</w:t>
            </w:r>
          </w:p>
        </w:tc>
        <w:tc>
          <w:tcPr>
            <w:tcW w:w="6760" w:type="dxa"/>
            <w:vAlign w:val="bottom"/>
            <w:gridSpan w:val="3"/>
          </w:tcPr>
          <w:p>
            <w:pPr>
              <w:ind w:left="1280"/>
              <w:spacing w:after="0"/>
              <w:rPr>
                <w:sz w:val="20"/>
                <w:szCs w:val="20"/>
                <w:color w:val="auto"/>
              </w:rPr>
            </w:pPr>
            <w:r>
              <w:rPr>
                <w:rFonts w:ascii="Arial" w:cs="Arial" w:eastAsia="Arial" w:hAnsi="Arial"/>
                <w:sz w:val="14"/>
                <w:szCs w:val="14"/>
                <w:b w:val="1"/>
                <w:bCs w:val="1"/>
                <w:color w:val="auto"/>
                <w:w w:val="91"/>
              </w:rPr>
              <w:t>For shares allocable to a benefit plan account, your proxy must be received by 11:59 P.M.</w:t>
            </w: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ATTN: JANE NAHRA</w:t>
            </w: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b w:val="1"/>
                <w:bCs w:val="1"/>
                <w:color w:val="auto"/>
              </w:rPr>
              <w:t xml:space="preserve">(Eastern time) on </w:t>
            </w:r>
            <w:r>
              <w:rPr>
                <w:rFonts w:ascii="Arial" w:cs="Arial" w:eastAsia="Arial" w:hAnsi="Arial"/>
                <w:sz w:val="14"/>
                <w:szCs w:val="14"/>
                <w:b w:val="1"/>
                <w:bCs w:val="1"/>
                <w:i w:val="1"/>
                <w:iCs w:val="1"/>
                <w:color w:val="auto"/>
              </w:rPr>
              <w:t>April 17, 2017</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3960" w:type="dxa"/>
            <w:vAlign w:val="bottom"/>
          </w:tcPr>
          <w:p>
            <w:pPr>
              <w:spacing w:after="0" w:line="143" w:lineRule="exact"/>
              <w:rPr>
                <w:sz w:val="20"/>
                <w:szCs w:val="20"/>
                <w:color w:val="auto"/>
              </w:rPr>
            </w:pPr>
            <w:r>
              <w:rPr>
                <w:rFonts w:ascii="Arial" w:cs="Arial" w:eastAsia="Arial" w:hAnsi="Arial"/>
                <w:sz w:val="14"/>
                <w:szCs w:val="14"/>
                <w:b w:val="1"/>
                <w:bCs w:val="1"/>
                <w:i w:val="1"/>
                <w:iCs w:val="1"/>
                <w:color w:val="auto"/>
              </w:rPr>
              <w:t>P.O. BOX 655474</w:t>
            </w:r>
          </w:p>
        </w:tc>
        <w:tc>
          <w:tcPr>
            <w:tcW w:w="28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VOTE BY INTERNET -</w:t>
            </w: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9"/>
              </w:rPr>
              <w:t>www.proxyvote.com</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line="127" w:lineRule="exact"/>
              <w:rPr>
                <w:sz w:val="20"/>
                <w:szCs w:val="20"/>
                <w:color w:val="auto"/>
              </w:rPr>
            </w:pPr>
            <w:r>
              <w:rPr>
                <w:rFonts w:ascii="Arial" w:cs="Arial" w:eastAsia="Arial" w:hAnsi="Arial"/>
                <w:sz w:val="14"/>
                <w:szCs w:val="14"/>
                <w:b w:val="1"/>
                <w:bCs w:val="1"/>
                <w:i w:val="1"/>
                <w:iCs w:val="1"/>
                <w:color w:val="auto"/>
              </w:rPr>
              <w:t>MS 3999</w:t>
            </w:r>
          </w:p>
        </w:tc>
        <w:tc>
          <w:tcPr>
            <w:tcW w:w="2840" w:type="dxa"/>
            <w:vAlign w:val="bottom"/>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DALLAS, TX 75265-5474</w:t>
            </w:r>
          </w:p>
        </w:tc>
        <w:tc>
          <w:tcPr>
            <w:tcW w:w="2840" w:type="dxa"/>
            <w:vAlign w:val="bottom"/>
          </w:tcPr>
          <w:p>
            <w:pPr>
              <w:ind w:left="1280"/>
              <w:spacing w:after="0" w:line="142" w:lineRule="exact"/>
              <w:rPr>
                <w:sz w:val="20"/>
                <w:szCs w:val="20"/>
                <w:color w:val="auto"/>
              </w:rPr>
            </w:pPr>
            <w:r>
              <w:rPr>
                <w:rFonts w:ascii="Arial" w:cs="Arial" w:eastAsia="Arial" w:hAnsi="Arial"/>
                <w:sz w:val="14"/>
                <w:szCs w:val="14"/>
                <w:color w:val="auto"/>
                <w:w w:val="91"/>
              </w:rPr>
              <w:t>Use the Internet to transmit</w:t>
            </w:r>
          </w:p>
        </w:tc>
        <w:tc>
          <w:tcPr>
            <w:tcW w:w="3920" w:type="dxa"/>
            <w:vAlign w:val="bottom"/>
            <w:gridSpan w:val="2"/>
          </w:tcPr>
          <w:p>
            <w:pPr>
              <w:ind w:left="60"/>
              <w:spacing w:after="0" w:line="142" w:lineRule="exact"/>
              <w:rPr>
                <w:sz w:val="20"/>
                <w:szCs w:val="20"/>
                <w:color w:val="auto"/>
              </w:rPr>
            </w:pPr>
            <w:r>
              <w:rPr>
                <w:rFonts w:ascii="Arial" w:cs="Arial" w:eastAsia="Arial" w:hAnsi="Arial"/>
                <w:sz w:val="14"/>
                <w:szCs w:val="14"/>
                <w:color w:val="auto"/>
                <w:w w:val="97"/>
              </w:rPr>
              <w:t>your voting instructions and for electronic delivery of information</w:t>
            </w:r>
          </w:p>
        </w:tc>
        <w:tc>
          <w:tcPr>
            <w:tcW w:w="0" w:type="dxa"/>
            <w:vAlign w:val="bottom"/>
          </w:tcPr>
          <w:p>
            <w:pPr>
              <w:spacing w:after="0"/>
              <w:rPr>
                <w:sz w:val="1"/>
                <w:szCs w:val="1"/>
                <w:color w:val="auto"/>
              </w:rPr>
            </w:pPr>
          </w:p>
        </w:tc>
      </w:tr>
      <w:tr>
        <w:trPr>
          <w:trHeight w:val="130"/>
        </w:trPr>
        <w:tc>
          <w:tcPr>
            <w:tcW w:w="3960" w:type="dxa"/>
            <w:vAlign w:val="bottom"/>
          </w:tcPr>
          <w:p>
            <w:pPr>
              <w:spacing w:after="0"/>
              <w:rPr>
                <w:sz w:val="11"/>
                <w:szCs w:val="11"/>
                <w:color w:val="auto"/>
              </w:rPr>
            </w:pPr>
          </w:p>
        </w:tc>
        <w:tc>
          <w:tcPr>
            <w:tcW w:w="6760" w:type="dxa"/>
            <w:vAlign w:val="bottom"/>
            <w:gridSpan w:val="3"/>
          </w:tcPr>
          <w:p>
            <w:pPr>
              <w:ind w:left="1280"/>
              <w:spacing w:after="0" w:line="130" w:lineRule="exact"/>
              <w:rPr>
                <w:sz w:val="20"/>
                <w:szCs w:val="20"/>
                <w:color w:val="auto"/>
              </w:rPr>
            </w:pPr>
            <w:r>
              <w:rPr>
                <w:rFonts w:ascii="Arial" w:cs="Arial" w:eastAsia="Arial" w:hAnsi="Arial"/>
                <w:sz w:val="14"/>
                <w:szCs w:val="14"/>
                <w:color w:val="auto"/>
                <w:w w:val="96"/>
              </w:rPr>
              <w:t>up until the applicable cut-off date and time above. Have your proxy card in hand when you</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access the web site and follow the instructions to obtain your records and to create an</w:t>
            </w: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color w:val="auto"/>
              </w:rPr>
              <w:t>electronic voting instruction form.</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95"/>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98"/>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96"/>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96"/>
              </w:rPr>
              <w:t>Use any touch-tone telephone to transmit your voting instructions until the applicable cut-off</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date and time above. Have your proxy card in hand when you call and then follow the</w:t>
            </w: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color w:val="auto"/>
              </w:rPr>
              <w:t>instructions.</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6760" w:type="dxa"/>
            <w:vAlign w:val="bottom"/>
            <w:gridSpan w:val="3"/>
          </w:tcPr>
          <w:p>
            <w:pPr>
              <w:ind w:left="1280"/>
              <w:spacing w:after="0" w:line="149" w:lineRule="exact"/>
              <w:rPr>
                <w:sz w:val="20"/>
                <w:szCs w:val="20"/>
                <w:color w:val="auto"/>
              </w:rPr>
            </w:pPr>
            <w:r>
              <w:rPr>
                <w:rFonts w:ascii="Arial" w:cs="Arial" w:eastAsia="Arial" w:hAnsi="Arial"/>
                <w:sz w:val="14"/>
                <w:szCs w:val="14"/>
                <w:color w:val="auto"/>
                <w:w w:val="96"/>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6760" w:type="dxa"/>
            <w:vAlign w:val="bottom"/>
            <w:gridSpan w:val="3"/>
          </w:tcPr>
          <w:p>
            <w:pPr>
              <w:ind w:left="1280"/>
              <w:spacing w:after="0"/>
              <w:rPr>
                <w:sz w:val="20"/>
                <w:szCs w:val="20"/>
                <w:color w:val="auto"/>
              </w:rPr>
            </w:pPr>
            <w:r>
              <w:rPr>
                <w:rFonts w:ascii="Arial" w:cs="Arial" w:eastAsia="Arial" w:hAnsi="Arial"/>
                <w:sz w:val="14"/>
                <w:szCs w:val="14"/>
                <w:color w:val="auto"/>
              </w:rPr>
              <w:t>11717, so that it is received by the applicable date and time above.</w:t>
            </w: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gridSpan w:val="5"/>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720" w:type="dxa"/>
            <w:vAlign w:val="bottom"/>
          </w:tcPr>
          <w:p>
            <w:pPr>
              <w:spacing w:after="0"/>
              <w:rPr>
                <w:sz w:val="15"/>
                <w:szCs w:val="15"/>
                <w:color w:val="auto"/>
              </w:rPr>
            </w:pPr>
          </w:p>
        </w:tc>
        <w:tc>
          <w:tcPr>
            <w:tcW w:w="2780" w:type="dxa"/>
            <w:vAlign w:val="bottom"/>
            <w:gridSpan w:val="2"/>
            <w:vMerge w:val="restart"/>
          </w:tcPr>
          <w:p>
            <w:pPr>
              <w:ind w:left="600"/>
              <w:spacing w:after="0"/>
              <w:rPr>
                <w:sz w:val="20"/>
                <w:szCs w:val="20"/>
                <w:color w:val="auto"/>
              </w:rPr>
            </w:pPr>
            <w:r>
              <w:rPr>
                <w:rFonts w:ascii="Arial" w:cs="Arial" w:eastAsia="Arial" w:hAnsi="Arial"/>
                <w:sz w:val="14"/>
                <w:szCs w:val="14"/>
                <w:color w:val="auto"/>
              </w:rPr>
              <w:t>E17618-P86314</w:t>
            </w:r>
          </w:p>
        </w:tc>
        <w:tc>
          <w:tcPr>
            <w:tcW w:w="3020" w:type="dxa"/>
            <w:vAlign w:val="bottom"/>
            <w:gridSpan w:val="6"/>
            <w:vMerge w:val="restart"/>
          </w:tcPr>
          <w:p>
            <w:pPr>
              <w:jc w:val="right"/>
              <w:ind w:right="6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30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20" w:type="dxa"/>
            <w:vAlign w:val="bottom"/>
            <w:gridSpan w:val="6"/>
          </w:tcPr>
          <w:p>
            <w:pPr>
              <w:jc w:val="right"/>
              <w:ind w:right="60"/>
              <w:spacing w:after="0"/>
              <w:rPr>
                <w:sz w:val="20"/>
                <w:szCs w:val="20"/>
                <w:color w:val="auto"/>
              </w:rPr>
            </w:pPr>
            <w:r>
              <w:rPr>
                <w:rFonts w:ascii="Arial" w:cs="Arial" w:eastAsia="Arial" w:hAnsi="Arial"/>
                <w:sz w:val="14"/>
                <w:szCs w:val="14"/>
                <w:color w:val="auto"/>
                <w:w w:val="98"/>
              </w:rPr>
              <w:t>DETACH AND RETURN THIS PORTION ONLY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auto"/>
            </w:tcBorders>
            <w:gridSpan w:val="2"/>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gridSpan w:val="2"/>
          </w:tcPr>
          <w:p>
            <w:pPr>
              <w:ind w:left="60"/>
              <w:spacing w:after="0"/>
              <w:rPr>
                <w:sz w:val="20"/>
                <w:szCs w:val="20"/>
                <w:color w:val="auto"/>
              </w:rPr>
            </w:pPr>
            <w:r>
              <w:rPr>
                <w:rFonts w:ascii="Arial" w:cs="Arial" w:eastAsia="Arial" w:hAnsi="Arial"/>
                <w:sz w:val="14"/>
                <w:szCs w:val="14"/>
                <w:b w:val="1"/>
                <w:bCs w:val="1"/>
                <w:color w:val="auto"/>
              </w:rPr>
              <w:t>TEXAS INSTRUMENTS INCORPORATED</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660" w:type="dxa"/>
            <w:vAlign w:val="bottom"/>
            <w:gridSpan w:val="5"/>
            <w:vMerge w:val="restart"/>
          </w:tcPr>
          <w:p>
            <w:pPr>
              <w:ind w:left="200"/>
              <w:spacing w:after="0"/>
              <w:rPr>
                <w:sz w:val="20"/>
                <w:szCs w:val="20"/>
                <w:color w:val="auto"/>
              </w:rPr>
            </w:pPr>
            <w:r>
              <w:rPr>
                <w:rFonts w:ascii="Arial" w:cs="Arial" w:eastAsia="Arial" w:hAnsi="Arial"/>
                <w:sz w:val="14"/>
                <w:szCs w:val="14"/>
                <w:color w:val="auto"/>
                <w:w w:val="97"/>
              </w:rPr>
              <w:t xml:space="preserve">The board of directors recommends you vote </w:t>
            </w:r>
            <w:r>
              <w:rPr>
                <w:rFonts w:ascii="Arial" w:cs="Arial" w:eastAsia="Arial" w:hAnsi="Arial"/>
                <w:sz w:val="14"/>
                <w:szCs w:val="14"/>
                <w:b w:val="1"/>
                <w:bCs w:val="1"/>
                <w:color w:val="auto"/>
                <w:w w:val="97"/>
              </w:rPr>
              <w:t>FOR</w:t>
            </w:r>
            <w:r>
              <w:rPr>
                <w:rFonts w:ascii="Arial" w:cs="Arial" w:eastAsia="Arial" w:hAnsi="Arial"/>
                <w:sz w:val="14"/>
                <w:szCs w:val="14"/>
                <w:color w:val="auto"/>
                <w:w w:val="97"/>
              </w:rPr>
              <w:t xml:space="preserve"> each of the nominees for director, </w:t>
            </w:r>
            <w:r>
              <w:rPr>
                <w:rFonts w:ascii="Arial" w:cs="Arial" w:eastAsia="Arial" w:hAnsi="Arial"/>
                <w:sz w:val="14"/>
                <w:szCs w:val="14"/>
                <w:b w:val="1"/>
                <w:bCs w:val="1"/>
                <w:color w:val="auto"/>
                <w:w w:val="97"/>
              </w:rPr>
              <w:t>FOR</w:t>
            </w:r>
          </w:p>
        </w:tc>
        <w:tc>
          <w:tcPr>
            <w:tcW w:w="7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66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gridSpan w:val="2"/>
          </w:tcPr>
          <w:p>
            <w:pPr>
              <w:ind w:left="200"/>
              <w:spacing w:after="0"/>
              <w:rPr>
                <w:sz w:val="20"/>
                <w:szCs w:val="20"/>
                <w:color w:val="auto"/>
              </w:rPr>
            </w:pPr>
            <w:r>
              <w:rPr>
                <w:rFonts w:ascii="Arial" w:cs="Arial" w:eastAsia="Arial" w:hAnsi="Arial"/>
                <w:sz w:val="14"/>
                <w:szCs w:val="14"/>
                <w:color w:val="auto"/>
                <w:w w:val="95"/>
              </w:rPr>
              <w:t xml:space="preserve">Proposals 2 and 4 and FOR </w:t>
            </w:r>
            <w:r>
              <w:rPr>
                <w:rFonts w:ascii="Arial" w:cs="Arial" w:eastAsia="Arial" w:hAnsi="Arial"/>
                <w:sz w:val="14"/>
                <w:szCs w:val="14"/>
                <w:b w:val="1"/>
                <w:bCs w:val="1"/>
                <w:color w:val="auto"/>
                <w:w w:val="95"/>
              </w:rPr>
              <w:t>1 year</w:t>
            </w:r>
            <w:r>
              <w:rPr>
                <w:rFonts w:ascii="Arial" w:cs="Arial" w:eastAsia="Arial" w:hAnsi="Arial"/>
                <w:sz w:val="14"/>
                <w:szCs w:val="14"/>
                <w:color w:val="auto"/>
                <w:w w:val="95"/>
              </w:rPr>
              <w:t xml:space="preserve"> on proposal 3.</w:t>
            </w: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Vote on Directors</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320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0" w:type="dxa"/>
            <w:vAlign w:val="bottom"/>
            <w:gridSpan w:val="2"/>
          </w:tcPr>
          <w:p>
            <w:pPr>
              <w:ind w:left="300"/>
              <w:spacing w:after="0"/>
              <w:rPr>
                <w:sz w:val="20"/>
                <w:szCs w:val="20"/>
                <w:color w:val="auto"/>
              </w:rPr>
            </w:pPr>
            <w:r>
              <w:rPr>
                <w:rFonts w:ascii="Arial" w:cs="Arial" w:eastAsia="Arial" w:hAnsi="Arial"/>
                <w:sz w:val="14"/>
                <w:szCs w:val="14"/>
                <w:color w:val="auto"/>
              </w:rPr>
              <w:t>1.  Election of Directors</w:t>
            </w: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gridSpan w:val="2"/>
          </w:tcPr>
          <w:p>
            <w:pPr>
              <w:ind w:left="480"/>
              <w:spacing w:after="0"/>
              <w:rPr>
                <w:sz w:val="20"/>
                <w:szCs w:val="20"/>
                <w:color w:val="auto"/>
              </w:rPr>
            </w:pPr>
            <w:r>
              <w:rPr>
                <w:rFonts w:ascii="Arial" w:cs="Arial" w:eastAsia="Arial" w:hAnsi="Arial"/>
                <w:sz w:val="14"/>
                <w:szCs w:val="14"/>
                <w:b w:val="1"/>
                <w:bCs w:val="1"/>
                <w:color w:val="auto"/>
              </w:rPr>
              <w:t>Nominees:</w:t>
            </w:r>
          </w:p>
        </w:tc>
        <w:tc>
          <w:tcPr>
            <w:tcW w:w="1100" w:type="dxa"/>
            <w:vAlign w:val="bottom"/>
          </w:tcPr>
          <w:p>
            <w:pPr>
              <w:jc w:val="center"/>
              <w:ind w:left="608"/>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Abstain</w:t>
            </w:r>
          </w:p>
        </w:tc>
        <w:tc>
          <w:tcPr>
            <w:tcW w:w="7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1a.</w:t>
            </w:r>
          </w:p>
        </w:tc>
        <w:tc>
          <w:tcPr>
            <w:tcW w:w="2480" w:type="dxa"/>
            <w:vAlign w:val="bottom"/>
          </w:tcPr>
          <w:p>
            <w:pPr>
              <w:ind w:left="80"/>
              <w:spacing w:after="0"/>
              <w:rPr>
                <w:sz w:val="20"/>
                <w:szCs w:val="20"/>
                <w:color w:val="auto"/>
              </w:rPr>
            </w:pPr>
            <w:r>
              <w:rPr>
                <w:rFonts w:ascii="Arial" w:cs="Arial" w:eastAsia="Arial" w:hAnsi="Arial"/>
                <w:sz w:val="14"/>
                <w:szCs w:val="14"/>
                <w:color w:val="auto"/>
              </w:rPr>
              <w:t>R. W. Babb, Jr.</w:t>
            </w:r>
          </w:p>
        </w:tc>
        <w:tc>
          <w:tcPr>
            <w:tcW w:w="1100" w:type="dxa"/>
            <w:vAlign w:val="bottom"/>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vMerge w:val="restart"/>
          </w:tcPr>
          <w:p>
            <w:pPr>
              <w:ind w:left="480"/>
              <w:spacing w:after="0"/>
              <w:rPr>
                <w:sz w:val="20"/>
                <w:szCs w:val="20"/>
                <w:color w:val="auto"/>
              </w:rPr>
            </w:pPr>
            <w:r>
              <w:rPr>
                <w:rFonts w:ascii="Arial" w:cs="Arial" w:eastAsia="Arial" w:hAnsi="Arial"/>
                <w:sz w:val="14"/>
                <w:szCs w:val="14"/>
                <w:color w:val="auto"/>
              </w:rPr>
              <w:t>1b.</w:t>
            </w:r>
          </w:p>
        </w:tc>
        <w:tc>
          <w:tcPr>
            <w:tcW w:w="2480" w:type="dxa"/>
            <w:vAlign w:val="bottom"/>
            <w:vMerge w:val="restart"/>
          </w:tcPr>
          <w:p>
            <w:pPr>
              <w:ind w:left="60"/>
              <w:spacing w:after="0"/>
              <w:rPr>
                <w:sz w:val="20"/>
                <w:szCs w:val="20"/>
                <w:color w:val="auto"/>
              </w:rPr>
            </w:pPr>
            <w:r>
              <w:rPr>
                <w:rFonts w:ascii="Arial" w:cs="Arial" w:eastAsia="Arial" w:hAnsi="Arial"/>
                <w:sz w:val="14"/>
                <w:szCs w:val="14"/>
                <w:color w:val="auto"/>
              </w:rPr>
              <w:t>M. A. Blinn</w:t>
            </w:r>
          </w:p>
        </w:tc>
        <w:tc>
          <w:tcPr>
            <w:tcW w:w="1100" w:type="dxa"/>
            <w:vAlign w:val="bottom"/>
            <w:vMerge w:val="restart"/>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1k.</w:t>
            </w:r>
          </w:p>
        </w:tc>
        <w:tc>
          <w:tcPr>
            <w:tcW w:w="2080" w:type="dxa"/>
            <w:vAlign w:val="bottom"/>
            <w:vMerge w:val="restart"/>
          </w:tcPr>
          <w:p>
            <w:pPr>
              <w:ind w:left="60"/>
              <w:spacing w:after="0"/>
              <w:rPr>
                <w:sz w:val="20"/>
                <w:szCs w:val="20"/>
                <w:color w:val="auto"/>
              </w:rPr>
            </w:pPr>
            <w:r>
              <w:rPr>
                <w:rFonts w:ascii="Arial" w:cs="Arial" w:eastAsia="Arial" w:hAnsi="Arial"/>
                <w:sz w:val="14"/>
                <w:szCs w:val="14"/>
                <w:color w:val="auto"/>
              </w:rPr>
              <w:t>W. R. Sanders</w:t>
            </w:r>
          </w:p>
        </w:tc>
        <w:tc>
          <w:tcPr>
            <w:tcW w:w="880" w:type="dxa"/>
            <w:vAlign w:val="bottom"/>
          </w:tcPr>
          <w:p>
            <w:pPr>
              <w:spacing w:after="0"/>
              <w:rPr>
                <w:sz w:val="10"/>
                <w:szCs w:val="10"/>
                <w:color w:val="auto"/>
              </w:rPr>
            </w:pPr>
          </w:p>
        </w:tc>
        <w:tc>
          <w:tcPr>
            <w:tcW w:w="72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vMerge w:val="restart"/>
          </w:tcPr>
          <w:p>
            <w:pPr>
              <w:ind w:left="480"/>
              <w:spacing w:after="0"/>
              <w:rPr>
                <w:sz w:val="20"/>
                <w:szCs w:val="20"/>
                <w:color w:val="auto"/>
              </w:rPr>
            </w:pPr>
            <w:r>
              <w:rPr>
                <w:rFonts w:ascii="Arial" w:cs="Arial" w:eastAsia="Arial" w:hAnsi="Arial"/>
                <w:sz w:val="14"/>
                <w:szCs w:val="14"/>
                <w:color w:val="auto"/>
              </w:rPr>
              <w:t>1c.</w:t>
            </w:r>
          </w:p>
        </w:tc>
        <w:tc>
          <w:tcPr>
            <w:tcW w:w="2480" w:type="dxa"/>
            <w:vAlign w:val="bottom"/>
            <w:vMerge w:val="restart"/>
          </w:tcPr>
          <w:p>
            <w:pPr>
              <w:ind w:left="80"/>
              <w:spacing w:after="0"/>
              <w:rPr>
                <w:sz w:val="20"/>
                <w:szCs w:val="20"/>
                <w:color w:val="auto"/>
              </w:rPr>
            </w:pPr>
            <w:r>
              <w:rPr>
                <w:rFonts w:ascii="Arial" w:cs="Arial" w:eastAsia="Arial" w:hAnsi="Arial"/>
                <w:sz w:val="14"/>
                <w:szCs w:val="14"/>
                <w:color w:val="auto"/>
              </w:rPr>
              <w:t>T. M. Bluedorn</w:t>
            </w:r>
          </w:p>
        </w:tc>
        <w:tc>
          <w:tcPr>
            <w:tcW w:w="1100" w:type="dxa"/>
            <w:vAlign w:val="bottom"/>
            <w:vMerge w:val="restart"/>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1l.</w:t>
            </w:r>
          </w:p>
        </w:tc>
        <w:tc>
          <w:tcPr>
            <w:tcW w:w="2080" w:type="dxa"/>
            <w:vAlign w:val="bottom"/>
            <w:vMerge w:val="restart"/>
          </w:tcPr>
          <w:p>
            <w:pPr>
              <w:ind w:left="60"/>
              <w:spacing w:after="0"/>
              <w:rPr>
                <w:sz w:val="20"/>
                <w:szCs w:val="20"/>
                <w:color w:val="auto"/>
              </w:rPr>
            </w:pPr>
            <w:r>
              <w:rPr>
                <w:rFonts w:ascii="Arial" w:cs="Arial" w:eastAsia="Arial" w:hAnsi="Arial"/>
                <w:sz w:val="14"/>
                <w:szCs w:val="14"/>
                <w:color w:val="auto"/>
              </w:rPr>
              <w:t>R. K. Templeton</w:t>
            </w:r>
          </w:p>
        </w:tc>
        <w:tc>
          <w:tcPr>
            <w:tcW w:w="880" w:type="dxa"/>
            <w:vAlign w:val="bottom"/>
          </w:tcPr>
          <w:p>
            <w:pPr>
              <w:spacing w:after="0"/>
              <w:rPr>
                <w:sz w:val="10"/>
                <w:szCs w:val="10"/>
                <w:color w:val="auto"/>
              </w:rPr>
            </w:pPr>
          </w:p>
        </w:tc>
        <w:tc>
          <w:tcPr>
            <w:tcW w:w="72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vMerge w:val="restart"/>
          </w:tcPr>
          <w:p>
            <w:pPr>
              <w:ind w:left="480"/>
              <w:spacing w:after="0"/>
              <w:rPr>
                <w:sz w:val="20"/>
                <w:szCs w:val="20"/>
                <w:color w:val="auto"/>
              </w:rPr>
            </w:pPr>
            <w:r>
              <w:rPr>
                <w:rFonts w:ascii="Arial" w:cs="Arial" w:eastAsia="Arial" w:hAnsi="Arial"/>
                <w:sz w:val="14"/>
                <w:szCs w:val="14"/>
                <w:color w:val="auto"/>
              </w:rPr>
              <w:t>1d.</w:t>
            </w:r>
          </w:p>
        </w:tc>
        <w:tc>
          <w:tcPr>
            <w:tcW w:w="2480" w:type="dxa"/>
            <w:vAlign w:val="bottom"/>
            <w:vMerge w:val="restart"/>
          </w:tcPr>
          <w:p>
            <w:pPr>
              <w:ind w:left="60"/>
              <w:spacing w:after="0"/>
              <w:rPr>
                <w:sz w:val="20"/>
                <w:szCs w:val="20"/>
                <w:color w:val="auto"/>
              </w:rPr>
            </w:pPr>
            <w:r>
              <w:rPr>
                <w:rFonts w:ascii="Arial" w:cs="Arial" w:eastAsia="Arial" w:hAnsi="Arial"/>
                <w:sz w:val="14"/>
                <w:szCs w:val="14"/>
                <w:color w:val="auto"/>
              </w:rPr>
              <w:t>D. A. Carp</w:t>
            </w:r>
          </w:p>
        </w:tc>
        <w:tc>
          <w:tcPr>
            <w:tcW w:w="1100" w:type="dxa"/>
            <w:vAlign w:val="bottom"/>
            <w:vMerge w:val="restart"/>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60" w:type="dxa"/>
            <w:vAlign w:val="bottom"/>
            <w:gridSpan w:val="3"/>
            <w:vMerge w:val="restart"/>
          </w:tcPr>
          <w:p>
            <w:pPr>
              <w:ind w:left="180"/>
              <w:spacing w:after="0"/>
              <w:rPr>
                <w:sz w:val="20"/>
                <w:szCs w:val="20"/>
                <w:color w:val="auto"/>
              </w:rPr>
            </w:pPr>
            <w:r>
              <w:rPr>
                <w:rFonts w:ascii="Arial" w:cs="Arial" w:eastAsia="Arial" w:hAnsi="Arial"/>
                <w:sz w:val="14"/>
                <w:szCs w:val="14"/>
                <w:color w:val="auto"/>
              </w:rPr>
              <w:t>2.    Board proposal regarding advisory approval of the</w:t>
            </w:r>
          </w:p>
        </w:tc>
        <w:tc>
          <w:tcPr>
            <w:tcW w:w="72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restart"/>
          </w:tcPr>
          <w:p>
            <w:pPr>
              <w:ind w:left="480"/>
              <w:spacing w:after="0"/>
              <w:rPr>
                <w:sz w:val="20"/>
                <w:szCs w:val="20"/>
                <w:color w:val="auto"/>
              </w:rPr>
            </w:pPr>
            <w:r>
              <w:rPr>
                <w:rFonts w:ascii="Arial" w:cs="Arial" w:eastAsia="Arial" w:hAnsi="Arial"/>
                <w:sz w:val="14"/>
                <w:szCs w:val="14"/>
                <w:color w:val="auto"/>
              </w:rPr>
              <w:t>1e.</w:t>
            </w:r>
          </w:p>
        </w:tc>
        <w:tc>
          <w:tcPr>
            <w:tcW w:w="2480" w:type="dxa"/>
            <w:vAlign w:val="bottom"/>
            <w:vMerge w:val="restart"/>
          </w:tcPr>
          <w:p>
            <w:pPr>
              <w:ind w:left="80"/>
              <w:spacing w:after="0"/>
              <w:rPr>
                <w:sz w:val="20"/>
                <w:szCs w:val="20"/>
                <w:color w:val="auto"/>
              </w:rPr>
            </w:pPr>
            <w:r>
              <w:rPr>
                <w:rFonts w:ascii="Arial" w:cs="Arial" w:eastAsia="Arial" w:hAnsi="Arial"/>
                <w:sz w:val="14"/>
                <w:szCs w:val="14"/>
                <w:color w:val="auto"/>
              </w:rPr>
              <w:t>J. F. Clark</w:t>
            </w:r>
          </w:p>
        </w:tc>
        <w:tc>
          <w:tcPr>
            <w:tcW w:w="1100" w:type="dxa"/>
            <w:vAlign w:val="bottom"/>
            <w:vMerge w:val="restart"/>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366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780" w:type="dxa"/>
            <w:vAlign w:val="bottom"/>
            <w:gridSpan w:val="2"/>
          </w:tcPr>
          <w:p>
            <w:pPr>
              <w:ind w:left="480"/>
              <w:spacing w:after="0"/>
              <w:rPr>
                <w:sz w:val="20"/>
                <w:szCs w:val="20"/>
                <w:color w:val="auto"/>
              </w:rPr>
            </w:pPr>
            <w:r>
              <w:rPr>
                <w:rFonts w:ascii="Arial" w:cs="Arial" w:eastAsia="Arial" w:hAnsi="Arial"/>
                <w:sz w:val="14"/>
                <w:szCs w:val="14"/>
                <w:color w:val="auto"/>
                <w:w w:val="99"/>
              </w:rPr>
              <w:t>Company’s executive compensation.</w:t>
            </w:r>
          </w:p>
        </w:tc>
        <w:tc>
          <w:tcPr>
            <w:tcW w:w="8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0"/>
              </w:rPr>
              <w:t>1 Year</w:t>
            </w:r>
          </w:p>
        </w:tc>
        <w:tc>
          <w:tcPr>
            <w:tcW w:w="7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2 Years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 Years</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1f.</w:t>
            </w:r>
          </w:p>
        </w:tc>
        <w:tc>
          <w:tcPr>
            <w:tcW w:w="2480" w:type="dxa"/>
            <w:vAlign w:val="bottom"/>
          </w:tcPr>
          <w:p>
            <w:pPr>
              <w:ind w:left="60"/>
              <w:spacing w:after="0"/>
              <w:rPr>
                <w:sz w:val="20"/>
                <w:szCs w:val="20"/>
                <w:color w:val="auto"/>
              </w:rPr>
            </w:pPr>
            <w:r>
              <w:rPr>
                <w:rFonts w:ascii="Arial" w:cs="Arial" w:eastAsia="Arial" w:hAnsi="Arial"/>
                <w:sz w:val="14"/>
                <w:szCs w:val="14"/>
                <w:color w:val="auto"/>
              </w:rPr>
              <w:t>C. S. Cox</w:t>
            </w:r>
          </w:p>
        </w:tc>
        <w:tc>
          <w:tcPr>
            <w:tcW w:w="1100" w:type="dxa"/>
            <w:vAlign w:val="bottom"/>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1g.</w:t>
            </w:r>
          </w:p>
        </w:tc>
        <w:tc>
          <w:tcPr>
            <w:tcW w:w="2480" w:type="dxa"/>
            <w:vAlign w:val="bottom"/>
          </w:tcPr>
          <w:p>
            <w:pPr>
              <w:ind w:left="60"/>
              <w:spacing w:after="0"/>
              <w:rPr>
                <w:sz w:val="20"/>
                <w:szCs w:val="20"/>
                <w:color w:val="auto"/>
              </w:rPr>
            </w:pPr>
            <w:r>
              <w:rPr>
                <w:rFonts w:ascii="Arial" w:cs="Arial" w:eastAsia="Arial" w:hAnsi="Arial"/>
                <w:sz w:val="14"/>
                <w:szCs w:val="14"/>
                <w:color w:val="auto"/>
              </w:rPr>
              <w:t>J. M. Hobby</w:t>
            </w:r>
          </w:p>
        </w:tc>
        <w:tc>
          <w:tcPr>
            <w:tcW w:w="1100" w:type="dxa"/>
            <w:vAlign w:val="bottom"/>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2780" w:type="dxa"/>
            <w:vAlign w:val="bottom"/>
            <w:gridSpan w:val="2"/>
          </w:tcPr>
          <w:p>
            <w:pPr>
              <w:ind w:left="180"/>
              <w:spacing w:after="0"/>
              <w:rPr>
                <w:sz w:val="20"/>
                <w:szCs w:val="20"/>
                <w:color w:val="auto"/>
              </w:rPr>
            </w:pPr>
            <w:r>
              <w:rPr>
                <w:rFonts w:ascii="Arial" w:cs="Arial" w:eastAsia="Arial" w:hAnsi="Arial"/>
                <w:sz w:val="14"/>
                <w:szCs w:val="14"/>
                <w:color w:val="auto"/>
              </w:rPr>
              <w:t>3.    Board proposal regarding advisory</w:t>
            </w:r>
          </w:p>
        </w:tc>
        <w:tc>
          <w:tcPr>
            <w:tcW w:w="88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20" w:type="dxa"/>
            <w:vAlign w:val="bottom"/>
            <w:vMerge w:val="restart"/>
          </w:tcPr>
          <w:p>
            <w:pPr>
              <w:ind w:left="480"/>
              <w:spacing w:after="0"/>
              <w:rPr>
                <w:sz w:val="20"/>
                <w:szCs w:val="20"/>
                <w:color w:val="auto"/>
              </w:rPr>
            </w:pPr>
            <w:r>
              <w:rPr>
                <w:rFonts w:ascii="Arial" w:cs="Arial" w:eastAsia="Arial" w:hAnsi="Arial"/>
                <w:sz w:val="14"/>
                <w:szCs w:val="14"/>
                <w:color w:val="auto"/>
              </w:rPr>
              <w:t>1h.</w:t>
            </w:r>
          </w:p>
        </w:tc>
        <w:tc>
          <w:tcPr>
            <w:tcW w:w="2480" w:type="dxa"/>
            <w:vAlign w:val="bottom"/>
            <w:vMerge w:val="restart"/>
          </w:tcPr>
          <w:p>
            <w:pPr>
              <w:ind w:left="60"/>
              <w:spacing w:after="0"/>
              <w:rPr>
                <w:sz w:val="20"/>
                <w:szCs w:val="20"/>
                <w:color w:val="auto"/>
              </w:rPr>
            </w:pPr>
            <w:r>
              <w:rPr>
                <w:rFonts w:ascii="Arial" w:cs="Arial" w:eastAsia="Arial" w:hAnsi="Arial"/>
                <w:sz w:val="14"/>
                <w:szCs w:val="14"/>
                <w:color w:val="auto"/>
              </w:rPr>
              <w:t>R. Kirk</w:t>
            </w:r>
          </w:p>
        </w:tc>
        <w:tc>
          <w:tcPr>
            <w:tcW w:w="1100" w:type="dxa"/>
            <w:vAlign w:val="bottom"/>
            <w:vMerge w:val="restart"/>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2780" w:type="dxa"/>
            <w:vAlign w:val="bottom"/>
            <w:gridSpan w:val="2"/>
          </w:tcPr>
          <w:p>
            <w:pPr>
              <w:ind w:left="480"/>
              <w:spacing w:after="0" w:line="137" w:lineRule="exact"/>
              <w:rPr>
                <w:sz w:val="20"/>
                <w:szCs w:val="20"/>
                <w:color w:val="auto"/>
              </w:rPr>
            </w:pPr>
            <w:r>
              <w:rPr>
                <w:rFonts w:ascii="Arial" w:cs="Arial" w:eastAsia="Arial" w:hAnsi="Arial"/>
                <w:sz w:val="14"/>
                <w:szCs w:val="14"/>
                <w:color w:val="auto"/>
                <w:w w:val="94"/>
              </w:rPr>
              <w:t>approval of annual frequency for future</w:t>
            </w: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660" w:type="dxa"/>
            <w:vAlign w:val="bottom"/>
            <w:gridSpan w:val="3"/>
          </w:tcPr>
          <w:p>
            <w:pPr>
              <w:ind w:left="480"/>
              <w:spacing w:after="0"/>
              <w:rPr>
                <w:sz w:val="20"/>
                <w:szCs w:val="20"/>
                <w:color w:val="auto"/>
              </w:rPr>
            </w:pPr>
            <w:r>
              <w:rPr>
                <w:rFonts w:ascii="Arial" w:cs="Arial" w:eastAsia="Arial" w:hAnsi="Arial"/>
                <w:sz w:val="14"/>
                <w:szCs w:val="14"/>
                <w:color w:val="auto"/>
              </w:rPr>
              <w:t>advisory votes on executive compensation.</w:t>
            </w:r>
          </w:p>
        </w:tc>
        <w:tc>
          <w:tcPr>
            <w:tcW w:w="7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1i.</w:t>
            </w:r>
          </w:p>
        </w:tc>
        <w:tc>
          <w:tcPr>
            <w:tcW w:w="2480" w:type="dxa"/>
            <w:vAlign w:val="bottom"/>
          </w:tcPr>
          <w:p>
            <w:pPr>
              <w:ind w:left="60"/>
              <w:spacing w:after="0"/>
              <w:rPr>
                <w:sz w:val="20"/>
                <w:szCs w:val="20"/>
                <w:color w:val="auto"/>
              </w:rPr>
            </w:pPr>
            <w:r>
              <w:rPr>
                <w:rFonts w:ascii="Arial" w:cs="Arial" w:eastAsia="Arial" w:hAnsi="Arial"/>
                <w:sz w:val="14"/>
                <w:szCs w:val="14"/>
                <w:color w:val="auto"/>
              </w:rPr>
              <w:t>P. H. Patsley</w:t>
            </w:r>
          </w:p>
        </w:tc>
        <w:tc>
          <w:tcPr>
            <w:tcW w:w="1100" w:type="dxa"/>
            <w:vAlign w:val="bottom"/>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1j.</w:t>
            </w:r>
          </w:p>
        </w:tc>
        <w:tc>
          <w:tcPr>
            <w:tcW w:w="2480" w:type="dxa"/>
            <w:vAlign w:val="bottom"/>
          </w:tcPr>
          <w:p>
            <w:pPr>
              <w:ind w:left="60"/>
              <w:spacing w:after="0"/>
              <w:rPr>
                <w:sz w:val="20"/>
                <w:szCs w:val="20"/>
                <w:color w:val="auto"/>
              </w:rPr>
            </w:pPr>
            <w:r>
              <w:rPr>
                <w:rFonts w:ascii="Arial" w:cs="Arial" w:eastAsia="Arial" w:hAnsi="Arial"/>
                <w:sz w:val="14"/>
                <w:szCs w:val="14"/>
                <w:color w:val="auto"/>
              </w:rPr>
              <w:t>R. E. Sanchez</w:t>
            </w:r>
          </w:p>
        </w:tc>
        <w:tc>
          <w:tcPr>
            <w:tcW w:w="1100" w:type="dxa"/>
            <w:vAlign w:val="bottom"/>
          </w:tcPr>
          <w:p>
            <w:pPr>
              <w:jc w:val="center"/>
              <w:ind w:left="60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3660" w:type="dxa"/>
            <w:vAlign w:val="bottom"/>
            <w:gridSpan w:val="3"/>
          </w:tcPr>
          <w:p>
            <w:pPr>
              <w:ind w:left="180"/>
              <w:spacing w:after="0"/>
              <w:rPr>
                <w:sz w:val="20"/>
                <w:szCs w:val="20"/>
                <w:color w:val="auto"/>
              </w:rPr>
            </w:pPr>
            <w:r>
              <w:rPr>
                <w:rFonts w:ascii="Arial" w:cs="Arial" w:eastAsia="Arial" w:hAnsi="Arial"/>
                <w:sz w:val="14"/>
                <w:szCs w:val="14"/>
                <w:color w:val="auto"/>
              </w:rPr>
              <w:t>4.    Board proposal to ratify the appointment of Ernst &amp;</w:t>
            </w:r>
          </w:p>
        </w:tc>
        <w:tc>
          <w:tcPr>
            <w:tcW w:w="72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60" w:type="dxa"/>
            <w:vAlign w:val="bottom"/>
            <w:gridSpan w:val="3"/>
          </w:tcPr>
          <w:p>
            <w:pPr>
              <w:ind w:left="480"/>
              <w:spacing w:after="0" w:line="116" w:lineRule="exact"/>
              <w:rPr>
                <w:sz w:val="20"/>
                <w:szCs w:val="20"/>
                <w:color w:val="auto"/>
              </w:rPr>
            </w:pPr>
            <w:r>
              <w:rPr>
                <w:rFonts w:ascii="Arial" w:cs="Arial" w:eastAsia="Arial" w:hAnsi="Arial"/>
                <w:sz w:val="13"/>
                <w:szCs w:val="13"/>
                <w:color w:val="auto"/>
              </w:rPr>
              <w:t>Young LLP as the Company’s independent</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60" w:type="dxa"/>
            <w:vAlign w:val="bottom"/>
            <w:gridSpan w:val="3"/>
          </w:tcPr>
          <w:p>
            <w:pPr>
              <w:ind w:left="480"/>
              <w:spacing w:after="0"/>
              <w:rPr>
                <w:sz w:val="20"/>
                <w:szCs w:val="20"/>
                <w:color w:val="auto"/>
              </w:rPr>
            </w:pPr>
            <w:r>
              <w:rPr>
                <w:rFonts w:ascii="Arial" w:cs="Arial" w:eastAsia="Arial" w:hAnsi="Arial"/>
                <w:sz w:val="14"/>
                <w:szCs w:val="14"/>
                <w:color w:val="auto"/>
              </w:rPr>
              <w:t>registered public accounting firm for 2017.</w:t>
            </w: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gridSpan w:val="3"/>
          </w:tcPr>
          <w:p>
            <w:pPr>
              <w:ind w:left="180"/>
              <w:spacing w:after="0"/>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60" w:type="dxa"/>
            <w:vAlign w:val="bottom"/>
            <w:gridSpan w:val="3"/>
          </w:tcPr>
          <w:p>
            <w:pPr>
              <w:ind w:left="180"/>
              <w:spacing w:after="0"/>
              <w:rPr>
                <w:sz w:val="20"/>
                <w:szCs w:val="20"/>
                <w:color w:val="auto"/>
              </w:rPr>
            </w:pPr>
            <w:r>
              <w:rPr>
                <w:rFonts w:ascii="Arial" w:cs="Arial" w:eastAsia="Arial" w:hAnsi="Arial"/>
                <w:sz w:val="14"/>
                <w:szCs w:val="14"/>
                <w:color w:val="auto"/>
              </w:rPr>
              <w:t>before the meeting or any adjournment thereof.</w:t>
            </w: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-3048635</wp:posOffset>
            </wp:positionV>
            <wp:extent cx="7295515" cy="41567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4156710"/>
                    </a:xfrm>
                    <a:prstGeom prst="rect">
                      <a:avLst/>
                    </a:prstGeom>
                    <a:noFill/>
                  </pic:spPr>
                </pic:pic>
              </a:graphicData>
            </a:graphic>
          </wp:anchor>
        </w:drawing>
      </w:r>
    </w:p>
    <w:p>
      <w:pPr>
        <w:spacing w:after="0" w:line="324" w:lineRule="exact"/>
        <w:rPr>
          <w:sz w:val="20"/>
          <w:szCs w:val="20"/>
          <w:color w:val="auto"/>
        </w:rPr>
      </w:pPr>
    </w:p>
    <w:p>
      <w:pPr>
        <w:ind w:left="160" w:right="2040"/>
        <w:spacing w:after="0" w:line="291"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tabs>
          <w:tab w:leader="none" w:pos="3520" w:val="left"/>
          <w:tab w:leader="none" w:pos="5840" w:val="left"/>
          <w:tab w:leader="none" w:pos="94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17" w:lineRule="exact"/>
        <w:rPr>
          <w:sz w:val="20"/>
          <w:szCs w:val="20"/>
          <w:color w:val="auto"/>
        </w:rPr>
      </w:pPr>
    </w:p>
    <w:p>
      <w:pPr>
        <w:ind w:left="11120"/>
        <w:spacing w:after="0"/>
        <w:rPr>
          <w:sz w:val="20"/>
          <w:szCs w:val="20"/>
          <w:color w:val="auto"/>
        </w:rPr>
      </w:pPr>
      <w:r>
        <w:rPr>
          <w:rFonts w:ascii="Arial" w:cs="Arial" w:eastAsia="Arial" w:hAnsi="Arial"/>
          <w:sz w:val="14"/>
          <w:szCs w:val="14"/>
          <w:color w:val="auto"/>
        </w:rPr>
        <w:t>V.1.1</w:t>
      </w:r>
    </w:p>
    <w:p>
      <w:pPr>
        <w:sectPr>
          <w:pgSz w:w="11900" w:h="16838" w:orient="portrait"/>
          <w:cols w:equalWidth="0" w:num="1">
            <w:col w:w="11480"/>
          </w:cols>
          <w:pgMar w:left="240" w:top="459" w:right="1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205740</wp:posOffset>
            </wp:positionV>
            <wp:extent cx="1311910" cy="4546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119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20, 2017</w:t>
      </w:r>
    </w:p>
    <w:p>
      <w:pPr>
        <w:spacing w:after="0" w:line="256" w:lineRule="exact"/>
        <w:rPr>
          <w:sz w:val="20"/>
          <w:szCs w:val="20"/>
          <w:color w:val="auto"/>
        </w:rPr>
      </w:pPr>
    </w:p>
    <w:p>
      <w:pPr>
        <w:ind w:left="820" w:right="940"/>
        <w:spacing w:after="0" w:line="276" w:lineRule="auto"/>
        <w:rPr>
          <w:sz w:val="20"/>
          <w:szCs w:val="20"/>
          <w:color w:val="auto"/>
        </w:rPr>
      </w:pPr>
      <w:r>
        <w:rPr>
          <w:rFonts w:ascii="Arial" w:cs="Arial" w:eastAsia="Arial" w:hAnsi="Arial"/>
          <w:sz w:val="17"/>
          <w:szCs w:val="17"/>
          <w:color w:val="auto"/>
        </w:rPr>
        <w:t>You are invited to attend the 2017 annual meeting of stockholders on Thursday, April 20, 2017, in the auditorium on our property at 12500 TI Boulevard, Dallas, Texas, at 8:30 a.m. (Central time). At the meeting we will consider the election of directors, advisory approval of the Company’s executive compensation, advisory approval of future annual advisory approval of the company’s executive compensation, ratification of the appointment of Ernst &amp; Young LLP as the Company’s independent registered public accounting firm for 2017, and such other matters as may properly come before the meeting.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56" w:lineRule="exact"/>
        <w:rPr>
          <w:sz w:val="20"/>
          <w:szCs w:val="20"/>
          <w:color w:val="auto"/>
        </w:rPr>
      </w:pPr>
    </w:p>
    <w:p>
      <w:pPr>
        <w:ind w:left="820" w:right="1000"/>
        <w:spacing w:after="0" w:line="342" w:lineRule="auto"/>
        <w:rPr>
          <w:sz w:val="20"/>
          <w:szCs w:val="20"/>
          <w:color w:val="auto"/>
        </w:rPr>
      </w:pPr>
      <w:r>
        <w:rPr>
          <w:rFonts w:ascii="Arial" w:cs="Arial" w:eastAsia="Arial" w:hAnsi="Arial"/>
          <w:sz w:val="16"/>
          <w:szCs w:val="16"/>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2017 Notice and Proxy Statement and 2016 Annual Report are also available at www.proxyvote.com.</w:t>
      </w:r>
    </w:p>
    <w:p>
      <w:pPr>
        <w:spacing w:after="0" w:line="224"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E17619-P86314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7276465" cy="3340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FOR ANNUAL MEETING</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APRIL 20,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left="280" w:right="80"/>
        <w:spacing w:after="0" w:line="272" w:lineRule="auto"/>
        <w:rPr>
          <w:sz w:val="20"/>
          <w:szCs w:val="20"/>
          <w:color w:val="auto"/>
        </w:rPr>
      </w:pPr>
      <w:r>
        <w:rPr>
          <w:rFonts w:ascii="Arial" w:cs="Arial" w:eastAsia="Arial" w:hAnsi="Arial"/>
          <w:sz w:val="17"/>
          <w:szCs w:val="17"/>
          <w:color w:val="auto"/>
        </w:rPr>
        <w:t xml:space="preserve">The undersigned hereby appoints RALPH W. BABB, JR., ROBERT E. SANCHEZ, WAYNE R. SANDERS, RICHARD K. TEMPLETON, or any one or more of them, the true and lawful attorneys of the undersigned with power of substitution, to vote as proxies for the undersigned at the annual meeting of stockholders of Texas Instruments Incorporated to be held in Dallas, Texas, on April 20, 2017,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7"/>
          <w:szCs w:val="17"/>
          <w:b w:val="1"/>
          <w:bCs w:val="1"/>
          <w:color w:val="auto"/>
        </w:rPr>
        <w:t>If no contrary indication is made, this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proxy will be voted FOR the election of each director nominee, FOR Proposals 2 and 4 and FOR “1 year” on Proposal 3. </w:t>
      </w:r>
      <w:r>
        <w:rPr>
          <w:rFonts w:ascii="Arial" w:cs="Arial" w:eastAsia="Arial" w:hAnsi="Arial"/>
          <w:sz w:val="17"/>
          <w:szCs w:val="17"/>
          <w:color w:val="auto"/>
        </w:rPr>
        <w:t>If other matters come</w:t>
      </w:r>
      <w:r>
        <w:rPr>
          <w:rFonts w:ascii="Arial" w:cs="Arial" w:eastAsia="Arial" w:hAnsi="Arial"/>
          <w:sz w:val="17"/>
          <w:szCs w:val="17"/>
          <w:b w:val="1"/>
          <w:bCs w:val="1"/>
          <w:color w:val="auto"/>
        </w:rPr>
        <w:t xml:space="preserve"> </w:t>
      </w:r>
      <w:r>
        <w:rPr>
          <w:rFonts w:ascii="Arial" w:cs="Arial" w:eastAsia="Arial" w:hAnsi="Arial"/>
          <w:sz w:val="17"/>
          <w:szCs w:val="17"/>
          <w:color w:val="auto"/>
        </w:rPr>
        <w:t>before the meeting, this proxy will be voted in the discretion of the named proxies.</w:t>
      </w:r>
    </w:p>
    <w:p>
      <w:pPr>
        <w:spacing w:after="0" w:line="178" w:lineRule="exact"/>
        <w:rPr>
          <w:sz w:val="20"/>
          <w:szCs w:val="20"/>
          <w:color w:val="auto"/>
        </w:rPr>
      </w:pPr>
    </w:p>
    <w:p>
      <w:pPr>
        <w:ind w:left="280" w:right="120"/>
        <w:spacing w:after="0" w:line="291"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17, 2017,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consider voting by Internet or telephone.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received this e-mail because you are enrolled to receive TEXAS INSTRUMENTS INCORPORATED communications and vote by proxy via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 Regarding the Availability of Proxy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2017 TEXAS INSTRUMENTS INCORPORATED Annual Meeting of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MEETING DATE: April 20, 2017</w:t>
      </w:r>
    </w:p>
    <w:p>
      <w:pPr>
        <w:spacing w:after="0" w:line="234" w:lineRule="auto"/>
        <w:rPr>
          <w:sz w:val="20"/>
          <w:szCs w:val="20"/>
          <w:color w:val="auto"/>
        </w:rPr>
      </w:pPr>
      <w:r>
        <w:rPr>
          <w:rFonts w:ascii="Arial" w:cs="Arial" w:eastAsia="Arial" w:hAnsi="Arial"/>
          <w:sz w:val="18"/>
          <w:szCs w:val="18"/>
          <w:color w:val="auto"/>
        </w:rPr>
        <w:t>RECORD DATE: February 21,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CUSIP NUMBER: 882508104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e-mail represents all shares in the following account(s).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60" w:type="dxa"/>
            <w:vAlign w:val="bottom"/>
            <w:gridSpan w:val="2"/>
          </w:tcPr>
          <w:p>
            <w:pPr>
              <w:spacing w:after="0" w:line="182" w:lineRule="exact"/>
              <w:rPr>
                <w:sz w:val="20"/>
                <w:szCs w:val="20"/>
                <w:color w:val="auto"/>
              </w:rPr>
            </w:pPr>
            <w:r>
              <w:rPr>
                <w:rFonts w:ascii="Arial" w:cs="Arial" w:eastAsia="Arial" w:hAnsi="Arial"/>
                <w:sz w:val="18"/>
                <w:szCs w:val="18"/>
                <w:color w:val="auto"/>
              </w:rPr>
              <w:t>TEXAS INSTRUMENTS INC. COMMON</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60" w:type="dxa"/>
            <w:vAlign w:val="bottom"/>
            <w:gridSpan w:val="2"/>
          </w:tcPr>
          <w:p>
            <w:pPr>
              <w:spacing w:after="0"/>
              <w:rPr>
                <w:sz w:val="20"/>
                <w:szCs w:val="20"/>
                <w:color w:val="auto"/>
              </w:rPr>
            </w:pPr>
            <w:r>
              <w:rPr>
                <w:rFonts w:ascii="Arial" w:cs="Arial" w:eastAsia="Arial" w:hAnsi="Arial"/>
                <w:sz w:val="18"/>
                <w:szCs w:val="18"/>
                <w:color w:val="auto"/>
              </w:rPr>
              <w:t>TEXAS INSTRUMENTS INC. 401K SAVINGS</w:t>
            </w:r>
          </w:p>
        </w:tc>
        <w:tc>
          <w:tcPr>
            <w:tcW w:w="280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You can enter your voting instructions and view the shareholder material at the Internet site below. Please see P. 4 of the Proxy Statement for requirements to attend the meeting in person. If your browser supports secure transactions, you will automatically be directed to a secure 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https://www.proxyvote.com/00123456789012345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 may need your CONTROL NUMBER and your PIN:</w:t>
      </w:r>
    </w:p>
    <w:p>
      <w:pPr>
        <w:spacing w:after="0" w:line="113"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CONTROL NUMBER: 0123456789012345</w:t>
      </w:r>
    </w:p>
    <w:p>
      <w:pPr>
        <w:ind w:left="220" w:right="60" w:hanging="212"/>
        <w:spacing w:after="0" w:line="234"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Your PIN is the four-digit number you selected at the time of your enrollment, or if consent was provided by your employer, it may be the last four digits of your Social Security Number.</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you have forgotten your PIN please follow the “Forgot PIN” instructions on proxyvote.com.</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 registered shares, you may vote by Internet until 11:59 p.m. Eastern time on April 19, 2017. For shares allocable to a benefit plan account, voting instructions must be received no later than 11:59 p.m. Eastern time on April 17,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relevant supporting documentation can also be found at the following Internet site(s):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and Proxy Statement</w:t>
      </w:r>
    </w:p>
    <w:p>
      <w:pPr>
        <w:spacing w:after="0"/>
        <w:rPr>
          <w:sz w:val="20"/>
          <w:szCs w:val="20"/>
          <w:color w:val="auto"/>
        </w:rPr>
      </w:pPr>
      <w:r>
        <w:rPr>
          <w:rFonts w:ascii="Arial" w:cs="Arial" w:eastAsia="Arial" w:hAnsi="Arial"/>
          <w:sz w:val="18"/>
          <w:szCs w:val="18"/>
          <w:u w:val="single" w:color="auto"/>
          <w:color w:val="auto"/>
        </w:rPr>
        <w:t>http://materials.proxyvote.com/882508</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If you would like to cancel your enrollment, or change your e-mail address or PIN, please go to </w:t>
      </w:r>
      <w:r>
        <w:rPr>
          <w:rFonts w:ascii="Arial" w:cs="Arial" w:eastAsia="Arial" w:hAnsi="Arial"/>
          <w:sz w:val="18"/>
          <w:szCs w:val="18"/>
          <w:u w:val="single" w:color="auto"/>
          <w:color w:val="auto"/>
        </w:rPr>
        <w:t>https://www.InvestorDelivery.com</w:t>
      </w:r>
      <w:r>
        <w:rPr>
          <w:rFonts w:ascii="Arial" w:cs="Arial" w:eastAsia="Arial" w:hAnsi="Arial"/>
          <w:sz w:val="18"/>
          <w:szCs w:val="18"/>
          <w:color w:val="auto"/>
        </w:rPr>
        <w:t>. You will need the enrollment number below and your four-digit PIN.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forgotten your PIN, you can have it sent to your enrolled e-mail address by going to </w:t>
      </w:r>
      <w:r>
        <w:rPr>
          <w:rFonts w:ascii="Arial" w:cs="Arial" w:eastAsia="Arial" w:hAnsi="Arial"/>
          <w:sz w:val="18"/>
          <w:szCs w:val="18"/>
          <w:u w:val="single" w:color="auto"/>
          <w:color w:val="auto"/>
        </w:rPr>
        <w:t>https://www.InvestorDelivery.com</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1980" w:type="dxa"/>
            <w:vAlign w:val="bottom"/>
          </w:tcPr>
          <w:p>
            <w:pPr>
              <w:ind w:left="640"/>
              <w:spacing w:after="0"/>
              <w:rPr>
                <w:sz w:val="20"/>
                <w:szCs w:val="20"/>
                <w:color w:val="auto"/>
              </w:rPr>
            </w:pPr>
            <w:r>
              <w:rPr>
                <w:rFonts w:ascii="Arial" w:cs="Arial" w:eastAsia="Arial" w:hAnsi="Arial"/>
                <w:sz w:val="18"/>
                <w:szCs w:val="18"/>
                <w:color w:val="auto"/>
                <w:w w:val="97"/>
              </w:rPr>
              <w:t>M012345678901</w:t>
            </w:r>
          </w:p>
        </w:tc>
      </w:tr>
    </w:tbl>
    <w:p>
      <w:pPr>
        <w:spacing w:after="0" w:line="20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There are no charges for this service. There may be costs associated with electronic access, such as usage charges from Internet access providers and telephone companies, which must be borne by the stockholder.</w:t>
      </w:r>
    </w:p>
    <w:p>
      <w:pPr>
        <w:spacing w:after="0" w:line="19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lvl w:ilvl="1">
      <w:lvlJc w:val="left"/>
      <w:lvlText w:val="(%2)"/>
      <w:numFmt w:val="decimal"/>
      <w:start w:val="1"/>
    </w:lvl>
  </w:abstractNum>
  <w:abstractNum w:abstractNumId="5">
    <w:nsid w:val="153EA438"/>
    <w:multiLevelType w:val="hybridMultilevel"/>
    <w:lvl w:ilvl="0">
      <w:lvlJc w:val="left"/>
      <w:lvlText w:val="(%1)"/>
      <w:numFmt w:val="decimal"/>
      <w:start w:val="2"/>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upperLetter"/>
      <w:start w:val="1"/>
    </w:lvl>
    <w:lvl w:ilvl="1">
      <w:lvlJc w:val="left"/>
      <w:lvlText w:val="%2."/>
      <w:numFmt w:val="decimal"/>
      <w:start w:val="1"/>
    </w:lvl>
  </w:abstractNum>
  <w:abstractNum w:abstractNumId="22">
    <w:nsid w:val="579478FE"/>
    <w:multiLevelType w:val="hybridMultilevel"/>
    <w:lvl w:ilvl="0">
      <w:lvlJc w:val="left"/>
      <w:lvlText w:val="%1."/>
      <w:numFmt w:val="upperLetter"/>
      <w:start w:val="4"/>
    </w:lvl>
    <w:lvl w:ilvl="1">
      <w:lvlJc w:val="left"/>
      <w:lvlText w:val="%2."/>
      <w:numFmt w:val="decimal"/>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lvl w:ilvl="1">
      <w:lvlJc w:val="left"/>
      <w:lvlText w:val="¡"/>
      <w:numFmt w:val="bullet"/>
      <w:start w:val="1"/>
    </w:lvl>
  </w:abstractNum>
  <w:abstractNum w:abstractNumId="25">
    <w:nsid w:val="1BA026FA"/>
    <w:multiLevelType w:val="hybridMultilevel"/>
    <w:lvl w:ilvl="0">
      <w:lvlJc w:val="left"/>
      <w:lvlText w:val="•"/>
      <w:numFmt w:val="bullet"/>
      <w:start w:val="1"/>
    </w:lvl>
    <w:lvl w:ilvl="1">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4"/>
    </w:lvl>
  </w:abstractNum>
  <w:abstractNum w:abstractNumId="31">
    <w:nsid w:val="374A3FE6"/>
    <w:multiLevelType w:val="hybridMultilevel"/>
    <w:lvl w:ilvl="0">
      <w:lvlJc w:val="left"/>
      <w:lvlText w:val="(%1)"/>
      <w:numFmt w:val="decimal"/>
      <w:start w:val="5"/>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lvl w:ilvl="1">
      <w:lvlJc w:val="left"/>
      <w:lvlText w:val="¡"/>
      <w:numFmt w:val="bullet"/>
      <w:start w:val="1"/>
    </w:lvl>
  </w:abstractNum>
  <w:abstractNum w:abstractNumId="35">
    <w:nsid w:val="275AC794"/>
    <w:multiLevelType w:val="hybridMultilevel"/>
    <w:lvl w:ilvl="0">
      <w:lvlJc w:val="left"/>
      <w:lvlText w:val="•"/>
      <w:numFmt w:val="bullet"/>
      <w:start w:val="1"/>
    </w:lvl>
    <w:lvl w:ilvl="1">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lvl w:ilvl="1">
      <w:lvlJc w:val="left"/>
      <w:lvlText w:val="¡"/>
      <w:numFmt w:val="bullet"/>
      <w:start w:val="1"/>
    </w:lvl>
  </w:abstractNum>
  <w:abstractNum w:abstractNumId="43">
    <w:nsid w:val="741226BB"/>
    <w:multiLevelType w:val="hybridMultilevel"/>
    <w:lvl w:ilvl="0">
      <w:lvlJc w:val="left"/>
      <w:lvlText w:val="•"/>
      <w:numFmt w:val="bullet"/>
      <w:start w:val="1"/>
    </w:lvl>
    <w:lvl w:ilvl="1">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2"/>
      <w:numFmt w:val="bullet"/>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4"/>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2"/>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3"/>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lowerRoman"/>
      <w:start w:val="6"/>
    </w:lvl>
  </w:abstractNum>
  <w:abstractNum w:abstractNumId="58">
    <w:nsid w:val="1381823A"/>
    <w:multiLevelType w:val="hybridMultilevel"/>
    <w:lvl w:ilvl="0">
      <w:lvlJc w:val="left"/>
      <w:lvlText w:val="%1."/>
      <w:numFmt w:val="decimal"/>
      <w:start w:val="65"/>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5"/>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decimal"/>
      <w:start w:val="3"/>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lvl w:ilvl="1">
      <w:lvlJc w:val="left"/>
      <w:lvlText w:val="(%2)"/>
      <w:numFmt w:val="lowerLetter"/>
      <w:start w:val="1"/>
    </w:lvl>
  </w:abstractNum>
  <w:abstractNum w:abstractNumId="67">
    <w:nsid w:val="42C296BD"/>
    <w:multiLevelType w:val="hybridMultilevel"/>
    <w:lvl w:ilvl="0">
      <w:lvlJc w:val="left"/>
      <w:lvlText w:val="(%1)"/>
      <w:numFmt w:val="decimal"/>
      <w:start w:val="2"/>
    </w:lvl>
    <w:lvl w:ilvl="1">
      <w:lvlJc w:val="left"/>
      <w:lvlText w:val="%2"/>
      <w:numFmt w:val="lowerLetter"/>
      <w:start w:val="1"/>
    </w:lvl>
  </w:abstractNum>
  <w:abstractNum w:abstractNumId="68">
    <w:nsid w:val="168E121F"/>
    <w:multiLevelType w:val="hybridMultilevel"/>
    <w:lvl w:ilvl="0">
      <w:lvlJc w:val="left"/>
      <w:lvlText w:val="(%1)"/>
      <w:numFmt w:val="decimal"/>
      <w:start w:val="3"/>
    </w:lvl>
    <w:lvl w:ilvl="1">
      <w:lvlJc w:val="left"/>
      <w:lvlText w:val="(%2)"/>
      <w:numFmt w:val="lowerLetter"/>
      <w:start w:val="1"/>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2"/>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lvl w:ilvl="1">
      <w:lvlJc w:val="left"/>
      <w:lvlText w:val="¡"/>
      <w:numFmt w:val="bullet"/>
      <w:start w:val="1"/>
    </w:lvl>
  </w:abstractNum>
  <w:abstractNum w:abstractNumId="74">
    <w:nsid w:val="51D9C564"/>
    <w:multiLevelType w:val="hybridMultilevel"/>
    <w:lvl w:ilvl="0">
      <w:lvlJc w:val="left"/>
      <w:lvlText w:val="(%1)"/>
      <w:numFmt w:val="lowerRoman"/>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2019-12-05T07:53:31Z</dcterms:created>
  <dcterms:modified xsi:type="dcterms:W3CDTF">2019-12-05T07:53:31Z</dcterms:modified>
</cp:coreProperties>
</file>