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840" w:type="dxa"/>
            <w:vAlign w:val="bottom"/>
          </w:tcPr>
          <w:p>
            <w:pPr>
              <w:jc w:val="right"/>
              <w:spacing w:after="0"/>
              <w:rPr>
                <w:sz w:val="20"/>
                <w:szCs w:val="20"/>
                <w:color w:val="auto"/>
              </w:rPr>
            </w:pPr>
            <w:r>
              <w:rPr>
                <w:rFonts w:ascii="Arial" w:cs="Arial" w:eastAsia="Arial" w:hAnsi="Arial"/>
                <w:sz w:val="18"/>
                <w:szCs w:val="18"/>
                <w:b w:val="1"/>
                <w:bCs w:val="1"/>
                <w:color w:val="auto"/>
              </w:rPr>
              <w:t>Filed Pursuant to Rule 433</w:t>
            </w:r>
          </w:p>
        </w:tc>
      </w:tr>
      <w:tr>
        <w:trPr>
          <w:trHeight w:val="216"/>
        </w:trPr>
        <w:tc>
          <w:tcPr>
            <w:tcW w:w="3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840" w:type="dxa"/>
            <w:vAlign w:val="bottom"/>
          </w:tcPr>
          <w:p>
            <w:pPr>
              <w:jc w:val="right"/>
              <w:spacing w:after="0"/>
              <w:rPr>
                <w:sz w:val="20"/>
                <w:szCs w:val="20"/>
                <w:color w:val="auto"/>
              </w:rPr>
            </w:pPr>
            <w:r>
              <w:rPr>
                <w:rFonts w:ascii="Arial" w:cs="Arial" w:eastAsia="Arial" w:hAnsi="Arial"/>
                <w:sz w:val="18"/>
                <w:szCs w:val="18"/>
                <w:b w:val="1"/>
                <w:bCs w:val="1"/>
                <w:color w:val="auto"/>
              </w:rPr>
              <w:t>Registration No. 333-209678</w:t>
            </w:r>
          </w:p>
        </w:tc>
      </w:tr>
      <w:tr>
        <w:trPr>
          <w:trHeight w:val="216"/>
        </w:trPr>
        <w:tc>
          <w:tcPr>
            <w:tcW w:w="3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840" w:type="dxa"/>
            <w:vAlign w:val="bottom"/>
          </w:tcPr>
          <w:p>
            <w:pPr>
              <w:jc w:val="right"/>
              <w:spacing w:after="0"/>
              <w:rPr>
                <w:sz w:val="20"/>
                <w:szCs w:val="20"/>
                <w:color w:val="auto"/>
              </w:rPr>
            </w:pPr>
            <w:r>
              <w:rPr>
                <w:rFonts w:ascii="Arial" w:cs="Arial" w:eastAsia="Arial" w:hAnsi="Arial"/>
                <w:sz w:val="18"/>
                <w:szCs w:val="18"/>
                <w:b w:val="1"/>
                <w:bCs w:val="1"/>
                <w:color w:val="auto"/>
              </w:rPr>
              <w:t>Issuer Free Writing Prospectus dated April 30, 2018</w:t>
            </w:r>
          </w:p>
        </w:tc>
      </w:tr>
      <w:tr>
        <w:trPr>
          <w:trHeight w:val="234"/>
        </w:trPr>
        <w:tc>
          <w:tcPr>
            <w:tcW w:w="3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580" w:type="dxa"/>
            <w:vAlign w:val="bottom"/>
            <w:gridSpan w:val="2"/>
          </w:tcPr>
          <w:p>
            <w:pPr>
              <w:jc w:val="right"/>
              <w:spacing w:after="0"/>
              <w:rPr>
                <w:sz w:val="20"/>
                <w:szCs w:val="20"/>
                <w:color w:val="auto"/>
              </w:rPr>
            </w:pPr>
            <w:r>
              <w:rPr>
                <w:rFonts w:ascii="Arial" w:cs="Arial" w:eastAsia="Arial" w:hAnsi="Arial"/>
                <w:sz w:val="18"/>
                <w:szCs w:val="18"/>
                <w:b w:val="1"/>
                <w:bCs w:val="1"/>
                <w:color w:val="auto"/>
              </w:rPr>
              <w:t>Relating to Preliminary Prospectus Supplement dated April 30, 2018</w:t>
            </w:r>
          </w:p>
        </w:tc>
      </w:tr>
      <w:tr>
        <w:trPr>
          <w:trHeight w:val="432"/>
        </w:trPr>
        <w:tc>
          <w:tcPr>
            <w:tcW w:w="3140" w:type="dxa"/>
            <w:vAlign w:val="bottom"/>
          </w:tcPr>
          <w:p>
            <w:pPr>
              <w:spacing w:after="0"/>
              <w:rPr>
                <w:sz w:val="24"/>
                <w:szCs w:val="24"/>
                <w:color w:val="auto"/>
              </w:rPr>
            </w:pPr>
          </w:p>
        </w:tc>
        <w:tc>
          <w:tcPr>
            <w:tcW w:w="8280" w:type="dxa"/>
            <w:vAlign w:val="bottom"/>
            <w:gridSpan w:val="3"/>
          </w:tcPr>
          <w:p>
            <w:pPr>
              <w:jc w:val="center"/>
              <w:ind w:right="3030"/>
              <w:spacing w:after="0"/>
              <w:rPr>
                <w:sz w:val="20"/>
                <w:szCs w:val="20"/>
                <w:color w:val="auto"/>
              </w:rPr>
            </w:pPr>
            <w:r>
              <w:rPr>
                <w:rFonts w:ascii="Arial" w:cs="Arial" w:eastAsia="Arial" w:hAnsi="Arial"/>
                <w:sz w:val="18"/>
                <w:szCs w:val="18"/>
                <w:b w:val="1"/>
                <w:bCs w:val="1"/>
                <w:color w:val="auto"/>
              </w:rPr>
              <w:t>TEXAS INSTRUMENTS INCORPORATED</w:t>
            </w:r>
          </w:p>
        </w:tc>
      </w:tr>
      <w:tr>
        <w:trPr>
          <w:trHeight w:val="432"/>
        </w:trPr>
        <w:tc>
          <w:tcPr>
            <w:tcW w:w="3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580" w:type="dxa"/>
            <w:vAlign w:val="bottom"/>
            <w:gridSpan w:val="2"/>
          </w:tcPr>
          <w:p>
            <w:pPr>
              <w:jc w:val="center"/>
              <w:ind w:right="4730"/>
              <w:spacing w:after="0"/>
              <w:rPr>
                <w:sz w:val="20"/>
                <w:szCs w:val="20"/>
                <w:color w:val="auto"/>
              </w:rPr>
            </w:pPr>
            <w:r>
              <w:rPr>
                <w:rFonts w:ascii="Arial" w:cs="Arial" w:eastAsia="Arial" w:hAnsi="Arial"/>
                <w:sz w:val="18"/>
                <w:szCs w:val="18"/>
                <w:b w:val="1"/>
                <w:bCs w:val="1"/>
                <w:color w:val="auto"/>
                <w:w w:val="90"/>
              </w:rPr>
              <w:t>Pricing Term Sheet</w:t>
            </w:r>
          </w:p>
        </w:tc>
      </w:tr>
      <w:tr>
        <w:trPr>
          <w:trHeight w:val="392"/>
        </w:trPr>
        <w:tc>
          <w:tcPr>
            <w:tcW w:w="3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4.</w:t>
            </w:r>
            <w:r>
              <w:rPr>
                <w:rFonts w:ascii="Arial" w:cs="Arial" w:eastAsia="Arial" w:hAnsi="Arial"/>
                <w:sz w:val="18"/>
                <w:szCs w:val="18"/>
                <w:u w:val="single" w:color="auto"/>
                <w:color w:val="auto"/>
                <w:w w:val="90"/>
              </w:rPr>
              <w:t>150%</w:t>
            </w:r>
            <w:r>
              <w:rPr>
                <w:rFonts w:ascii="Arial" w:cs="Arial" w:eastAsia="Arial" w:hAnsi="Arial"/>
                <w:sz w:val="18"/>
                <w:szCs w:val="18"/>
                <w:color w:val="auto"/>
                <w:w w:val="90"/>
              </w:rPr>
              <w:t xml:space="preserve"> Notes due 2048</w:t>
            </w:r>
          </w:p>
        </w:tc>
        <w:tc>
          <w:tcPr>
            <w:tcW w:w="4840" w:type="dxa"/>
            <w:vAlign w:val="bottom"/>
          </w:tcPr>
          <w:p>
            <w:pPr>
              <w:spacing w:after="0"/>
              <w:rPr>
                <w:sz w:val="24"/>
                <w:szCs w:val="24"/>
                <w:color w:val="auto"/>
              </w:rPr>
            </w:pPr>
          </w:p>
        </w:tc>
      </w:tr>
      <w:tr>
        <w:trPr>
          <w:trHeight w:val="588"/>
        </w:trPr>
        <w:tc>
          <w:tcPr>
            <w:tcW w:w="3140" w:type="dxa"/>
            <w:vAlign w:val="bottom"/>
          </w:tcPr>
          <w:p>
            <w:pPr>
              <w:spacing w:after="0"/>
              <w:rPr>
                <w:sz w:val="20"/>
                <w:szCs w:val="20"/>
                <w:color w:val="auto"/>
              </w:rPr>
            </w:pPr>
            <w:r>
              <w:rPr>
                <w:rFonts w:ascii="Arial" w:cs="Arial" w:eastAsia="Arial" w:hAnsi="Arial"/>
                <w:sz w:val="18"/>
                <w:szCs w:val="18"/>
                <w:color w:val="auto"/>
              </w:rPr>
              <w:t>Issuer:</w:t>
            </w:r>
          </w:p>
        </w:tc>
        <w:tc>
          <w:tcPr>
            <w:tcW w:w="8280" w:type="dxa"/>
            <w:vAlign w:val="bottom"/>
            <w:gridSpan w:val="3"/>
          </w:tcPr>
          <w:p>
            <w:pPr>
              <w:ind w:left="400"/>
              <w:spacing w:after="0"/>
              <w:rPr>
                <w:sz w:val="20"/>
                <w:szCs w:val="20"/>
                <w:color w:val="auto"/>
              </w:rPr>
            </w:pPr>
            <w:r>
              <w:rPr>
                <w:rFonts w:ascii="Arial" w:cs="Arial" w:eastAsia="Arial" w:hAnsi="Arial"/>
                <w:sz w:val="18"/>
                <w:szCs w:val="18"/>
                <w:color w:val="auto"/>
              </w:rPr>
              <w:t>Texas Instruments Incorporated (“TI”)</w:t>
            </w:r>
          </w:p>
        </w:tc>
      </w:tr>
      <w:tr>
        <w:trPr>
          <w:trHeight w:val="324"/>
        </w:trPr>
        <w:tc>
          <w:tcPr>
            <w:tcW w:w="3140" w:type="dxa"/>
            <w:vAlign w:val="bottom"/>
          </w:tcPr>
          <w:p>
            <w:pPr>
              <w:spacing w:after="0"/>
              <w:rPr>
                <w:sz w:val="20"/>
                <w:szCs w:val="20"/>
                <w:color w:val="auto"/>
              </w:rPr>
            </w:pPr>
            <w:r>
              <w:rPr>
                <w:rFonts w:ascii="Arial" w:cs="Arial" w:eastAsia="Arial" w:hAnsi="Arial"/>
                <w:sz w:val="18"/>
                <w:szCs w:val="18"/>
                <w:color w:val="auto"/>
              </w:rPr>
              <w:t>Principal Amount:</w:t>
            </w:r>
          </w:p>
        </w:tc>
        <w:tc>
          <w:tcPr>
            <w:tcW w:w="1700" w:type="dxa"/>
            <w:vAlign w:val="bottom"/>
          </w:tcPr>
          <w:p>
            <w:pPr>
              <w:ind w:left="400"/>
              <w:spacing w:after="0"/>
              <w:rPr>
                <w:sz w:val="20"/>
                <w:szCs w:val="20"/>
                <w:color w:val="auto"/>
              </w:rPr>
            </w:pPr>
            <w:r>
              <w:rPr>
                <w:rFonts w:ascii="Arial" w:cs="Arial" w:eastAsia="Arial" w:hAnsi="Arial"/>
                <w:sz w:val="18"/>
                <w:szCs w:val="18"/>
                <w:color w:val="auto"/>
              </w:rPr>
              <w:t>$1,300,000,000</w:t>
            </w:r>
          </w:p>
        </w:tc>
        <w:tc>
          <w:tcPr>
            <w:tcW w:w="174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324"/>
        </w:trPr>
        <w:tc>
          <w:tcPr>
            <w:tcW w:w="3140" w:type="dxa"/>
            <w:vAlign w:val="bottom"/>
          </w:tcPr>
          <w:p>
            <w:pPr>
              <w:spacing w:after="0"/>
              <w:rPr>
                <w:sz w:val="20"/>
                <w:szCs w:val="20"/>
                <w:color w:val="auto"/>
              </w:rPr>
            </w:pPr>
            <w:r>
              <w:rPr>
                <w:rFonts w:ascii="Arial" w:cs="Arial" w:eastAsia="Arial" w:hAnsi="Arial"/>
                <w:sz w:val="18"/>
                <w:szCs w:val="18"/>
                <w:color w:val="auto"/>
              </w:rPr>
              <w:t>Maturity Date:</w:t>
            </w:r>
          </w:p>
        </w:tc>
        <w:tc>
          <w:tcPr>
            <w:tcW w:w="8280" w:type="dxa"/>
            <w:vAlign w:val="bottom"/>
            <w:gridSpan w:val="3"/>
          </w:tcPr>
          <w:p>
            <w:pPr>
              <w:ind w:left="400"/>
              <w:spacing w:after="0"/>
              <w:rPr>
                <w:sz w:val="20"/>
                <w:szCs w:val="20"/>
                <w:color w:val="auto"/>
              </w:rPr>
            </w:pPr>
            <w:r>
              <w:rPr>
                <w:rFonts w:ascii="Arial" w:cs="Arial" w:eastAsia="Arial" w:hAnsi="Arial"/>
                <w:sz w:val="18"/>
                <w:szCs w:val="18"/>
                <w:color w:val="auto"/>
              </w:rPr>
              <w:t>May 15, 2048</w:t>
            </w:r>
          </w:p>
        </w:tc>
      </w:tr>
      <w:tr>
        <w:trPr>
          <w:trHeight w:val="324"/>
        </w:trPr>
        <w:tc>
          <w:tcPr>
            <w:tcW w:w="3140" w:type="dxa"/>
            <w:vAlign w:val="bottom"/>
          </w:tcPr>
          <w:p>
            <w:pPr>
              <w:spacing w:after="0"/>
              <w:rPr>
                <w:sz w:val="20"/>
                <w:szCs w:val="20"/>
                <w:color w:val="auto"/>
              </w:rPr>
            </w:pPr>
            <w:r>
              <w:rPr>
                <w:rFonts w:ascii="Arial" w:cs="Arial" w:eastAsia="Arial" w:hAnsi="Arial"/>
                <w:sz w:val="18"/>
                <w:szCs w:val="18"/>
                <w:color w:val="auto"/>
              </w:rPr>
              <w:t>Coupon:</w:t>
            </w:r>
          </w:p>
        </w:tc>
        <w:tc>
          <w:tcPr>
            <w:tcW w:w="1700" w:type="dxa"/>
            <w:vAlign w:val="bottom"/>
          </w:tcPr>
          <w:p>
            <w:pPr>
              <w:ind w:left="400"/>
              <w:spacing w:after="0"/>
              <w:rPr>
                <w:sz w:val="20"/>
                <w:szCs w:val="20"/>
                <w:color w:val="auto"/>
              </w:rPr>
            </w:pPr>
            <w:r>
              <w:rPr>
                <w:rFonts w:ascii="Arial" w:cs="Arial" w:eastAsia="Arial" w:hAnsi="Arial"/>
                <w:sz w:val="18"/>
                <w:szCs w:val="18"/>
                <w:color w:val="auto"/>
              </w:rPr>
              <w:t>4.150%</w:t>
            </w:r>
          </w:p>
        </w:tc>
        <w:tc>
          <w:tcPr>
            <w:tcW w:w="174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324"/>
        </w:trPr>
        <w:tc>
          <w:tcPr>
            <w:tcW w:w="3140" w:type="dxa"/>
            <w:vAlign w:val="bottom"/>
          </w:tcPr>
          <w:p>
            <w:pPr>
              <w:spacing w:after="0"/>
              <w:rPr>
                <w:sz w:val="20"/>
                <w:szCs w:val="20"/>
                <w:color w:val="auto"/>
              </w:rPr>
            </w:pPr>
            <w:r>
              <w:rPr>
                <w:rFonts w:ascii="Arial" w:cs="Arial" w:eastAsia="Arial" w:hAnsi="Arial"/>
                <w:sz w:val="18"/>
                <w:szCs w:val="18"/>
                <w:color w:val="auto"/>
              </w:rPr>
              <w:t>Price to Public:</w:t>
            </w:r>
          </w:p>
        </w:tc>
        <w:tc>
          <w:tcPr>
            <w:tcW w:w="8280" w:type="dxa"/>
            <w:vAlign w:val="bottom"/>
            <w:gridSpan w:val="3"/>
          </w:tcPr>
          <w:p>
            <w:pPr>
              <w:ind w:left="400"/>
              <w:spacing w:after="0"/>
              <w:rPr>
                <w:sz w:val="20"/>
                <w:szCs w:val="20"/>
                <w:color w:val="auto"/>
              </w:rPr>
            </w:pPr>
            <w:r>
              <w:rPr>
                <w:rFonts w:ascii="Arial" w:cs="Arial" w:eastAsia="Arial" w:hAnsi="Arial"/>
                <w:sz w:val="18"/>
                <w:szCs w:val="18"/>
                <w:color w:val="auto"/>
              </w:rPr>
              <w:t>99.556% of principal amount</w:t>
            </w:r>
          </w:p>
        </w:tc>
      </w:tr>
      <w:tr>
        <w:trPr>
          <w:trHeight w:val="324"/>
        </w:trPr>
        <w:tc>
          <w:tcPr>
            <w:tcW w:w="3140" w:type="dxa"/>
            <w:vAlign w:val="bottom"/>
          </w:tcPr>
          <w:p>
            <w:pPr>
              <w:spacing w:after="0"/>
              <w:rPr>
                <w:sz w:val="20"/>
                <w:szCs w:val="20"/>
                <w:color w:val="auto"/>
              </w:rPr>
            </w:pPr>
            <w:r>
              <w:rPr>
                <w:rFonts w:ascii="Arial" w:cs="Arial" w:eastAsia="Arial" w:hAnsi="Arial"/>
                <w:sz w:val="18"/>
                <w:szCs w:val="18"/>
                <w:color w:val="auto"/>
              </w:rPr>
              <w:t>Interest Payment Dates:</w:t>
            </w:r>
          </w:p>
        </w:tc>
        <w:tc>
          <w:tcPr>
            <w:tcW w:w="8280" w:type="dxa"/>
            <w:vAlign w:val="bottom"/>
            <w:gridSpan w:val="3"/>
          </w:tcPr>
          <w:p>
            <w:pPr>
              <w:ind w:left="400"/>
              <w:spacing w:after="0"/>
              <w:rPr>
                <w:sz w:val="20"/>
                <w:szCs w:val="20"/>
                <w:color w:val="auto"/>
              </w:rPr>
            </w:pPr>
            <w:r>
              <w:rPr>
                <w:rFonts w:ascii="Arial" w:cs="Arial" w:eastAsia="Arial" w:hAnsi="Arial"/>
                <w:sz w:val="18"/>
                <w:szCs w:val="18"/>
                <w:color w:val="auto"/>
              </w:rPr>
              <w:t>May 15 and November 15, beginning on November 15, 2018, and on the maturity date</w:t>
            </w:r>
          </w:p>
        </w:tc>
      </w:tr>
      <w:tr>
        <w:trPr>
          <w:trHeight w:val="324"/>
        </w:trPr>
        <w:tc>
          <w:tcPr>
            <w:tcW w:w="3140" w:type="dxa"/>
            <w:vAlign w:val="bottom"/>
          </w:tcPr>
          <w:p>
            <w:pPr>
              <w:spacing w:after="0"/>
              <w:rPr>
                <w:sz w:val="20"/>
                <w:szCs w:val="20"/>
                <w:color w:val="auto"/>
              </w:rPr>
            </w:pPr>
            <w:r>
              <w:rPr>
                <w:rFonts w:ascii="Arial" w:cs="Arial" w:eastAsia="Arial" w:hAnsi="Arial"/>
                <w:sz w:val="18"/>
                <w:szCs w:val="18"/>
                <w:color w:val="auto"/>
              </w:rPr>
              <w:t>Day Count Convention:</w:t>
            </w:r>
          </w:p>
        </w:tc>
        <w:tc>
          <w:tcPr>
            <w:tcW w:w="1700" w:type="dxa"/>
            <w:vAlign w:val="bottom"/>
          </w:tcPr>
          <w:p>
            <w:pPr>
              <w:ind w:left="400"/>
              <w:spacing w:after="0"/>
              <w:rPr>
                <w:sz w:val="20"/>
                <w:szCs w:val="20"/>
                <w:color w:val="auto"/>
              </w:rPr>
            </w:pPr>
            <w:r>
              <w:rPr>
                <w:rFonts w:ascii="Arial" w:cs="Arial" w:eastAsia="Arial" w:hAnsi="Arial"/>
                <w:sz w:val="18"/>
                <w:szCs w:val="18"/>
                <w:color w:val="auto"/>
              </w:rPr>
              <w:t>30/360</w:t>
            </w:r>
          </w:p>
        </w:tc>
        <w:tc>
          <w:tcPr>
            <w:tcW w:w="174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324"/>
        </w:trPr>
        <w:tc>
          <w:tcPr>
            <w:tcW w:w="3140" w:type="dxa"/>
            <w:vAlign w:val="bottom"/>
          </w:tcPr>
          <w:p>
            <w:pPr>
              <w:spacing w:after="0"/>
              <w:rPr>
                <w:sz w:val="20"/>
                <w:szCs w:val="20"/>
                <w:color w:val="auto"/>
              </w:rPr>
            </w:pPr>
            <w:r>
              <w:rPr>
                <w:rFonts w:ascii="Arial" w:cs="Arial" w:eastAsia="Arial" w:hAnsi="Arial"/>
                <w:sz w:val="18"/>
                <w:szCs w:val="18"/>
                <w:color w:val="auto"/>
              </w:rPr>
              <w:t>Net Proceeds (before expenses) to TI:</w:t>
            </w:r>
          </w:p>
        </w:tc>
        <w:tc>
          <w:tcPr>
            <w:tcW w:w="1700" w:type="dxa"/>
            <w:vAlign w:val="bottom"/>
          </w:tcPr>
          <w:p>
            <w:pPr>
              <w:ind w:left="400"/>
              <w:spacing w:after="0"/>
              <w:rPr>
                <w:sz w:val="20"/>
                <w:szCs w:val="20"/>
                <w:color w:val="auto"/>
              </w:rPr>
            </w:pPr>
            <w:r>
              <w:rPr>
                <w:rFonts w:ascii="Arial" w:cs="Arial" w:eastAsia="Arial" w:hAnsi="Arial"/>
                <w:sz w:val="18"/>
                <w:szCs w:val="18"/>
                <w:color w:val="auto"/>
              </w:rPr>
              <w:t>$1,284,478,000</w:t>
            </w:r>
          </w:p>
        </w:tc>
        <w:tc>
          <w:tcPr>
            <w:tcW w:w="174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324"/>
        </w:trPr>
        <w:tc>
          <w:tcPr>
            <w:tcW w:w="3140" w:type="dxa"/>
            <w:vAlign w:val="bottom"/>
          </w:tcPr>
          <w:p>
            <w:pPr>
              <w:spacing w:after="0"/>
              <w:rPr>
                <w:sz w:val="20"/>
                <w:szCs w:val="20"/>
                <w:color w:val="auto"/>
              </w:rPr>
            </w:pPr>
            <w:r>
              <w:rPr>
                <w:rFonts w:ascii="Arial" w:cs="Arial" w:eastAsia="Arial" w:hAnsi="Arial"/>
                <w:sz w:val="18"/>
                <w:szCs w:val="18"/>
                <w:color w:val="auto"/>
              </w:rPr>
              <w:t>Benchmark Treasury:</w:t>
            </w:r>
          </w:p>
        </w:tc>
        <w:tc>
          <w:tcPr>
            <w:tcW w:w="8280" w:type="dxa"/>
            <w:vAlign w:val="bottom"/>
            <w:gridSpan w:val="3"/>
          </w:tcPr>
          <w:p>
            <w:pPr>
              <w:ind w:left="400"/>
              <w:spacing w:after="0"/>
              <w:rPr>
                <w:sz w:val="20"/>
                <w:szCs w:val="20"/>
                <w:color w:val="auto"/>
              </w:rPr>
            </w:pPr>
            <w:r>
              <w:rPr>
                <w:rFonts w:ascii="Arial" w:cs="Arial" w:eastAsia="Arial" w:hAnsi="Arial"/>
                <w:sz w:val="18"/>
                <w:szCs w:val="18"/>
                <w:color w:val="auto"/>
              </w:rPr>
              <w:t>2.750% due November 15, 2047</w:t>
            </w:r>
          </w:p>
        </w:tc>
      </w:tr>
      <w:tr>
        <w:trPr>
          <w:trHeight w:val="324"/>
        </w:trPr>
        <w:tc>
          <w:tcPr>
            <w:tcW w:w="3140" w:type="dxa"/>
            <w:vAlign w:val="bottom"/>
          </w:tcPr>
          <w:p>
            <w:pPr>
              <w:spacing w:after="0"/>
              <w:rPr>
                <w:sz w:val="20"/>
                <w:szCs w:val="20"/>
                <w:color w:val="auto"/>
              </w:rPr>
            </w:pPr>
            <w:r>
              <w:rPr>
                <w:rFonts w:ascii="Arial" w:cs="Arial" w:eastAsia="Arial" w:hAnsi="Arial"/>
                <w:sz w:val="18"/>
                <w:szCs w:val="18"/>
                <w:color w:val="auto"/>
              </w:rPr>
              <w:t>Spread to Benchmark Treasury:</w:t>
            </w:r>
          </w:p>
        </w:tc>
        <w:tc>
          <w:tcPr>
            <w:tcW w:w="8280" w:type="dxa"/>
            <w:vAlign w:val="bottom"/>
            <w:gridSpan w:val="3"/>
          </w:tcPr>
          <w:p>
            <w:pPr>
              <w:ind w:left="400"/>
              <w:spacing w:after="0"/>
              <w:rPr>
                <w:sz w:val="20"/>
                <w:szCs w:val="20"/>
                <w:color w:val="auto"/>
              </w:rPr>
            </w:pPr>
            <w:r>
              <w:rPr>
                <w:rFonts w:ascii="Arial" w:cs="Arial" w:eastAsia="Arial" w:hAnsi="Arial"/>
                <w:sz w:val="18"/>
                <w:szCs w:val="18"/>
                <w:color w:val="auto"/>
              </w:rPr>
              <w:t>107 basis points</w:t>
            </w:r>
          </w:p>
        </w:tc>
      </w:tr>
      <w:tr>
        <w:trPr>
          <w:trHeight w:val="324"/>
        </w:trPr>
        <w:tc>
          <w:tcPr>
            <w:tcW w:w="3140" w:type="dxa"/>
            <w:vAlign w:val="bottom"/>
          </w:tcPr>
          <w:p>
            <w:pPr>
              <w:spacing w:after="0"/>
              <w:rPr>
                <w:sz w:val="20"/>
                <w:szCs w:val="20"/>
                <w:color w:val="auto"/>
              </w:rPr>
            </w:pPr>
            <w:r>
              <w:rPr>
                <w:rFonts w:ascii="Arial" w:cs="Arial" w:eastAsia="Arial" w:hAnsi="Arial"/>
                <w:sz w:val="18"/>
                <w:szCs w:val="18"/>
                <w:color w:val="auto"/>
              </w:rPr>
              <w:t>Yield to Maturity:</w:t>
            </w:r>
          </w:p>
        </w:tc>
        <w:tc>
          <w:tcPr>
            <w:tcW w:w="1700" w:type="dxa"/>
            <w:vAlign w:val="bottom"/>
          </w:tcPr>
          <w:p>
            <w:pPr>
              <w:ind w:left="400"/>
              <w:spacing w:after="0"/>
              <w:rPr>
                <w:sz w:val="20"/>
                <w:szCs w:val="20"/>
                <w:color w:val="auto"/>
              </w:rPr>
            </w:pPr>
            <w:r>
              <w:rPr>
                <w:rFonts w:ascii="Arial" w:cs="Arial" w:eastAsia="Arial" w:hAnsi="Arial"/>
                <w:sz w:val="18"/>
                <w:szCs w:val="18"/>
                <w:color w:val="auto"/>
              </w:rPr>
              <w:t>4.176%</w:t>
            </w:r>
          </w:p>
        </w:tc>
        <w:tc>
          <w:tcPr>
            <w:tcW w:w="174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324"/>
        </w:trPr>
        <w:tc>
          <w:tcPr>
            <w:tcW w:w="3140" w:type="dxa"/>
            <w:vAlign w:val="bottom"/>
          </w:tcPr>
          <w:p>
            <w:pPr>
              <w:spacing w:after="0"/>
              <w:rPr>
                <w:sz w:val="20"/>
                <w:szCs w:val="20"/>
                <w:color w:val="auto"/>
              </w:rPr>
            </w:pPr>
            <w:r>
              <w:rPr>
                <w:rFonts w:ascii="Arial" w:cs="Arial" w:eastAsia="Arial" w:hAnsi="Arial"/>
                <w:sz w:val="18"/>
                <w:szCs w:val="18"/>
                <w:color w:val="auto"/>
              </w:rPr>
              <w:t>Benchmark Treasury Price and Yield:</w:t>
            </w:r>
          </w:p>
        </w:tc>
        <w:tc>
          <w:tcPr>
            <w:tcW w:w="1700" w:type="dxa"/>
            <w:vAlign w:val="bottom"/>
          </w:tcPr>
          <w:p>
            <w:pPr>
              <w:ind w:left="400"/>
              <w:spacing w:after="0"/>
              <w:rPr>
                <w:sz w:val="20"/>
                <w:szCs w:val="20"/>
                <w:color w:val="auto"/>
              </w:rPr>
            </w:pPr>
            <w:r>
              <w:rPr>
                <w:rFonts w:ascii="Arial" w:cs="Arial" w:eastAsia="Arial" w:hAnsi="Arial"/>
                <w:sz w:val="18"/>
                <w:szCs w:val="18"/>
                <w:color w:val="auto"/>
              </w:rPr>
              <w:t>93-05; 3.106%</w:t>
            </w:r>
          </w:p>
        </w:tc>
        <w:tc>
          <w:tcPr>
            <w:tcW w:w="174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310"/>
        </w:trPr>
        <w:tc>
          <w:tcPr>
            <w:tcW w:w="3140" w:type="dxa"/>
            <w:vAlign w:val="bottom"/>
          </w:tcPr>
          <w:p>
            <w:pPr>
              <w:spacing w:after="0"/>
              <w:rPr>
                <w:sz w:val="20"/>
                <w:szCs w:val="20"/>
                <w:color w:val="auto"/>
              </w:rPr>
            </w:pPr>
            <w:r>
              <w:rPr>
                <w:rFonts w:ascii="Arial" w:cs="Arial" w:eastAsia="Arial" w:hAnsi="Arial"/>
                <w:sz w:val="18"/>
                <w:szCs w:val="18"/>
                <w:color w:val="auto"/>
              </w:rPr>
              <w:t>Make-Whole Call:</w:t>
            </w:r>
          </w:p>
        </w:tc>
        <w:tc>
          <w:tcPr>
            <w:tcW w:w="8280" w:type="dxa"/>
            <w:vAlign w:val="bottom"/>
            <w:gridSpan w:val="3"/>
          </w:tcPr>
          <w:p>
            <w:pPr>
              <w:ind w:left="400"/>
              <w:spacing w:after="0"/>
              <w:rPr>
                <w:sz w:val="20"/>
                <w:szCs w:val="20"/>
                <w:color w:val="auto"/>
              </w:rPr>
            </w:pPr>
            <w:r>
              <w:rPr>
                <w:rFonts w:ascii="Arial" w:cs="Arial" w:eastAsia="Arial" w:hAnsi="Arial"/>
                <w:sz w:val="18"/>
                <w:szCs w:val="18"/>
                <w:color w:val="auto"/>
                <w:w w:val="93"/>
              </w:rPr>
              <w:t>At any time before November 15, 2047 (six months before the maturity date) at the greater of: (i) 100% of</w:t>
            </w:r>
          </w:p>
        </w:tc>
      </w:tr>
      <w:tr>
        <w:trPr>
          <w:trHeight w:val="216"/>
        </w:trPr>
        <w:tc>
          <w:tcPr>
            <w:tcW w:w="3140" w:type="dxa"/>
            <w:vAlign w:val="bottom"/>
          </w:tcPr>
          <w:p>
            <w:pPr>
              <w:spacing w:after="0"/>
              <w:rPr>
                <w:sz w:val="18"/>
                <w:szCs w:val="18"/>
                <w:color w:val="auto"/>
              </w:rPr>
            </w:pPr>
          </w:p>
        </w:tc>
        <w:tc>
          <w:tcPr>
            <w:tcW w:w="8280" w:type="dxa"/>
            <w:vAlign w:val="bottom"/>
            <w:gridSpan w:val="3"/>
          </w:tcPr>
          <w:p>
            <w:pPr>
              <w:ind w:left="400"/>
              <w:spacing w:after="0"/>
              <w:rPr>
                <w:sz w:val="20"/>
                <w:szCs w:val="20"/>
                <w:color w:val="auto"/>
              </w:rPr>
            </w:pPr>
            <w:r>
              <w:rPr>
                <w:rFonts w:ascii="Arial" w:cs="Arial" w:eastAsia="Arial" w:hAnsi="Arial"/>
                <w:sz w:val="18"/>
                <w:szCs w:val="18"/>
                <w:color w:val="auto"/>
                <w:w w:val="95"/>
              </w:rPr>
              <w:t>the principal amount of the notes being redeemed; and (ii) the sum of the present values of the principal</w:t>
            </w:r>
          </w:p>
        </w:tc>
      </w:tr>
      <w:tr>
        <w:trPr>
          <w:trHeight w:val="216"/>
        </w:trPr>
        <w:tc>
          <w:tcPr>
            <w:tcW w:w="3140" w:type="dxa"/>
            <w:vAlign w:val="bottom"/>
          </w:tcPr>
          <w:p>
            <w:pPr>
              <w:spacing w:after="0"/>
              <w:rPr>
                <w:sz w:val="18"/>
                <w:szCs w:val="18"/>
                <w:color w:val="auto"/>
              </w:rPr>
            </w:pPr>
          </w:p>
        </w:tc>
        <w:tc>
          <w:tcPr>
            <w:tcW w:w="8280" w:type="dxa"/>
            <w:vAlign w:val="bottom"/>
            <w:gridSpan w:val="3"/>
          </w:tcPr>
          <w:p>
            <w:pPr>
              <w:ind w:left="400"/>
              <w:spacing w:after="0"/>
              <w:rPr>
                <w:sz w:val="20"/>
                <w:szCs w:val="20"/>
                <w:color w:val="auto"/>
              </w:rPr>
            </w:pPr>
            <w:r>
              <w:rPr>
                <w:rFonts w:ascii="Arial" w:cs="Arial" w:eastAsia="Arial" w:hAnsi="Arial"/>
                <w:sz w:val="18"/>
                <w:szCs w:val="18"/>
                <w:color w:val="auto"/>
                <w:w w:val="95"/>
              </w:rPr>
              <w:t>amount of such notes and the scheduled payments of interest thereon (not including any portion of such</w:t>
            </w:r>
          </w:p>
        </w:tc>
      </w:tr>
      <w:tr>
        <w:trPr>
          <w:trHeight w:val="216"/>
        </w:trPr>
        <w:tc>
          <w:tcPr>
            <w:tcW w:w="3140" w:type="dxa"/>
            <w:vAlign w:val="bottom"/>
          </w:tcPr>
          <w:p>
            <w:pPr>
              <w:spacing w:after="0"/>
              <w:rPr>
                <w:sz w:val="18"/>
                <w:szCs w:val="18"/>
                <w:color w:val="auto"/>
              </w:rPr>
            </w:pPr>
          </w:p>
        </w:tc>
        <w:tc>
          <w:tcPr>
            <w:tcW w:w="8280" w:type="dxa"/>
            <w:vAlign w:val="bottom"/>
            <w:gridSpan w:val="3"/>
          </w:tcPr>
          <w:p>
            <w:pPr>
              <w:ind w:left="400"/>
              <w:spacing w:after="0"/>
              <w:rPr>
                <w:sz w:val="20"/>
                <w:szCs w:val="20"/>
                <w:color w:val="auto"/>
              </w:rPr>
            </w:pPr>
            <w:r>
              <w:rPr>
                <w:rFonts w:ascii="Arial" w:cs="Arial" w:eastAsia="Arial" w:hAnsi="Arial"/>
                <w:sz w:val="18"/>
                <w:szCs w:val="18"/>
                <w:color w:val="auto"/>
                <w:w w:val="94"/>
              </w:rPr>
              <w:t>payments of interest accrued as of the date of redemption) from the date of redemption to November 15,</w:t>
            </w:r>
          </w:p>
        </w:tc>
      </w:tr>
      <w:tr>
        <w:trPr>
          <w:trHeight w:val="216"/>
        </w:trPr>
        <w:tc>
          <w:tcPr>
            <w:tcW w:w="3140" w:type="dxa"/>
            <w:vAlign w:val="bottom"/>
          </w:tcPr>
          <w:p>
            <w:pPr>
              <w:spacing w:after="0"/>
              <w:rPr>
                <w:sz w:val="18"/>
                <w:szCs w:val="18"/>
                <w:color w:val="auto"/>
              </w:rPr>
            </w:pPr>
          </w:p>
        </w:tc>
        <w:tc>
          <w:tcPr>
            <w:tcW w:w="8280" w:type="dxa"/>
            <w:vAlign w:val="bottom"/>
            <w:gridSpan w:val="3"/>
          </w:tcPr>
          <w:p>
            <w:pPr>
              <w:ind w:left="400"/>
              <w:spacing w:after="0"/>
              <w:rPr>
                <w:sz w:val="20"/>
                <w:szCs w:val="20"/>
                <w:color w:val="auto"/>
              </w:rPr>
            </w:pPr>
            <w:r>
              <w:rPr>
                <w:rFonts w:ascii="Arial" w:cs="Arial" w:eastAsia="Arial" w:hAnsi="Arial"/>
                <w:sz w:val="18"/>
                <w:szCs w:val="18"/>
                <w:color w:val="auto"/>
                <w:w w:val="94"/>
              </w:rPr>
              <w:t>2047 (six months before the maturity date), in each case discounted to the date of redemption on a semi-</w:t>
            </w:r>
          </w:p>
        </w:tc>
      </w:tr>
      <w:tr>
        <w:trPr>
          <w:trHeight w:val="230"/>
        </w:trPr>
        <w:tc>
          <w:tcPr>
            <w:tcW w:w="3140" w:type="dxa"/>
            <w:vAlign w:val="bottom"/>
          </w:tcPr>
          <w:p>
            <w:pPr>
              <w:spacing w:after="0"/>
              <w:rPr>
                <w:sz w:val="20"/>
                <w:szCs w:val="20"/>
                <w:color w:val="auto"/>
              </w:rPr>
            </w:pPr>
          </w:p>
        </w:tc>
        <w:tc>
          <w:tcPr>
            <w:tcW w:w="8280" w:type="dxa"/>
            <w:vAlign w:val="bottom"/>
            <w:gridSpan w:val="3"/>
          </w:tcPr>
          <w:p>
            <w:pPr>
              <w:ind w:left="400"/>
              <w:spacing w:after="0"/>
              <w:rPr>
                <w:sz w:val="20"/>
                <w:szCs w:val="20"/>
                <w:color w:val="auto"/>
              </w:rPr>
            </w:pPr>
            <w:r>
              <w:rPr>
                <w:rFonts w:ascii="Arial" w:cs="Arial" w:eastAsia="Arial" w:hAnsi="Arial"/>
                <w:sz w:val="18"/>
                <w:szCs w:val="18"/>
                <w:color w:val="auto"/>
              </w:rPr>
              <w:t>annual basis at the rate of Treasury plus 20 basis points</w:t>
            </w:r>
          </w:p>
        </w:tc>
      </w:tr>
      <w:tr>
        <w:trPr>
          <w:trHeight w:val="365"/>
        </w:trPr>
        <w:tc>
          <w:tcPr>
            <w:tcW w:w="3140" w:type="dxa"/>
            <w:vAlign w:val="bottom"/>
          </w:tcPr>
          <w:p>
            <w:pPr>
              <w:spacing w:after="0"/>
              <w:rPr>
                <w:sz w:val="24"/>
                <w:szCs w:val="24"/>
                <w:color w:val="auto"/>
              </w:rPr>
            </w:pPr>
          </w:p>
        </w:tc>
        <w:tc>
          <w:tcPr>
            <w:tcW w:w="3440" w:type="dxa"/>
            <w:vAlign w:val="bottom"/>
            <w:gridSpan w:val="2"/>
          </w:tcPr>
          <w:p>
            <w:pPr>
              <w:jc w:val="center"/>
              <w:ind w:left="1610"/>
              <w:spacing w:after="0"/>
              <w:rPr>
                <w:sz w:val="20"/>
                <w:szCs w:val="20"/>
                <w:color w:val="auto"/>
              </w:rPr>
            </w:pPr>
            <w:r>
              <w:rPr>
                <w:rFonts w:ascii="Arial" w:cs="Arial" w:eastAsia="Arial" w:hAnsi="Arial"/>
                <w:sz w:val="18"/>
                <w:szCs w:val="18"/>
                <w:color w:val="auto"/>
                <w:w w:val="99"/>
              </w:rPr>
              <w:t>1</w:t>
            </w:r>
          </w:p>
        </w:tc>
        <w:tc>
          <w:tcPr>
            <w:tcW w:w="4840" w:type="dxa"/>
            <w:vAlign w:val="bottom"/>
          </w:tcPr>
          <w:p>
            <w:pPr>
              <w:spacing w:after="0"/>
              <w:rPr>
                <w:sz w:val="24"/>
                <w:szCs w:val="24"/>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Par Call:</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At any time on or after November 15, 2047 (six months before the maturity date) at 100% of the principal amount of notes being redeemed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-456565</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62" w:lineRule="exact"/>
        <w:rPr>
          <w:sz w:val="20"/>
          <w:szCs w:val="20"/>
          <w:color w:val="auto"/>
        </w:rPr>
      </w:pPr>
    </w:p>
    <w:p>
      <w:pPr>
        <w:sectPr>
          <w:pgSz w:w="11900" w:h="16838" w:orient="portrait"/>
          <w:cols w:equalWidth="0" w:num="2">
            <w:col w:w="2380" w:space="720"/>
            <w:col w:w="8220"/>
          </w:cols>
          <w:pgMar w:left="240" w:top="382" w:right="339" w:bottom="1440" w:gutter="0" w:footer="0" w:header="0"/>
        </w:sectPr>
      </w:pPr>
    </w:p>
    <w:p>
      <w:pPr>
        <w:spacing w:after="0"/>
        <w:rPr>
          <w:sz w:val="20"/>
          <w:szCs w:val="20"/>
          <w:color w:val="auto"/>
        </w:rPr>
      </w:pPr>
      <w:r>
        <w:rPr>
          <w:rFonts w:ascii="Arial" w:cs="Arial" w:eastAsia="Arial" w:hAnsi="Arial"/>
          <w:sz w:val="16"/>
          <w:szCs w:val="16"/>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April 30, 2018</w:t>
      </w:r>
    </w:p>
    <w:p>
      <w:pPr>
        <w:spacing w:after="0" w:line="129" w:lineRule="exact"/>
        <w:rPr>
          <w:sz w:val="20"/>
          <w:szCs w:val="20"/>
          <w:color w:val="auto"/>
        </w:rPr>
      </w:pPr>
    </w:p>
    <w:p>
      <w:pPr>
        <w:sectPr>
          <w:pgSz w:w="11900" w:h="16838" w:orient="portrait"/>
          <w:cols w:equalWidth="0" w:num="2">
            <w:col w:w="2380" w:space="720"/>
            <w:col w:w="8220"/>
          </w:cols>
          <w:pgMar w:left="240" w:top="382" w:right="339" w:bottom="1440" w:gutter="0" w:footer="0" w:header="0"/>
          <w:type w:val="continuous"/>
        </w:sectPr>
      </w:pPr>
    </w:p>
    <w:p>
      <w:pPr>
        <w:spacing w:after="0"/>
        <w:rPr>
          <w:sz w:val="20"/>
          <w:szCs w:val="20"/>
          <w:color w:val="auto"/>
        </w:rPr>
      </w:pPr>
      <w:r>
        <w:rPr>
          <w:rFonts w:ascii="Arial" w:cs="Arial" w:eastAsia="Arial" w:hAnsi="Arial"/>
          <w:sz w:val="16"/>
          <w:szCs w:val="16"/>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May 7, 2018 (T+5)</w:t>
      </w:r>
    </w:p>
    <w:p>
      <w:pPr>
        <w:spacing w:after="0" w:line="140" w:lineRule="exact"/>
        <w:rPr>
          <w:sz w:val="20"/>
          <w:szCs w:val="20"/>
          <w:color w:val="auto"/>
        </w:rPr>
      </w:pPr>
    </w:p>
    <w:p>
      <w:pPr>
        <w:sectPr>
          <w:pgSz w:w="11900" w:h="16838" w:orient="portrait"/>
          <w:cols w:equalWidth="0" w:num="2">
            <w:col w:w="2380" w:space="720"/>
            <w:col w:w="8220"/>
          </w:cols>
          <w:pgMar w:left="240" w:top="382" w:right="339" w:bottom="1440" w:gutter="0" w:footer="0" w:header="0"/>
          <w:type w:val="continuous"/>
        </w:sectPr>
      </w:pPr>
    </w:p>
    <w:p>
      <w:pPr>
        <w:spacing w:after="0"/>
        <w:rPr>
          <w:sz w:val="20"/>
          <w:szCs w:val="20"/>
          <w:color w:val="auto"/>
        </w:rPr>
      </w:pPr>
      <w:r>
        <w:rPr>
          <w:rFonts w:ascii="Arial" w:cs="Arial" w:eastAsia="Arial" w:hAnsi="Arial"/>
          <w:sz w:val="16"/>
          <w:szCs w:val="16"/>
          <w:color w:val="auto"/>
        </w:rPr>
        <w:t>Denominations: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$2,000 and multiples of $1,000 thereafter</w:t>
      </w:r>
    </w:p>
    <w:p>
      <w:pPr>
        <w:spacing w:after="0" w:line="140" w:lineRule="exact"/>
        <w:rPr>
          <w:sz w:val="20"/>
          <w:szCs w:val="20"/>
          <w:color w:val="auto"/>
        </w:rPr>
      </w:pPr>
    </w:p>
    <w:p>
      <w:pPr>
        <w:sectPr>
          <w:pgSz w:w="11900" w:h="16838" w:orient="portrait"/>
          <w:cols w:equalWidth="0" w:num="2">
            <w:col w:w="2380" w:space="720"/>
            <w:col w:w="8220"/>
          </w:cols>
          <w:pgMar w:left="240" w:top="382" w:right="339" w:bottom="1440" w:gutter="0" w:footer="0" w:header="0"/>
          <w:type w:val="continuous"/>
        </w:sectPr>
      </w:pPr>
    </w:p>
    <w:p>
      <w:pPr>
        <w:spacing w:after="0"/>
        <w:rPr>
          <w:sz w:val="20"/>
          <w:szCs w:val="20"/>
          <w:color w:val="auto"/>
        </w:rPr>
      </w:pPr>
      <w:r>
        <w:rPr>
          <w:rFonts w:ascii="Arial" w:cs="Arial" w:eastAsia="Arial" w:hAnsi="Arial"/>
          <w:sz w:val="17"/>
          <w:szCs w:val="17"/>
          <w:color w:val="auto"/>
        </w:rPr>
        <w:t>CUSIP/ISIN: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882508 BD5/US882508BD51</w:t>
      </w:r>
    </w:p>
    <w:p>
      <w:pPr>
        <w:spacing w:after="0" w:line="140" w:lineRule="exact"/>
        <w:rPr>
          <w:sz w:val="20"/>
          <w:szCs w:val="20"/>
          <w:color w:val="auto"/>
        </w:rPr>
      </w:pPr>
    </w:p>
    <w:p>
      <w:pPr>
        <w:sectPr>
          <w:pgSz w:w="11900" w:h="16838" w:orient="portrait"/>
          <w:cols w:equalWidth="0" w:num="2">
            <w:col w:w="2380" w:space="720"/>
            <w:col w:w="8220"/>
          </w:cols>
          <w:pgMar w:left="240" w:top="382" w:right="339" w:bottom="1440" w:gutter="0" w:footer="0" w:header="0"/>
          <w:type w:val="continuous"/>
        </w:sectPr>
      </w:pPr>
    </w:p>
    <w:p>
      <w:pPr>
        <w:spacing w:after="0"/>
        <w:rPr>
          <w:sz w:val="20"/>
          <w:szCs w:val="20"/>
          <w:color w:val="auto"/>
        </w:rPr>
      </w:pPr>
      <w:r>
        <w:rPr>
          <w:rFonts w:ascii="Arial" w:cs="Arial" w:eastAsia="Arial" w:hAnsi="Arial"/>
          <w:sz w:val="17"/>
          <w:szCs w:val="17"/>
          <w:color w:val="auto"/>
        </w:rPr>
        <w:t>Ratings:*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Moody’s: A1 (stable outlook)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S&amp;P: A+ (stable outlook)</w:t>
      </w:r>
    </w:p>
    <w:p>
      <w:pPr>
        <w:spacing w:after="0" w:line="103" w:lineRule="exact"/>
        <w:rPr>
          <w:sz w:val="20"/>
          <w:szCs w:val="20"/>
          <w:color w:val="auto"/>
        </w:rPr>
      </w:pPr>
    </w:p>
    <w:p>
      <w:pPr>
        <w:sectPr>
          <w:pgSz w:w="11900" w:h="16838" w:orient="portrait"/>
          <w:cols w:equalWidth="0" w:num="2">
            <w:col w:w="2380" w:space="720"/>
            <w:col w:w="8220"/>
          </w:cols>
          <w:pgMar w:left="240" w:top="382" w:right="339" w:bottom="1440" w:gutter="0" w:footer="0" w:header="0"/>
          <w:type w:val="continuous"/>
        </w:sect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Citigroup Global Markets Inc.</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Mizuho Securities USA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116" w:lineRule="exact"/>
        <w:rPr>
          <w:sz w:val="20"/>
          <w:szCs w:val="20"/>
          <w:color w:val="auto"/>
        </w:rPr>
      </w:pPr>
    </w:p>
    <w:p>
      <w:pPr>
        <w:sectPr>
          <w:pgSz w:w="11900" w:h="16838" w:orient="portrait"/>
          <w:cols w:equalWidth="0" w:num="2">
            <w:col w:w="2380" w:space="720"/>
            <w:col w:w="8220"/>
          </w:cols>
          <w:pgMar w:left="240" w:top="382" w:right="339" w:bottom="1440" w:gutter="0" w:footer="0" w:header="0"/>
          <w:type w:val="continuous"/>
        </w:sectPr>
      </w:pPr>
    </w:p>
    <w:p>
      <w:pPr>
        <w:ind w:left="3100"/>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ind w:left="3100"/>
        <w:spacing w:after="0"/>
        <w:rPr>
          <w:sz w:val="20"/>
          <w:szCs w:val="20"/>
          <w:color w:val="auto"/>
        </w:rPr>
      </w:pPr>
      <w:r>
        <w:rPr>
          <w:rFonts w:ascii="Arial" w:cs="Arial" w:eastAsia="Arial" w:hAnsi="Arial"/>
          <w:sz w:val="16"/>
          <w:szCs w:val="16"/>
          <w:color w:val="auto"/>
        </w:rPr>
        <w:t>Merrill Lynch, Pierce, Fenner &amp; Smith</w:t>
      </w:r>
    </w:p>
    <w:p>
      <w:pPr>
        <w:spacing w:after="0" w:line="32"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MUFG Securities Americas Inc.</w:t>
      </w:r>
    </w:p>
    <w:p>
      <w:pPr>
        <w:sectPr>
          <w:pgSz w:w="11900" w:h="16838" w:orient="portrait"/>
          <w:cols w:equalWidth="0" w:num="1">
            <w:col w:w="11320"/>
          </w:cols>
          <w:pgMar w:left="240" w:top="382" w:right="339" w:bottom="1440" w:gutter="0" w:footer="0" w:header="0"/>
          <w:type w:val="continuous"/>
        </w:sectPr>
      </w:pP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U.S. Bancorp Investments, Inc.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The Williams Capital Group, L.P.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HSBC Securities (USA) Inc.</w:t>
      </w:r>
    </w:p>
    <w:p>
      <w:pPr>
        <w:spacing w:after="0" w:line="157" w:lineRule="exact"/>
        <w:rPr>
          <w:sz w:val="20"/>
          <w:szCs w:val="20"/>
          <w:color w:val="auto"/>
        </w:rPr>
      </w:pPr>
    </w:p>
    <w:p>
      <w:pPr>
        <w:sectPr>
          <w:pgSz w:w="11900" w:h="16838" w:orient="portrait"/>
          <w:cols w:equalWidth="0" w:num="2">
            <w:col w:w="2380" w:space="720"/>
            <w:col w:w="8220"/>
          </w:cols>
          <w:pgMar w:left="240" w:top="382" w:right="339" w:bottom="1440" w:gutter="0" w:footer="0" w:header="0"/>
          <w:type w:val="continuous"/>
        </w:sectPr>
      </w:pPr>
    </w:p>
    <w:p>
      <w:pPr>
        <w:jc w:val="center"/>
        <w:ind w:right="-9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20"/>
          </w:cols>
          <w:pgMar w:left="240" w:top="382" w:right="3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securities rating is not a recommendation to buy, sell or hold securities and may be subject to revision or withdrawal at any time.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It is expected that delivery of the notes will be made against payment therefore on or about May 7, 2018, which is the fifth business day following the date hereof (such settlement cycle being referred to as “T+5”). Under Rule 15c6-1 under the Securities Exchange Act of 1934, as amended, trades in the secondary market generally are required to settle in two business days unless the parties to any such trade expressly agree otherwise.</w:t>
      </w:r>
    </w:p>
    <w:p>
      <w:pPr>
        <w:spacing w:after="0" w:line="2" w:lineRule="exact"/>
        <w:rPr>
          <w:sz w:val="20"/>
          <w:szCs w:val="20"/>
          <w:color w:val="auto"/>
        </w:rPr>
      </w:pPr>
    </w:p>
    <w:p>
      <w:pPr>
        <w:jc w:val="both"/>
        <w:ind w:right="160"/>
        <w:spacing w:after="0" w:line="277" w:lineRule="auto"/>
        <w:rPr>
          <w:sz w:val="20"/>
          <w:szCs w:val="20"/>
          <w:color w:val="auto"/>
        </w:rPr>
      </w:pPr>
      <w:r>
        <w:rPr>
          <w:rFonts w:ascii="Arial" w:cs="Arial" w:eastAsia="Arial" w:hAnsi="Arial"/>
          <w:sz w:val="17"/>
          <w:szCs w:val="17"/>
          <w:b w:val="1"/>
          <w:bCs w:val="1"/>
          <w:color w:val="auto"/>
        </w:rPr>
        <w:t>Accordingly, purchasers who wish to trade the notes prior to the second business day before the delivery of the notes will be required, by virtue of the fact that the notes initially will settle in T+5, to specify an alternative settlement cycle at the time of any such trade to prevent failed settlement. Purchasers of the notes who wish to trade the notes on the date of pricing should consult their own advisors.</w:t>
      </w:r>
    </w:p>
    <w:p>
      <w:pPr>
        <w:spacing w:after="0" w:line="169"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b w:val="1"/>
          <w:bCs w:val="1"/>
          <w:color w:val="auto"/>
        </w:rPr>
        <w:t>The issuer has filed a registration statement (including a prospectus) and a prospectus supplement with the Securities and Exchange Commission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and prospectus supplement if you request it by calling Citigroup Global Markets Inc. at (800) 831-9146, Mizuho Securities USA LLC at (866) 271-7403 and Morgan Stanley &amp; Co. LLC at (866) 718-1649.</w:t>
      </w:r>
    </w:p>
    <w:p>
      <w:pPr>
        <w:spacing w:after="0" w:line="156" w:lineRule="exact"/>
        <w:rPr>
          <w:sz w:val="20"/>
          <w:szCs w:val="20"/>
          <w:color w:val="auto"/>
        </w:rPr>
      </w:pPr>
    </w:p>
    <w:p>
      <w:pPr>
        <w:ind w:right="60"/>
        <w:spacing w:after="0" w:line="313" w:lineRule="auto"/>
        <w:rPr>
          <w:sz w:val="20"/>
          <w:szCs w:val="20"/>
          <w:color w:val="auto"/>
        </w:rPr>
      </w:pPr>
      <w:r>
        <w:rPr>
          <w:rFonts w:ascii="Arial" w:cs="Arial" w:eastAsia="Arial" w:hAnsi="Arial"/>
          <w:sz w:val="17"/>
          <w:szCs w:val="17"/>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sectPr>
      <w:pgSz w:w="11900" w:h="16838" w:orient="portrait"/>
      <w:cols w:equalWidth="0" w:num="1">
        <w:col w:w="11380"/>
      </w:cols>
      <w:pgMar w:left="240" w:top="27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2019-12-05T09:49:28Z</dcterms:created>
  <dcterms:modified xsi:type="dcterms:W3CDTF">2019-12-05T09:49:28Z</dcterms:modified>
</cp:coreProperties>
</file>