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2" w:lineRule="exact"/>
        <w:rPr>
          <w:sz w:val="24"/>
          <w:szCs w:val="24"/>
          <w:color w:val="auto"/>
        </w:rPr>
      </w:pPr>
    </w:p>
    <w:p>
      <w:pPr>
        <w:ind w:left="660" w:right="2360"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2010</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306" w:right="239" w:bottom="1440" w:gutter="0" w:footer="0" w:header="0"/>
        </w:sectPr>
      </w:pPr>
    </w:p>
    <w:p>
      <w:pPr>
        <w:spacing w:after="0" w:line="264"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2980" w:space="720"/>
            <w:col w:w="7720"/>
          </w:cols>
          <w:pgMar w:left="240" w:top="306"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001-03761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_______________</w:t>
      </w:r>
    </w:p>
    <w:p>
      <w:pPr>
        <w:sectPr>
          <w:pgSz w:w="11900" w:h="16838" w:orient="portrait"/>
          <w:cols w:equalWidth="0" w:num="1">
            <w:col w:w="11420"/>
          </w:cols>
          <w:pgMar w:left="240" w:top="306" w:right="2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4"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41"/>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34"/>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8"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60"/>
        <w:spacing w:after="0"/>
        <w:rPr>
          <w:sz w:val="20"/>
          <w:szCs w:val="20"/>
          <w:color w:val="auto"/>
        </w:rPr>
      </w:pPr>
      <w:r>
        <w:rPr>
          <w:rFonts w:ascii="Arial" w:cs="Arial" w:eastAsia="Arial" w:hAnsi="Arial"/>
          <w:sz w:val="18"/>
          <w:szCs w:val="18"/>
          <w:color w:val="auto"/>
        </w:rPr>
        <w:t>Yes T  No o</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8" w:lineRule="exact"/>
        <w:rPr>
          <w:sz w:val="24"/>
          <w:szCs w:val="24"/>
          <w:color w:val="auto"/>
        </w:rPr>
      </w:pPr>
    </w:p>
    <w:p>
      <w:pPr>
        <w:ind w:left="10460"/>
        <w:spacing w:after="0"/>
        <w:rPr>
          <w:sz w:val="20"/>
          <w:szCs w:val="20"/>
          <w:color w:val="auto"/>
        </w:rPr>
      </w:pPr>
      <w:r>
        <w:rPr>
          <w:rFonts w:ascii="Arial" w:cs="Arial" w:eastAsia="Arial" w:hAnsi="Arial"/>
          <w:sz w:val="18"/>
          <w:szCs w:val="18"/>
          <w:color w:val="auto"/>
        </w:rPr>
        <w:t>Yes T  No o</w:t>
      </w:r>
    </w:p>
    <w:p>
      <w:pPr>
        <w:spacing w:after="0" w:line="25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80" w:type="dxa"/>
            <w:vAlign w:val="bottom"/>
          </w:tcPr>
          <w:p>
            <w:pPr>
              <w:ind w:left="340"/>
              <w:spacing w:after="0"/>
              <w:rPr>
                <w:sz w:val="20"/>
                <w:szCs w:val="20"/>
                <w:color w:val="auto"/>
              </w:rPr>
            </w:pPr>
            <w:r>
              <w:rPr>
                <w:rFonts w:ascii="Arial" w:cs="Arial" w:eastAsia="Arial" w:hAnsi="Arial"/>
                <w:sz w:val="18"/>
                <w:szCs w:val="18"/>
                <w:color w:val="auto"/>
              </w:rPr>
              <w:t>T</w:t>
            </w:r>
          </w:p>
        </w:tc>
        <w:tc>
          <w:tcPr>
            <w:tcW w:w="574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440" w:type="dxa"/>
            <w:vAlign w:val="bottom"/>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680" w:type="dxa"/>
            <w:vAlign w:val="bottom"/>
          </w:tcPr>
          <w:p>
            <w:pPr>
              <w:ind w:left="340"/>
              <w:spacing w:after="0"/>
              <w:rPr>
                <w:sz w:val="20"/>
                <w:szCs w:val="20"/>
                <w:color w:val="auto"/>
              </w:rPr>
            </w:pPr>
            <w:r>
              <w:rPr>
                <w:rFonts w:ascii="Arial" w:cs="Arial" w:eastAsia="Arial" w:hAnsi="Arial"/>
                <w:sz w:val="18"/>
                <w:szCs w:val="18"/>
                <w:color w:val="auto"/>
              </w:rPr>
              <w:t>o</w:t>
            </w:r>
          </w:p>
        </w:tc>
        <w:tc>
          <w:tcPr>
            <w:tcW w:w="5740" w:type="dxa"/>
            <w:vAlign w:val="bottom"/>
          </w:tcPr>
          <w:p>
            <w:pPr>
              <w:ind w:left="240"/>
              <w:spacing w:after="0"/>
              <w:rPr>
                <w:sz w:val="20"/>
                <w:szCs w:val="20"/>
                <w:color w:val="auto"/>
              </w:rPr>
            </w:pPr>
            <w:r>
              <w:rPr>
                <w:rFonts w:ascii="Arial" w:cs="Arial" w:eastAsia="Arial" w:hAnsi="Arial"/>
                <w:sz w:val="18"/>
                <w:szCs w:val="18"/>
                <w:color w:val="auto"/>
              </w:rPr>
              <w:t>(Do not check if a smaller reporting company)</w:t>
            </w:r>
          </w:p>
        </w:tc>
        <w:tc>
          <w:tcPr>
            <w:tcW w:w="260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59"/>
        </w:trPr>
        <w:tc>
          <w:tcPr>
            <w:tcW w:w="8380" w:type="dxa"/>
            <w:vAlign w:val="bottom"/>
            <w:gridSpan w:val="3"/>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w:t>
            </w:r>
          </w:p>
        </w:tc>
        <w:tc>
          <w:tcPr>
            <w:tcW w:w="2600" w:type="dxa"/>
            <w:vAlign w:val="bottom"/>
            <w:vMerge w:val="restart"/>
          </w:tcPr>
          <w:p>
            <w:pPr>
              <w:ind w:left="2140"/>
              <w:spacing w:after="0"/>
              <w:rPr>
                <w:sz w:val="20"/>
                <w:szCs w:val="20"/>
                <w:color w:val="auto"/>
              </w:rPr>
            </w:pPr>
            <w:r>
              <w:rPr>
                <w:rFonts w:ascii="Arial" w:cs="Arial" w:eastAsia="Arial" w:hAnsi="Arial"/>
                <w:sz w:val="18"/>
                <w:szCs w:val="18"/>
                <w:color w:val="auto"/>
                <w:w w:val="95"/>
              </w:rPr>
              <w:t>Yes o</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No 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40" w:type="dxa"/>
            <w:vAlign w:val="bottom"/>
            <w:vMerge w:val="restart"/>
          </w:tcPr>
          <w:p>
            <w:pPr>
              <w:jc w:val="center"/>
              <w:ind w:left="330"/>
              <w:spacing w:after="0"/>
              <w:rPr>
                <w:sz w:val="20"/>
                <w:szCs w:val="20"/>
                <w:color w:val="auto"/>
              </w:rPr>
            </w:pPr>
            <w:r>
              <w:rPr>
                <w:rFonts w:ascii="Arial" w:cs="Arial" w:eastAsia="Arial" w:hAnsi="Arial"/>
                <w:sz w:val="18"/>
                <w:szCs w:val="18"/>
                <w:color w:val="auto"/>
                <w:w w:val="90"/>
              </w:rPr>
              <w:t>1,195,195,435</w:t>
            </w:r>
          </w:p>
        </w:tc>
        <w:tc>
          <w:tcPr>
            <w:tcW w:w="26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74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40" w:type="dxa"/>
            <w:vAlign w:val="bottom"/>
          </w:tcPr>
          <w:p>
            <w:pPr>
              <w:jc w:val="center"/>
              <w:ind w:left="330"/>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40" w:type="dxa"/>
            <w:vAlign w:val="bottom"/>
          </w:tcPr>
          <w:p>
            <w:pPr>
              <w:jc w:val="center"/>
              <w:ind w:left="330"/>
              <w:spacing w:after="0"/>
              <w:rPr>
                <w:sz w:val="20"/>
                <w:szCs w:val="20"/>
                <w:color w:val="auto"/>
              </w:rPr>
            </w:pPr>
            <w:r>
              <w:rPr>
                <w:rFonts w:ascii="Arial" w:cs="Arial" w:eastAsia="Arial" w:hAnsi="Arial"/>
                <w:sz w:val="18"/>
                <w:szCs w:val="18"/>
                <w:color w:val="auto"/>
                <w:w w:val="87"/>
              </w:rPr>
              <w:t>June 30, 2010</w:t>
            </w:r>
          </w:p>
        </w:tc>
        <w:tc>
          <w:tcPr>
            <w:tcW w:w="2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96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5740" w:type="dxa"/>
            <w:vAlign w:val="bottom"/>
            <w:shd w:val="clear" w:color="auto" w:fill="808080"/>
          </w:tcPr>
          <w:p>
            <w:pPr>
              <w:spacing w:after="0"/>
              <w:rPr>
                <w:sz w:val="6"/>
                <w:szCs w:val="6"/>
                <w:color w:val="auto"/>
              </w:rPr>
            </w:pPr>
          </w:p>
        </w:tc>
        <w:tc>
          <w:tcPr>
            <w:tcW w:w="2600" w:type="dxa"/>
            <w:vAlign w:val="bottom"/>
            <w:shd w:val="clear" w:color="auto" w:fill="808080"/>
          </w:tcPr>
          <w:p>
            <w:pPr>
              <w:spacing w:after="0"/>
              <w:rPr>
                <w:sz w:val="6"/>
                <w:szCs w:val="6"/>
                <w:color w:val="auto"/>
              </w:rPr>
            </w:pPr>
          </w:p>
        </w:tc>
        <w:tc>
          <w:tcPr>
            <w:tcW w:w="44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510"/>
        </w:trPr>
        <w:tc>
          <w:tcPr>
            <w:tcW w:w="19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3,496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Restructuring expense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1,267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See accompanying notes.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60" w:type="dxa"/>
            <w:vAlign w:val="bottom"/>
          </w:tcPr>
          <w:p>
            <w:pPr>
              <w:jc w:val="right"/>
              <w:ind w:right="253"/>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For Three Months Ended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1"/>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769</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investments: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Unrealized gains, net of taxes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Net actuarial gains (losses) of defined benefit plans: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 net of taxes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Adjustment, net of taxes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7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742</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1,394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($21) and ($23)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12,164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Preferred stock, $25 par value. Authorized – 10,000,000 shares. Participating cumulative preferred. None issued.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June 30, 2010 -- 1,739,888,675;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1,740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320"/>
              <w:spacing w:after="0"/>
              <w:rPr>
                <w:sz w:val="20"/>
                <w:szCs w:val="20"/>
                <w:color w:val="auto"/>
              </w:rPr>
            </w:pPr>
            <w:r>
              <w:rPr>
                <w:rFonts w:ascii="Arial" w:cs="Arial" w:eastAsia="Arial" w:hAnsi="Arial"/>
                <w:sz w:val="18"/>
                <w:szCs w:val="18"/>
                <w:color w:val="auto"/>
              </w:rPr>
              <w:t>December 31, 2009 -- 1,739,811,721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23,194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treasury common stock at cost.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20"/>
              <w:spacing w:after="0"/>
              <w:rPr>
                <w:sz w:val="20"/>
                <w:szCs w:val="20"/>
                <w:color w:val="auto"/>
              </w:rPr>
            </w:pPr>
            <w:r>
              <w:rPr>
                <w:rFonts w:ascii="Arial" w:cs="Arial" w:eastAsia="Arial" w:hAnsi="Arial"/>
                <w:sz w:val="18"/>
                <w:szCs w:val="18"/>
                <w:color w:val="auto"/>
              </w:rPr>
              <w:t>Shares: June 30, 2010 -- 544,693,240; December 31, 2009 -- 499,693,704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(15,652)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12,164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1"/>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right="-11"/>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332" w:hanging="332"/>
        <w:spacing w:after="0" w:line="277"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designs and makes semiconductors that we sell to electronics designers and manufacturers; about 80,000 customers all over the world buy our products.</w:t>
      </w:r>
    </w:p>
    <w:p>
      <w:pPr>
        <w:spacing w:after="0" w:line="197" w:lineRule="exact"/>
        <w:rPr>
          <w:rFonts w:ascii="Arial" w:cs="Arial" w:eastAsia="Arial" w:hAnsi="Arial"/>
          <w:sz w:val="18"/>
          <w:szCs w:val="18"/>
          <w:color w:val="auto"/>
        </w:rPr>
      </w:pPr>
    </w:p>
    <w:p>
      <w:pPr>
        <w:ind w:left="332"/>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on the same basis as the audited financial statements included in our annual report on Form 10-K for the year ended December 31, 2009. The consolidated statements of income, statements of comprehensive income and statements of cash flows for the periods ended June 30, 2010 and 2009, and the balance sheet as of June 30, 2010, are not audited but reflect all adjustments that are of a normal recurring nature and are necessary for a fair statement of the results of the periods shown. The consolidated balance sheet as of December 31, 2009, presented herein is derived from the audited consolidated b 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2009. The results for the three-month and six-month periods are not necessarily indicative of a full year’s results.</w:t>
      </w:r>
    </w:p>
    <w:p>
      <w:pPr>
        <w:spacing w:after="0" w:line="199" w:lineRule="exact"/>
        <w:rPr>
          <w:rFonts w:ascii="Arial" w:cs="Arial" w:eastAsia="Arial" w:hAnsi="Arial"/>
          <w:sz w:val="18"/>
          <w:szCs w:val="18"/>
          <w:color w:val="auto"/>
        </w:rPr>
      </w:pPr>
    </w:p>
    <w:p>
      <w:pPr>
        <w:ind w:left="332" w:right="52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w:t>
      </w:r>
    </w:p>
    <w:p>
      <w:pPr>
        <w:spacing w:after="0" w:line="197" w:lineRule="exact"/>
        <w:rPr>
          <w:rFonts w:ascii="Arial" w:cs="Arial" w:eastAsia="Arial" w:hAnsi="Arial"/>
          <w:sz w:val="18"/>
          <w:szCs w:val="18"/>
          <w:color w:val="auto"/>
        </w:rPr>
      </w:pPr>
    </w:p>
    <w:p>
      <w:pPr>
        <w:ind w:left="332" w:right="320"/>
        <w:spacing w:after="0" w:line="277" w:lineRule="auto"/>
        <w:rPr>
          <w:rFonts w:ascii="Arial" w:cs="Arial" w:eastAsia="Arial" w:hAnsi="Arial"/>
          <w:sz w:val="18"/>
          <w:szCs w:val="18"/>
          <w:color w:val="auto"/>
        </w:rPr>
      </w:pPr>
      <w:r>
        <w:rPr>
          <w:rFonts w:ascii="Arial" w:cs="Arial" w:eastAsia="Arial" w:hAnsi="Arial"/>
          <w:sz w:val="18"/>
          <w:szCs w:val="18"/>
          <w:color w:val="auto"/>
        </w:rPr>
        <w:t>All dollar amounts in the financial statements and tables in the notes, except share and per-share amounts, are stated in millions of U.S. dollars unless otherwise indicated.</w:t>
      </w:r>
    </w:p>
    <w:p>
      <w:pPr>
        <w:spacing w:after="0" w:line="197" w:lineRule="exact"/>
        <w:rPr>
          <w:rFonts w:ascii="Arial" w:cs="Arial" w:eastAsia="Arial" w:hAnsi="Arial"/>
          <w:sz w:val="18"/>
          <w:szCs w:val="18"/>
          <w:color w:val="auto"/>
        </w:rPr>
      </w:pPr>
    </w:p>
    <w:p>
      <w:pPr>
        <w:ind w:left="332" w:right="5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the second quarter of 2009, we acquired Luminary Micro for net cash of $51 million and other consideration of $7 million. These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were integrated into our Embedded Processing segment.</w:t>
      </w:r>
    </w:p>
    <w:p>
      <w:pPr>
        <w:spacing w:after="0" w:line="197" w:lineRule="exact"/>
        <w:rPr>
          <w:rFonts w:ascii="Arial" w:cs="Arial" w:eastAsia="Arial" w:hAnsi="Arial"/>
          <w:sz w:val="18"/>
          <w:szCs w:val="18"/>
          <w:color w:val="auto"/>
        </w:rPr>
      </w:pPr>
    </w:p>
    <w:p>
      <w:pPr>
        <w:ind w:left="332" w:right="700"/>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2009, we acquired CICLON Semiconductor Device Corporation for net cash of $104 million and other consideration of $7 million. These operations were integrated into our Analog segment.</w:t>
      </w:r>
    </w:p>
    <w:p>
      <w:pPr>
        <w:spacing w:after="0" w:line="197"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The results of operations of these acquisitions have been included in our financial statements from their respective acquisition dates.</w:t>
      </w:r>
    </w:p>
    <w:p>
      <w:pPr>
        <w:spacing w:after="0" w:line="252" w:lineRule="exact"/>
        <w:rPr>
          <w:rFonts w:ascii="Arial" w:cs="Arial" w:eastAsia="Arial" w:hAnsi="Arial"/>
          <w:sz w:val="18"/>
          <w:szCs w:val="18"/>
          <w:color w:val="auto"/>
        </w:rPr>
      </w:pPr>
    </w:p>
    <w:p>
      <w:pPr>
        <w:ind w:left="332" w:right="4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Use of Derivatives and Hedging </w:t>
      </w:r>
      <w:r>
        <w:rPr>
          <w:rFonts w:ascii="Arial" w:cs="Arial" w:eastAsia="Arial" w:hAnsi="Arial"/>
          <w:sz w:val="17"/>
          <w:szCs w:val="17"/>
          <w:color w:val="auto"/>
        </w:rPr>
        <w:t>– We use derivative financial instruments to manage exposure to foreign exchange risk. These instruments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use derivatives for speculative or trading purposes. We do not apply hedge accounting to our foreign currency derivative instruments.</w:t>
      </w:r>
    </w:p>
    <w:p>
      <w:pPr>
        <w:spacing w:after="0" w:line="199" w:lineRule="exact"/>
        <w:rPr>
          <w:rFonts w:ascii="Arial" w:cs="Arial" w:eastAsia="Arial" w:hAnsi="Arial"/>
          <w:sz w:val="18"/>
          <w:szCs w:val="18"/>
          <w:color w:val="auto"/>
        </w:rPr>
      </w:pPr>
    </w:p>
    <w:p>
      <w:pPr>
        <w:ind w:left="332"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 The fair values of our derivative financial instruments were not significant at June 30, 2010.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short-term investments and certain long-term investments are carried at fair value and are discussed in Note 5. The carrying values for other current financial assets and liabilities, such as accounts receivable and accounts payable, approximate fair value due to the short maturity of such instruments.</w:t>
      </w: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6" w:name="page7"/>
    <w:bookmarkEnd w:id="6"/>
    <w:p>
      <w:pPr>
        <w:ind w:left="340" w:right="20"/>
        <w:spacing w:after="0" w:line="271" w:lineRule="auto"/>
        <w:rPr>
          <w:sz w:val="20"/>
          <w:szCs w:val="20"/>
          <w:color w:val="auto"/>
        </w:rPr>
      </w:pPr>
      <w:r>
        <w:rPr>
          <w:rFonts w:ascii="Arial" w:cs="Arial" w:eastAsia="Arial" w:hAnsi="Arial"/>
          <w:sz w:val="17"/>
          <w:szCs w:val="17"/>
          <w:i w:val="1"/>
          <w:iCs w:val="1"/>
          <w:color w:val="auto"/>
        </w:rPr>
        <w:t xml:space="preserve">Changes in Accounting Standards </w:t>
      </w:r>
      <w:r>
        <w:rPr>
          <w:rFonts w:ascii="Arial" w:cs="Arial" w:eastAsia="Arial" w:hAnsi="Arial"/>
          <w:sz w:val="17"/>
          <w:szCs w:val="17"/>
          <w:color w:val="auto"/>
        </w:rPr>
        <w:t>– In January 2010, the Financial Accounting Standards Board (FASB) issued Accounting Standards Update (ASU)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2010 - 06 – </w:t>
      </w:r>
      <w:r>
        <w:rPr>
          <w:rFonts w:ascii="Arial" w:cs="Arial" w:eastAsia="Arial" w:hAnsi="Arial"/>
          <w:sz w:val="17"/>
          <w:szCs w:val="17"/>
          <w:i w:val="1"/>
          <w:iCs w:val="1"/>
          <w:color w:val="auto"/>
        </w:rPr>
        <w:t>Fair Value Measurements and Disclosures (Topic 820): Improving Disclosures about Fair Value Measurements</w:t>
      </w:r>
      <w:r>
        <w:rPr>
          <w:rFonts w:ascii="Arial" w:cs="Arial" w:eastAsia="Arial" w:hAnsi="Arial"/>
          <w:sz w:val="17"/>
          <w:szCs w:val="17"/>
          <w:color w:val="auto"/>
        </w:rPr>
        <w:t>. This standard amends the disclosure guidance with respect to fair value measurements for both interim and annual reporting periods. Specifically, this standard requires new disclosures for significant transfers of assets or liabilities between Level 1 and Level 2 in the fair value hierarchy; separate disclosures for purchases, sales, issuance and settlements of Level 3 fair value items on a gross, rather than net basis; and more robust disclosure of the valuation techniques and inputs used to measure Level 2 and Level 3 assets and liabilities. Except for the detailed disclosures of changes in Level 3 items, which will be effective for us as of January 1, 2011, the remaining new disclosure requirements were effective for us as of January 1, 2010. We have included these new disclosures, as applicable, in Note 5.</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April 2010, the FASB issued ASU No. 2010 - 17 – </w:t>
      </w:r>
      <w:r>
        <w:rPr>
          <w:rFonts w:ascii="Arial" w:cs="Arial" w:eastAsia="Arial" w:hAnsi="Arial"/>
          <w:sz w:val="16"/>
          <w:szCs w:val="16"/>
          <w:i w:val="1"/>
          <w:iCs w:val="1"/>
          <w:color w:val="auto"/>
        </w:rPr>
        <w:t>Revenue Recognition - Milestone Method (Topic 605): Milestone Method of Revenue Recognition</w:t>
      </w:r>
      <w:r>
        <w:rPr>
          <w:rFonts w:ascii="Arial" w:cs="Arial" w:eastAsia="Arial" w:hAnsi="Arial"/>
          <w:sz w:val="16"/>
          <w:szCs w:val="16"/>
          <w:color w:val="auto"/>
        </w:rPr>
        <w: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standard provides guidance on defining a milestone and determining when it may be appropriate to apply the milestone method of revenue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recognition for certain research and development transactions. Under this new standard, a company can recognize as revenue consideration that is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contingent upon achievement of a milestone in the period in which it is achieved, only if the milestone meets all criteria to be considered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substantive. This standard will be effective for us on a prospective basis for periods beginning after January 1, 2011. We have evaluated the potential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impact of this standard and expect it will have no significant impact on our financial position or results of operations.</w:t>
      </w:r>
    </w:p>
    <w:p>
      <w:pPr>
        <w:spacing w:after="0" w:line="200" w:lineRule="exact"/>
        <w:rPr>
          <w:sz w:val="20"/>
          <w:szCs w:val="20"/>
          <w:color w:val="auto"/>
        </w:rPr>
      </w:pPr>
    </w:p>
    <w:p>
      <w:pPr>
        <w:spacing w:after="0" w:line="281" w:lineRule="exact"/>
        <w:rPr>
          <w:sz w:val="20"/>
          <w:szCs w:val="20"/>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Restructuring activities</w:t>
      </w:r>
      <w:r>
        <w:rPr>
          <w:rFonts w:ascii="Arial" w:cs="Arial" w:eastAsia="Arial" w:hAnsi="Arial"/>
          <w:sz w:val="18"/>
          <w:szCs w:val="18"/>
          <w:color w:val="auto"/>
        </w:rPr>
        <w:t>. In October 2008, we announced actions to reduce expenses in our Wireless segment, especially our baseband operation. In January 2009, we announced actions that included broad-based employment reductions to align our spending with weakened demand. Combined, these actions eliminated about 3,900 jobs; they were completed in 2009.</w:t>
      </w:r>
    </w:p>
    <w:p>
      <w:pPr>
        <w:spacing w:after="0" w:line="20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table below reflects the changes in accrued restructuring balances associated with these actions: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Impairments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Severance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and 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Benefits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Charges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Remaining accrual at December 31, 2009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Non-cash charges</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Remaining accrual at June 30, 2010</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Reflects postretirement benefit plan settlement charges.</w:t>
      </w:r>
    </w:p>
    <w:p>
      <w:pPr>
        <w:spacing w:after="0" w:line="252" w:lineRule="exact"/>
        <w:rPr>
          <w:sz w:val="20"/>
          <w:szCs w:val="20"/>
          <w:color w:val="auto"/>
        </w:rPr>
      </w:pPr>
    </w:p>
    <w:p>
      <w:pPr>
        <w:ind w:left="340" w:right="420"/>
        <w:spacing w:after="0" w:line="277" w:lineRule="auto"/>
        <w:rPr>
          <w:sz w:val="20"/>
          <w:szCs w:val="20"/>
          <w:color w:val="auto"/>
        </w:rPr>
      </w:pPr>
      <w:r>
        <w:rPr>
          <w:rFonts w:ascii="Arial" w:cs="Arial" w:eastAsia="Arial" w:hAnsi="Arial"/>
          <w:sz w:val="18"/>
          <w:szCs w:val="18"/>
          <w:color w:val="auto"/>
        </w:rPr>
        <w:t>The accrual balances above are a component of Accrued expenses and other liabilities or Deferred credits and other liabilities on our balance sheets, depending on the expected timing of payment.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Restructuring expense recognized by segment from the actions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32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Embedded Processing</w:t>
            </w:r>
          </w:p>
        </w:tc>
        <w:tc>
          <w:tcPr>
            <w:tcW w:w="2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62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256"/>
              <w:spacing w:after="0"/>
              <w:rPr>
                <w:sz w:val="20"/>
                <w:szCs w:val="20"/>
                <w:color w:val="auto"/>
              </w:rPr>
            </w:pPr>
            <w:r>
              <w:rPr>
                <w:rFonts w:ascii="Arial" w:cs="Arial" w:eastAsia="Arial" w:hAnsi="Arial"/>
                <w:sz w:val="14"/>
                <w:szCs w:val="14"/>
                <w:color w:val="auto"/>
              </w:rPr>
              <w:t>7</w:t>
            </w: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20" w:type="dxa"/>
            <w:vAlign w:val="bottom"/>
            <w:tcBorders>
              <w:bottom w:val="single" w:sz="8" w:color="808080"/>
            </w:tcBorders>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ind w:left="340" w:right="30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The rate is based on current tax law and for 2010 does not assume reinstatement of the federal research tax credit, which expired at the end of 2009. As of June 30, 2010, the estimated annual effective tax rate for 2010 is about 31 percent, which differs from the 35 percent statutory corporate tax rate primarily due to the effects of non-U.S. tax rates.</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Computation and reconciliation of earnings per common share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2010</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2009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Basic EPS:</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769</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Income allocated to common stock for basic</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240" w:type="dxa"/>
            <w:vAlign w:val="bottom"/>
            <w:vMerge w:val="restart"/>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1,208</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18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380" w:type="dxa"/>
            <w:vAlign w:val="bottom"/>
            <w:gridSpan w:val="2"/>
            <w:vMerge w:val="continue"/>
            <w:shd w:val="clear" w:color="auto" w:fill="CCEEFF"/>
          </w:tcPr>
          <w:p>
            <w:pPr>
              <w:spacing w:after="0"/>
              <w:rPr>
                <w:sz w:val="23"/>
                <w:szCs w:val="23"/>
                <w:color w:val="auto"/>
              </w:rPr>
            </w:pPr>
          </w:p>
        </w:tc>
        <w:tc>
          <w:tcPr>
            <w:tcW w:w="28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dilutive shares: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Diluted EPS: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769</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 stock for</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24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22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EPS calculation</w:t>
            </w:r>
          </w:p>
        </w:tc>
        <w:tc>
          <w:tcPr>
            <w:tcW w:w="1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1"/>
              </w:rPr>
              <w:t>For Six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1"/>
              </w:rPr>
              <w:t>For Six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2010</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2009</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3340" w:type="dxa"/>
            <w:vAlign w:val="bottom"/>
            <w:gridSpan w:val="4"/>
          </w:tcPr>
          <w:p>
            <w:pPr>
              <w:spacing w:after="0"/>
              <w:rPr>
                <w:sz w:val="20"/>
                <w:szCs w:val="20"/>
                <w:color w:val="auto"/>
              </w:rPr>
            </w:pPr>
            <w:r>
              <w:rPr>
                <w:rFonts w:ascii="Arial" w:cs="Arial" w:eastAsia="Arial" w:hAnsi="Arial"/>
                <w:sz w:val="18"/>
                <w:szCs w:val="18"/>
                <w:i w:val="1"/>
                <w:iCs w:val="1"/>
                <w:color w:val="auto"/>
              </w:rPr>
              <w:t>Basic EPS:</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1,427</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Income allocated to common stock for basic</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240" w:type="dxa"/>
            <w:vAlign w:val="bottom"/>
            <w:vMerge w:val="restart"/>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1,221</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180" w:type="dxa"/>
            <w:vAlign w:val="bottom"/>
            <w:vMerge w:val="continue"/>
            <w:shd w:val="clear" w:color="auto" w:fill="CCEEFF"/>
          </w:tcPr>
          <w:p>
            <w:pPr>
              <w:spacing w:after="0"/>
              <w:rPr>
                <w:sz w:val="23"/>
                <w:szCs w:val="23"/>
                <w:color w:val="auto"/>
              </w:rPr>
            </w:pPr>
          </w:p>
        </w:tc>
        <w:tc>
          <w:tcPr>
            <w:tcW w:w="980" w:type="dxa"/>
            <w:vAlign w:val="bottom"/>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1380" w:type="dxa"/>
            <w:vAlign w:val="bottom"/>
            <w:gridSpan w:val="2"/>
            <w:vMerge w:val="continue"/>
            <w:shd w:val="clear" w:color="auto" w:fill="CCEEFF"/>
          </w:tcPr>
          <w:p>
            <w:pPr>
              <w:spacing w:after="0"/>
              <w:rPr>
                <w:sz w:val="23"/>
                <w:szCs w:val="23"/>
                <w:color w:val="auto"/>
              </w:rPr>
            </w:pPr>
          </w:p>
        </w:tc>
        <w:tc>
          <w:tcPr>
            <w:tcW w:w="280" w:type="dxa"/>
            <w:vAlign w:val="bottom"/>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 for dilutive shares: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 plans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Diluted EPS: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1,427</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Less income allocated to RSUs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allocated to common stock for</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24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1,234</w:t>
            </w:r>
          </w:p>
        </w:tc>
        <w:tc>
          <w:tcPr>
            <w:tcW w:w="22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EPS calculation</w:t>
            </w:r>
          </w:p>
        </w:tc>
        <w:tc>
          <w:tcPr>
            <w:tcW w:w="1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180"/>
        <w:spacing w:after="0" w:line="259" w:lineRule="auto"/>
        <w:rPr>
          <w:sz w:val="20"/>
          <w:szCs w:val="20"/>
          <w:color w:val="auto"/>
        </w:rPr>
      </w:pPr>
      <w:r>
        <w:rPr>
          <w:rFonts w:ascii="Arial" w:cs="Arial" w:eastAsia="Arial" w:hAnsi="Arial"/>
          <w:sz w:val="18"/>
          <w:szCs w:val="18"/>
          <w:color w:val="auto"/>
        </w:rPr>
        <w:t>Options to purchase 97 million and 139 million shares of common stock that were outstanding during the second quarters of 2010 and 2009, and 97 million and 140 million shares outstanding during the six months of 2010 and 2009, respectively, were not included in the computation of diluted earnings per share because their exercise price was greater than the average market price of the common shares and, therefore, the effect would be anti-dilutive.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332" w:right="6480" w:hanging="332"/>
        <w:spacing w:after="0" w:line="532"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equity investments</w:t>
      </w:r>
    </w:p>
    <w:p>
      <w:pPr>
        <w:ind w:left="332"/>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available-for-sale, trading, equity method or cost method. Most of our investments are classified as available-for-sale.</w:t>
      </w:r>
    </w:p>
    <w:p>
      <w:pPr>
        <w:spacing w:after="0" w:line="275" w:lineRule="exact"/>
        <w:rPr>
          <w:rFonts w:ascii="Arial" w:cs="Arial" w:eastAsia="Arial" w:hAnsi="Arial"/>
          <w:sz w:val="18"/>
          <w:szCs w:val="18"/>
          <w:color w:val="auto"/>
        </w:rPr>
      </w:pPr>
    </w:p>
    <w:p>
      <w:pPr>
        <w:ind w:left="332" w:right="4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securities consist primarily of money market funds and debt securities. Available-for-sale securities are stated at fair value, which is generally based on market prices, broker quotes or, when necessary, financial models (see fair value discussion below). We record other-than-temporary losses (impairments) on these securities in OI&amp;E, and all other unrealized gains and losses as an increase or decrease, net of taxes, in accumulated other comprehensive income (AOCI).</w:t>
      </w:r>
    </w:p>
    <w:p>
      <w:pPr>
        <w:spacing w:after="0" w:line="213" w:lineRule="exact"/>
        <w:rPr>
          <w:rFonts w:ascii="Arial" w:cs="Arial" w:eastAsia="Arial" w:hAnsi="Arial"/>
          <w:sz w:val="18"/>
          <w:szCs w:val="18"/>
          <w:color w:val="auto"/>
        </w:rPr>
      </w:pPr>
    </w:p>
    <w:p>
      <w:pPr>
        <w:ind w:left="332" w:right="120"/>
        <w:spacing w:after="0" w:line="286" w:lineRule="auto"/>
        <w:rPr>
          <w:rFonts w:ascii="Arial" w:cs="Arial" w:eastAsia="Arial" w:hAnsi="Arial"/>
          <w:sz w:val="18"/>
          <w:szCs w:val="18"/>
          <w:color w:val="auto"/>
        </w:rPr>
      </w:pPr>
      <w:r>
        <w:rPr>
          <w:rFonts w:ascii="Arial" w:cs="Arial" w:eastAsia="Arial" w:hAnsi="Arial"/>
          <w:sz w:val="17"/>
          <w:szCs w:val="17"/>
          <w:color w:val="auto"/>
        </w:rPr>
        <w:t>Trading securities are stated at fair value based on market prices. Our trading securities consist exclusively of mutual funds that hold a variety of debt and equity investments intended to generate returns that offset changes in certain deferred compensation liabilities. We record changes in the fair value of our trading securities and the related deferred compensation liabilities in selling, general and administrative expense.</w:t>
      </w:r>
    </w:p>
    <w:p>
      <w:pPr>
        <w:spacing w:after="0" w:line="192" w:lineRule="exact"/>
        <w:rPr>
          <w:rFonts w:ascii="Arial" w:cs="Arial" w:eastAsia="Arial" w:hAnsi="Arial"/>
          <w:sz w:val="18"/>
          <w:szCs w:val="18"/>
          <w:color w:val="auto"/>
        </w:rPr>
      </w:pPr>
    </w:p>
    <w:p>
      <w:pPr>
        <w:ind w:left="332" w:right="120"/>
        <w:spacing w:after="0" w:line="276" w:lineRule="auto"/>
        <w:rPr>
          <w:rFonts w:ascii="Arial" w:cs="Arial" w:eastAsia="Arial" w:hAnsi="Arial"/>
          <w:sz w:val="18"/>
          <w:szCs w:val="18"/>
          <w:color w:val="auto"/>
        </w:rPr>
      </w:pPr>
      <w:r>
        <w:rPr>
          <w:rFonts w:ascii="Arial" w:cs="Arial" w:eastAsia="Arial" w:hAnsi="Arial"/>
          <w:sz w:val="17"/>
          <w:szCs w:val="17"/>
          <w:color w:val="auto"/>
        </w:rPr>
        <w:t>Our other investments are not measured at fair value but are accounted for using either the equity method or cost method. These investments consist of interests in venture capital funds and other non-marketable equity securities. Gains or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 We determine cost or amortized cost, as appropriate, on a specific identification basis.</w:t>
      </w:r>
    </w:p>
    <w:p>
      <w:pPr>
        <w:spacing w:after="0" w:line="199" w:lineRule="exact"/>
        <w:rPr>
          <w:rFonts w:ascii="Arial" w:cs="Arial" w:eastAsia="Arial" w:hAnsi="Arial"/>
          <w:sz w:val="18"/>
          <w:szCs w:val="18"/>
          <w:color w:val="auto"/>
        </w:rPr>
      </w:pPr>
    </w:p>
    <w:p>
      <w:pPr>
        <w:ind w:left="332"/>
        <w:spacing w:after="0" w:line="264" w:lineRule="auto"/>
        <w:rPr>
          <w:rFonts w:ascii="Arial" w:cs="Arial" w:eastAsia="Arial" w:hAnsi="Arial"/>
          <w:sz w:val="18"/>
          <w:szCs w:val="18"/>
          <w:color w:val="auto"/>
        </w:rPr>
      </w:pPr>
      <w:r>
        <w:rPr>
          <w:rFonts w:ascii="Arial" w:cs="Arial" w:eastAsia="Arial" w:hAnsi="Arial"/>
          <w:sz w:val="18"/>
          <w:szCs w:val="18"/>
          <w:color w:val="auto"/>
        </w:rPr>
        <w:t>In the quarter ending June 30, 2010, $66 million of auction-rate securities were redeemed at par and $13 million of auction-rate securities were called for redemption at par in July 2010. The auction-rate securities that have been called have been reclassified from long-term to short-term investments on the balance sheet.</w:t>
      </w:r>
    </w:p>
    <w:p>
      <w:pPr>
        <w:spacing w:after="0" w:line="352"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7" w:right="29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Details of our investments by class and related unrealized gains and losses included in AOCI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2009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Cash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6"/>
              </w:rPr>
              <w:t>Cash and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Long-Term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Cash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Short-Term</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Long-Term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Equivalents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0" w:type="dxa"/>
            <w:vAlign w:val="bottom"/>
          </w:tcPr>
          <w:p>
            <w:pPr>
              <w:spacing w:after="0"/>
              <w:rPr>
                <w:sz w:val="1"/>
                <w:szCs w:val="1"/>
                <w:color w:val="auto"/>
              </w:rPr>
            </w:pPr>
          </w:p>
        </w:tc>
      </w:tr>
      <w:tr>
        <w:trPr>
          <w:trHeight w:val="41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Measured at fair value:</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government agency and Treasury</w:t>
            </w: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571</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Auction-rate securities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Trading</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940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measurement basis: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method investments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Cash on hand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tcPr>
          <w:p>
            <w:pPr>
              <w:spacing w:after="0" w:line="198" w:lineRule="exact"/>
              <w:rPr>
                <w:sz w:val="20"/>
                <w:szCs w:val="20"/>
                <w:color w:val="auto"/>
              </w:rPr>
            </w:pPr>
            <w:r>
              <w:rPr>
                <w:rFonts w:ascii="Arial" w:cs="Arial" w:eastAsia="Arial" w:hAnsi="Arial"/>
                <w:sz w:val="18"/>
                <w:szCs w:val="18"/>
                <w:b w:val="1"/>
                <w:bCs w:val="1"/>
                <w:color w:val="auto"/>
              </w:rPr>
              <w:t>Amounts included in AOCI from</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available-for-sale securities: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(pre-tax)</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Unrealized losses (pre-tax)</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As of June 30, 2010, about 70 percent of our investments in the corporate obligations shown above are insured by either the Federal Deposit Insurance Corporation (FDIC) or the U.K. government.</w:t>
      </w:r>
    </w:p>
    <w:p>
      <w:pPr>
        <w:spacing w:after="0" w:line="197" w:lineRule="exact"/>
        <w:rPr>
          <w:sz w:val="20"/>
          <w:szCs w:val="20"/>
          <w:color w:val="auto"/>
        </w:rPr>
      </w:pPr>
    </w:p>
    <w:p>
      <w:pPr>
        <w:ind w:left="340" w:right="140"/>
        <w:spacing w:after="0" w:line="302" w:lineRule="auto"/>
        <w:rPr>
          <w:sz w:val="20"/>
          <w:szCs w:val="20"/>
          <w:color w:val="auto"/>
        </w:rPr>
      </w:pPr>
      <w:r>
        <w:rPr>
          <w:rFonts w:ascii="Arial" w:cs="Arial" w:eastAsia="Arial" w:hAnsi="Arial"/>
          <w:sz w:val="16"/>
          <w:szCs w:val="16"/>
          <w:color w:val="auto"/>
        </w:rPr>
        <w:t>As of June 30, 2010 and December 31, 2009, unrealized losses included in AOCI were associated with auction-rate securities. We have determined that our available-for-sale investments with unrealized losses are not other-than-temporarily impaired. We expect to recover the entire cost basis of these securities. We do not intend to sell these investments, nor do we expect to be required to sell these investments before a recovery of the cost basis. For the six months ended June 30, 2010 and 2009, we did not recognize in earnings any credit losses related to these investments.</w:t>
      </w:r>
    </w:p>
    <w:p>
      <w:pPr>
        <w:spacing w:after="0" w:line="181"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For the six months ended June 30, 2010 and 2009, the proceeds from sales of available-for-sale securities prior to their scheduled maturities were $2.78 billion and $740 million, respectively. Gross realized gains and losses from these sales were not significant.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maturities of investments in money market funds and other debt securities classified as available-for-sale at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 2010:</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800" w:type="dxa"/>
            <w:vAlign w:val="bottom"/>
          </w:tcPr>
          <w:p>
            <w:pPr>
              <w:ind w:left="4220"/>
              <w:spacing w:after="0"/>
              <w:rPr>
                <w:sz w:val="20"/>
                <w:szCs w:val="20"/>
                <w:color w:val="auto"/>
              </w:rPr>
            </w:pPr>
            <w:r>
              <w:rPr>
                <w:rFonts w:ascii="Arial" w:cs="Arial" w:eastAsia="Arial" w:hAnsi="Arial"/>
                <w:sz w:val="18"/>
                <w:szCs w:val="18"/>
                <w:b w:val="1"/>
                <w:bCs w:val="1"/>
                <w:color w:val="auto"/>
              </w:rPr>
              <w:t>Due</w:t>
            </w:r>
          </w:p>
        </w:tc>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8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4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One to three years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Greater than three years (auction-rate securities)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120" w:type="dxa"/>
            <w:vAlign w:val="bottom"/>
          </w:tcPr>
          <w:p>
            <w:pPr>
              <w:jc w:val="right"/>
              <w:ind w:right="363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Fair value</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measure and report our financial assets and liabilities at fair value.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52"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Level 2 assets consist of corporate obligations, some U.S. government agency securities and auction-rate securities that have been called for redemption at par. We use a market approach to determine the fair value, primarily utilizing unadjusted quotes obtained from brokers or dealers based on observable prices for similar assets in active markets.</w:t>
      </w:r>
    </w:p>
    <w:p>
      <w:pPr>
        <w:spacing w:after="0" w:line="20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own auction-rate securities that are primarily classified as Level 3 assets. Auction-rate securities are debt instruments with variable interest rates that historically would periodically reset through an auction process. There is currently no active market for auction-rate securities, so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 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w:t>
      </w: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13 to 37 years. All of our auction-rate securities are backed by pools of student loans substantially guaranteed by the U.S. Department of Education and we continue to believe that the credit quality of these securities is high based on this guarantee. As of June 30, 2010, all of these securities were rated AAA or Aaa by at least one of the major rating agencies. Although most of these securities are dual rated AAA/Aaa, one ($25 million par value) is rated AAA/B3 and one ($12 million par value) is rated AAA/Baa1. 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338"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580" w:top="517" w:right="299" w:bottom="1440" w:gutter="0" w:footer="0" w:header="0"/>
        </w:sectPr>
      </w:pPr>
    </w:p>
    <w:bookmarkStart w:id="11" w:name="page12"/>
    <w:bookmarkEnd w:id="11"/>
    <w:p>
      <w:pPr>
        <w:jc w:val="both"/>
        <w:ind w:left="340" w:right="16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June 30, 2010 and December 31, 2009. These tables do not include cash on hand, assets held by our postretirement plans or assets and liabilities that are measured at historical cost or any basis other than fair value.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2,607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1,266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49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funds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Corporate obligations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Auction–rate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funds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3,347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liabilities in the tables above are a component of Accrued expenses and other liabilities or Deferred credits and other liabilities on our balance sheets, depending on the expected timing of payment.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340" w:right="60"/>
        <w:spacing w:after="0" w:line="286" w:lineRule="auto"/>
        <w:rPr>
          <w:sz w:val="20"/>
          <w:szCs w:val="20"/>
          <w:color w:val="auto"/>
        </w:rPr>
      </w:pPr>
      <w:r>
        <w:rPr>
          <w:rFonts w:ascii="Arial" w:cs="Arial" w:eastAsia="Arial" w:hAnsi="Arial"/>
          <w:sz w:val="17"/>
          <w:szCs w:val="17"/>
          <w:color w:val="auto"/>
        </w:rPr>
        <w:t>The following table provides a reconciliation of changes in the fair values for Level 3 assets and liabilities. In the quarter ending June 30, 2010, we were notified that $13 million of our auction-rate securities were called for redemption at par in the third quarter of 2010. As a result, we transferred these assets from Level 3 to Level 2 as of the end of the second quarter. These securities were redeemed at par in July 2010.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Auction-rate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Contingent</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securities</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consideration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 December 31, 2008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New contingent consideration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Reduction in unrealized loss - included in AOCI</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at par</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Ending Balance, June 30, 2009</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Increase in unrealized loss - included in AOCI</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at par</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Ending Balance, December 31, 2009</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 in unrealized loss - included in AOCI</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Redemptions at par</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into Level 2</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Ending Balance, June 30, 2010</w:t>
            </w: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700" w:type="dxa"/>
            <w:vAlign w:val="bottom"/>
            <w:vMerge w:val="restart"/>
          </w:tcPr>
          <w:p>
            <w:pPr>
              <w:ind w:left="4480"/>
              <w:spacing w:after="0"/>
              <w:rPr>
                <w:sz w:val="20"/>
                <w:szCs w:val="20"/>
                <w:color w:val="auto"/>
              </w:rPr>
            </w:pPr>
            <w:r>
              <w:rPr>
                <w:rFonts w:ascii="Arial" w:cs="Arial" w:eastAsia="Arial" w:hAnsi="Arial"/>
                <w:sz w:val="14"/>
                <w:szCs w:val="14"/>
                <w:color w:val="auto"/>
              </w:rPr>
              <w:t>13</w:t>
            </w: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116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67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r>
        <w:rPr>
          <w:rFonts w:ascii="Arial" w:cs="Arial" w:eastAsia="Arial" w:hAnsi="Arial"/>
          <w:sz w:val="18"/>
          <w:szCs w:val="18"/>
          <w:color w:val="auto"/>
        </w:rPr>
        <w:t>. Components of net periodic employee benefit cost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Non-U.S.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Borders>
              <w:bottom w:val="single" w:sz="8" w:color="auto"/>
            </w:tcBorders>
            <w:gridSpan w:val="5"/>
          </w:tcPr>
          <w:p>
            <w:pPr>
              <w:jc w:val="center"/>
              <w:ind w:left="239"/>
              <w:spacing w:after="0"/>
              <w:rPr>
                <w:sz w:val="20"/>
                <w:szCs w:val="20"/>
                <w:color w:val="auto"/>
              </w:rPr>
            </w:pPr>
            <w:r>
              <w:rPr>
                <w:rFonts w:ascii="Arial" w:cs="Arial" w:eastAsia="Arial" w:hAnsi="Arial"/>
                <w:sz w:val="18"/>
                <w:szCs w:val="18"/>
                <w:b w:val="1"/>
                <w:bCs w:val="1"/>
                <w:color w:val="auto"/>
                <w:w w:val="90"/>
              </w:rPr>
              <w:t>Defined Benefit</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30"/>
              <w:spacing w:after="0"/>
              <w:rPr>
                <w:sz w:val="20"/>
                <w:szCs w:val="20"/>
                <w:color w:val="auto"/>
              </w:rPr>
            </w:pPr>
            <w:r>
              <w:rPr>
                <w:rFonts w:ascii="Arial" w:cs="Arial" w:eastAsia="Arial" w:hAnsi="Arial"/>
                <w:sz w:val="18"/>
                <w:szCs w:val="18"/>
                <w:b w:val="1"/>
                <w:bCs w:val="1"/>
                <w:color w:val="auto"/>
                <w:w w:val="92"/>
              </w:rPr>
              <w:t>Retiree Health Care</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30"/>
              <w:spacing w:after="0"/>
              <w:rPr>
                <w:sz w:val="20"/>
                <w:szCs w:val="20"/>
                <w:color w:val="auto"/>
              </w:rPr>
            </w:pPr>
            <w:r>
              <w:rPr>
                <w:rFonts w:ascii="Arial" w:cs="Arial" w:eastAsia="Arial" w:hAnsi="Arial"/>
                <w:sz w:val="18"/>
                <w:szCs w:val="18"/>
                <w:b w:val="1"/>
                <w:bCs w:val="1"/>
                <w:color w:val="auto"/>
                <w:w w:val="89"/>
              </w:rPr>
              <w:t>Defined Benefit</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three months ended June 30,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9"/>
                <w:szCs w:val="19"/>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 *</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Curtailment gains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including charges and (gains)</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18"/>
                <w:szCs w:val="18"/>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Non-U.S.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Borders>
              <w:bottom w:val="single" w:sz="8" w:color="auto"/>
            </w:tcBorders>
            <w:gridSpan w:val="5"/>
          </w:tcPr>
          <w:p>
            <w:pPr>
              <w:jc w:val="center"/>
              <w:ind w:left="239"/>
              <w:spacing w:after="0"/>
              <w:rPr>
                <w:sz w:val="20"/>
                <w:szCs w:val="20"/>
                <w:color w:val="auto"/>
              </w:rPr>
            </w:pPr>
            <w:r>
              <w:rPr>
                <w:rFonts w:ascii="Arial" w:cs="Arial" w:eastAsia="Arial" w:hAnsi="Arial"/>
                <w:sz w:val="18"/>
                <w:szCs w:val="18"/>
                <w:b w:val="1"/>
                <w:bCs w:val="1"/>
                <w:color w:val="auto"/>
                <w:w w:val="90"/>
              </w:rPr>
              <w:t>Defined Benefit</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30"/>
              <w:spacing w:after="0"/>
              <w:rPr>
                <w:sz w:val="20"/>
                <w:szCs w:val="20"/>
                <w:color w:val="auto"/>
              </w:rPr>
            </w:pPr>
            <w:r>
              <w:rPr>
                <w:rFonts w:ascii="Arial" w:cs="Arial" w:eastAsia="Arial" w:hAnsi="Arial"/>
                <w:sz w:val="18"/>
                <w:szCs w:val="18"/>
                <w:b w:val="1"/>
                <w:bCs w:val="1"/>
                <w:color w:val="auto"/>
                <w:w w:val="92"/>
              </w:rPr>
              <w:t>Retiree Health Care</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5"/>
          </w:tcPr>
          <w:p>
            <w:pPr>
              <w:jc w:val="center"/>
              <w:ind w:left="230"/>
              <w:spacing w:after="0"/>
              <w:rPr>
                <w:sz w:val="20"/>
                <w:szCs w:val="20"/>
                <w:color w:val="auto"/>
              </w:rPr>
            </w:pPr>
            <w:r>
              <w:rPr>
                <w:rFonts w:ascii="Arial" w:cs="Arial" w:eastAsia="Arial" w:hAnsi="Arial"/>
                <w:sz w:val="18"/>
                <w:szCs w:val="18"/>
                <w:b w:val="1"/>
                <w:bCs w:val="1"/>
                <w:color w:val="auto"/>
                <w:w w:val="89"/>
              </w:rPr>
              <w:t>Defined Benefit</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six months ended June 30,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9"/>
                <w:szCs w:val="19"/>
                <w:color w:val="auto"/>
              </w:rPr>
            </w:pPr>
          </w:p>
        </w:tc>
        <w:tc>
          <w:tcPr>
            <w:tcW w:w="9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Settlement charges *</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charges (gains)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Special termination benefit charges</w:t>
            </w: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including charges and (gains)</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4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restructuring and non-restructuring related settlement charges.</w:t>
      </w:r>
    </w:p>
    <w:p>
      <w:pPr>
        <w:spacing w:after="0" w:line="252" w:lineRule="exact"/>
        <w:rPr>
          <w:sz w:val="20"/>
          <w:szCs w:val="20"/>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208" w:lineRule="exact"/>
        <w:rPr>
          <w:rFonts w:ascii="Arial" w:cs="Arial" w:eastAsia="Arial" w:hAnsi="Arial"/>
          <w:sz w:val="18"/>
          <w:szCs w:val="18"/>
          <w:color w:val="auto"/>
        </w:rPr>
      </w:pPr>
    </w:p>
    <w:p>
      <w:pPr>
        <w:ind w:left="340" w:right="20"/>
        <w:spacing w:after="0" w:line="254"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 efund; and a maximum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219" w:lineRule="exact"/>
        <w:rPr>
          <w:rFonts w:ascii="Arial" w:cs="Arial" w:eastAsia="Arial" w:hAnsi="Arial"/>
          <w:sz w:val="18"/>
          <w:szCs w:val="18"/>
          <w:color w:val="auto"/>
        </w:rPr>
      </w:pPr>
    </w:p>
    <w:p>
      <w:pPr>
        <w:ind w:left="340" w:right="28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ind w:left="340" w:right="20"/>
        <w:spacing w:after="0" w:line="255" w:lineRule="auto"/>
        <w:rPr>
          <w:sz w:val="20"/>
          <w:szCs w:val="20"/>
          <w:color w:val="auto"/>
        </w:rPr>
      </w:pPr>
      <w:r>
        <w:rPr>
          <w:rFonts w:ascii="Arial" w:cs="Arial" w:eastAsia="Arial" w:hAnsi="Arial"/>
          <w:sz w:val="18"/>
          <w:szCs w:val="18"/>
          <w:i w:val="1"/>
          <w:iCs w:val="1"/>
          <w:color w:val="auto"/>
        </w:rPr>
        <w:t xml:space="preserve">Discontinued Operations Indemnity – </w:t>
      </w:r>
      <w:r>
        <w:rPr>
          <w:rFonts w:ascii="Arial" w:cs="Arial" w:eastAsia="Arial" w:hAnsi="Arial"/>
          <w:sz w:val="18"/>
          <w:szCs w:val="18"/>
          <w:color w:val="auto"/>
        </w:rPr>
        <w:t>In connection with the 2006 sale of the former Sensors &amp; Controls business, we have agreed to indemnify Sensata</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We have not made any indemnity payments related to this matter and do not expect that any potential payments related to this indemnity obligation would have a material adverse effect on our financial condition, results of operations or liquidity in future pe riods.</w:t>
      </w:r>
    </w:p>
    <w:p>
      <w:pPr>
        <w:spacing w:after="0" w:line="220"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In the first quarter of 2010, we transferred a low-power wireless product line from the Analog segment to the Wireless segment. All segment results for prior periods have been restated to conform to this new presentation.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For Three Months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Segment Revenue</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Embedded Processing</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3,496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For Three Months Ended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Profit</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Embedded Processing</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profit</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for restructuring expenses impacting segment results for the three and six months ended June 30, 2010 and 2009.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1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were the world’s fourth largest semiconductor company in 2009 as measured by revenue, according to an external source. Additionally, we sell calculators and related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nearly 80,000 customers generated about 40 percent of our revenue in 2009. According to external sources, the worldwide market for analog semiconductors was about $32 billion in 2009. Our Analog segment’s revenue in 2009 was $4.2 billion, or about 13 percent of this market, the leading position. We believe that we are well-positioned to increase our market share over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Analog product lines are: high-volume analog &amp; logic, high-performance analog and power management.</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more than 15,000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right="360"/>
        <w:spacing w:after="0" w:line="259"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Embedded Processing products include our DSPs (other than DSPs specific to our Wireless segment)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2009. The worldwide market for embedded processors was about $14 billion in 2009. According to external sources, we have about 11 percent share in this fragmented market, and we believe we are well-positioned to increase our market share over time.</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5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Smart phones (phones which contain computing capability) are a rapidly growing portion of the cell phone market. These devices require an applications processor to run the phone’s software and services, and other semiconductors to enable connectivity through means other than the cellular network (for example, Bluetooth® devices, WiFi networks or GPS location services).</w:t>
      </w:r>
    </w:p>
    <w:p>
      <w:pPr>
        <w:spacing w:after="0" w:line="208"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We concentrate our Wireless investments on our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applications processors and connectivity products. These products are central to smart phones and offer growth opportunities with a broad set of customers.</w:t>
      </w:r>
    </w:p>
    <w:p>
      <w:pPr>
        <w:spacing w:after="0" w:line="2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discontinued investment in baseband chips, a market with shrinking competitive barriers and slowing growth rates. We expect substantially all of our baseband revenue, which was $1.73 billion in 2009, to cease by the end of 2012.</w:t>
      </w:r>
    </w:p>
    <w:p>
      <w:pPr>
        <w:spacing w:after="0" w:line="19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Wireless products are typically sold in high volumes, and our Wireless portfolio includes both standard products and custom products. Sales of Wireless products generated about 25 percent of our revenue in 2009, and a significant portion of our Wireless sales were to a single customer.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Other segment includes revenue from sales from our smaller semiconductor product lines and of our handheld graphing and scientific calculators, as well as royalties received for our patented technology that we license to other electronics companies. The semiconductor products in our Other segment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 projectors to create high-definition images) and custom semiconductors known as application-specific integrated circuits (ASICs). This segment generated about 20 percent of our revenue in 2009.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allowing greater flexibility to meet final package and test configurations.</w:t>
      </w: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two multi-year trends, in general we expect to carry higher levels of inventory relative to our revenue expectations (commonly viewed by investors as days of inventory) than in past years. First, standard products have become a larger part of our portfolio. Second, we have increased consignment programs for our largest customers and some distributors and, as a result, we now carry more inventory on average than in the past in order to service the needs of these customers.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Manufacturing</w:t>
      </w:r>
    </w:p>
    <w:p>
      <w:pPr>
        <w:spacing w:after="0" w:line="25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12 and 18 weeks and takes place in highly specialized facilities.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varies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 supplement our internal wafer fabrication capacity and maximize our responsiveness to customer demand and return on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2009, external foundries provided about 55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 ction needs.</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in maintaining internal assembly/test capacity.</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2009, to expand our existing wafer fabrication capacity, we began installing equipment in the industry’s first 300-millimeter analog wafer factory, located in Richardson, Texas, and are currently qualifying for production. We also opened a new assembly/test facility in the Philippines to significantly increase our assembly/test capacity.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Market cycle</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Second-Quarter 2010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second-quarter revenue was $3.50 billion, net income was $769 million and earnings per share were 62 cents.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Analog and Embedded Processing businesses turned in double-digit sequential growth, outpacing their respective markets and again confirming their ability to positively impact our financial performance. As a result, we delivered our highest-ever quarterly operating profit.</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Orders were strong in the quarter, backlog increased and we expect to grow revenue again in the third quarter. Our steady investments in production capacity, even through last year’s downturn, are now allowing us to meet higher demand levels from customers and simultaneously reduce lead times, which we believe is not only in the best interest of our customers, but will also help us gain share.</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we continue our transition to an Analog and Embedded Processing company, we believe we can significantly outgrow these markets by offering products that are optimized to the needs of our customers and by putting manufacturing capacity in place before it’s needed.</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2010</w:t>
            </w:r>
          </w:p>
        </w:tc>
        <w:tc>
          <w:tcPr>
            <w:tcW w:w="60" w:type="dxa"/>
            <w:vAlign w:val="bottom"/>
          </w:tcPr>
          <w:p>
            <w:pPr>
              <w:spacing w:after="0"/>
              <w:rPr>
                <w:sz w:val="24"/>
                <w:szCs w:val="24"/>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June 30, 2009</w:t>
            </w:r>
          </w:p>
        </w:tc>
        <w:tc>
          <w:tcPr>
            <w:tcW w:w="6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Mar.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3,496</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revenue</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Restructuring expense</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w:t>
            </w:r>
          </w:p>
        </w:tc>
        <w:tc>
          <w:tcPr>
            <w:tcW w:w="2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18"/>
                <w:szCs w:val="18"/>
                <w:color w:val="auto"/>
              </w:rPr>
            </w:pP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6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54.2%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SG&amp;A</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second quarter of 2010 was $3.50 billion, an increase of $1.04 billion, or 42 percent, from the year-ago quarter, and $291 million, or 9 percent from the prior quarter. Revenue in all segments increased over both the year-ago quarter and the prior quarter primarily due to increased shipments across a broad range of products, with particular strength in analog and embedded processing. Also contributing to the increase from the prior quarter was the seasonal increase in calculator sales as retailers prepare for the back-to-school selling season.</w:t>
      </w:r>
    </w:p>
    <w:p>
      <w:pPr>
        <w:spacing w:after="0" w:line="21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Gross profit for the second quarter of 2010 was $1.89 billion, or 54.2 percent of revenue, an increase of $770 million, or 69 percent, from the year-ago quarter and $205 million, or 12 percent, from the prior quarter. The increase in gross profit in both comparisons was primarily due to higher revenue. The comparison with the year-ago quarter also benefited from a $93 million favorable impact from higher utilization of our fixed-cost manufacturing assets.</w:t>
      </w:r>
    </w:p>
    <w:p>
      <w:pPr>
        <w:spacing w:after="0" w:line="17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Operating expenses for the second quarter of 2010 were $392 million for R&amp;D and $378 million for SG&amp;A. R&amp;D expense increased $23 million, or 6 percent, from the year-ago quarter due to higher compensation-related costs. Compared with the prior quarter, R&amp;D expense increased $22 million, or 6 percent, primarily due to higher product development costs. SG&amp;A expense increased $51 million, or 16 percent, from the year-ago quarter, primarily due to higher compensation-related costs, and to a lesser extent, higher sales and marketing costs. Compared with the prior quarter, SG&amp;A expense increased $19 million, or 5 percent, primarily due to the combination of higher compensation-related costs and, to a lesser extent, higher sales and marketing costs.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Restructuring costs in the second quarter of 2010 were $17 million compared with $10 million in the prior quarter, reflecting settlements of U.S. pension plan benefits for employees affected by actions taken in 2008 and 2009. This compares with $85 million of restructuring costs in the year-ago quarter for severance and benefits costs. All of these actions were completed in 2009 (see Note 2 to the Financial Statements for a detailed discussion of these charges and payments made during the quarter).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0" w:name="page21"/>
    <w:bookmarkEnd w:id="20"/>
    <w:p>
      <w:pPr>
        <w:ind w:right="20"/>
        <w:spacing w:after="0" w:line="342" w:lineRule="auto"/>
        <w:rPr>
          <w:sz w:val="20"/>
          <w:szCs w:val="20"/>
          <w:color w:val="auto"/>
        </w:rPr>
      </w:pPr>
      <w:r>
        <w:rPr>
          <w:rFonts w:ascii="Arial" w:cs="Arial" w:eastAsia="Arial" w:hAnsi="Arial"/>
          <w:sz w:val="16"/>
          <w:szCs w:val="16"/>
          <w:color w:val="auto"/>
        </w:rPr>
        <w:t>For the second quarter of 2010, our operating profit was $1.11 billion, or 31.7 percent of revenue, compared with $343 million, or 14.0 percent of revenue, for the year-ago quarter and $950 million, or 29.7 percent of revenue, for the prior quarter. The increase in both comparisons was due to higher gross profit.</w:t>
      </w:r>
    </w:p>
    <w:p>
      <w:pPr>
        <w:spacing w:after="0" w:line="15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of June 30, 2010, the estimated annual effective tax rate is expected to be about 31 percent (see Note 3 to the Financial Statements for additional information). The tax rate is based on current tax law and does not assume reinstatement of the federal research tax credit, which expired at the end of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2010 our tax provision was $342 million, compared with $96 million in the year-ago quarter and $299 million in the prior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tax provision from both periods was due to higher income before income taxes.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2010, our net income was $769 million, compared with $260 million for the year-ago quarter and $658 million for the prior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were $0.62, compared with $0.20 per share for the year-ago quarter and $0.52 per share for the prior quarter.</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Orders in the second quarter were $3.73 billion, an increase of 33 percent from the year-ago quarter when orders were unusually weak as customers reduced their inventory in response to the slowing global economy. Compared with the prior quarter, orders increased 2 percent.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5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Information regarding the second quarter of 2009 has been restated to reflect the transfer of a low-power wireless product line from our Analog segment to our Wireless segment in the first quarter of 2010. During all of 2009, revenue from this product line was $68 million, and it operated at a loss of $17 million.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2Q10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2Q09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1Q10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1,512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398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Analog revenue increased 56 percent from the year-ago quarter due to increased shipments of, in decreasing order, high-volume analog &amp; logic products, power management products and high-performance analog products. Revenue increased 11 percent from the prior quarter due to higher shipments of, in decreasing order, high-performance analog products, power management products and high-volume analog &amp; logic products. Operating profit increased compared with both the year-ago quarter and the prior quarter due to higher revenue and associated gross profit.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2Q10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2Q09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1Q10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Embedded Processing revenue increased 47 percent from the year-ago quarter and 17 percent from the prior quarter. These increases were primarily due to increased shipments of catalog products. Shipments of automotive products and communications infrastructure products also increased in each comparison. Operating profit increased compared with both the year-ago quarter and the prior quarter due to higher revenue and associated gross profit.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2Q10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2Q09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1Q10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727</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Wireless revenue increased 18 percent from the year-ago quarter and was about even with the prior quarter. The increase from the year-ago quarter was primarily due to increased shipments of connectivity products, and to a lesser extent, applications processor products. Baseband revenue for the second quarter of 2010 was $416 million, an increase of $6 million, or 1 percent, from the year-ago quarter and a decrease of $8 million, or 2 percent, compared with the prior quarter. The increase in Wireless operating profit compared with the year-ago quarter was primarily due to higher revenue and associated gross profit, and to a lesser extent, lower restructuring costs and lower operating expenses. Compared with the prior quarter, operating profit increased due to higher revenue and associated gross profit.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2Q10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2Q10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2Q09</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1Q10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741</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Other revenue increased 42 percent from the year-ago quarter, primarily due to, in decreasing order, higher shipments of DLP products, higher royalties, and higher shipments of custom ASIC products and calculators. Compared with the prior quarter, revenue increased 9 percent due to increased shipments of calculators, partially offset by lower royalties. Calculator shipments increased seasonally as retailers prepare for the back-to-school selling season. Operating profit for the second quarter of 2010 increased from both the year-ago quarter and the prior quarter due to higher revenue and associated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of 2010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2010, we report the following:</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Revenue was $6.70 billion, an increase of $2.16 billion, or 48 percent, compared with the year-ago period due to increased shipments across a broad range of products. Every segment experienced double-digit revenue growth.</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Gross profit was $3.58 billion, an increase of $1.65 billion, or 86 percent, from the year-ago period primarily due to higher revenue, and to a lesser extent, the impact of improved factory utilization. Improved factory utilization increased our gross profit by $267 million from the year-ago period. Gross profit margin was 53.5 percent of revenue compared with 42.5 percent in the year-ago period.</w:t>
      </w:r>
    </w:p>
    <w:p>
      <w:pPr>
        <w:spacing w:after="0" w:line="20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R&amp;D expense of $761 million was about even with the year-ago period as higher compensation-related costs were partially offset by lower Wireless product development costs. R&amp;D expense as a percent of revenue was 11.4 percent, compared with 16.6 percent in the year-ago period.</w:t>
      </w:r>
    </w:p>
    <w:p>
      <w:pPr>
        <w:spacing w:after="0" w:line="17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SG&amp;A expense was $737 million, an increase of 17 percent from the year-ago period, primarily due to higher compensation-related costs, and to a lesser extent, higher sales and marketing costs. SG&amp;A expense as a percent of revenue was 11.0 percent, compared with 13.9 percent in the year-ago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expenses were $28 million compared to $190 million for the year-ago period.</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profit was $2.06 billion, or 30.7 percent of revenue, compared with $353 million, or 7.8 percent of revenue, in the year-ago period. The increase was due to higher gross profit, and to a lesser extent, lower restructuring expenses.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tax provision was $641 million, compared with $95 million in the year-ago period. The increase was due to higher income before income taxes.</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was $1.43 billion, compared with $277 million in the year-ago period. Earnings per share were $1.14 per share, compared with $0.22 per share in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Orders were $7.37 billion, an increase of 48 percent from the year-ago period.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Segment results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Information regarding 2009 has been restated to reflect the transfer of a low-power wireless product line from our Analog segment to our Wireless segment in the first quarter of 2010. During 2009, revenue from this product line was $68 million, and it operated at a loss of $17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YTD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YTD</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 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2,880</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profit*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Analog revenue increased 63 percent from the year-ago period, due to increased shipments of, in decreasing order, high-volume analog &amp; logic products, power management products and high-performance analog products. For the first six months of 2010, operating profit increased compared to the year-ago period due to higher revenue and associated gross profit.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YTD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YTD</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 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956</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profit*</w:t>
            </w: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2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Embedded Processing revenue increased 44 percent from the year-ago period, primarily due to increased shipments of catalog products. Compared to the year ago-period, operating profit increased 527 percent due to higher revenue and associated gross profit.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YTD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YTD</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 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1,444</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profit*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Wireless revenue increased 23 percent from the year-ago period primarily due to increased shipments of connectivity products, and to a lesser extent, applications processor products. Shipments of baseband products declined, but baseband revenue of $840 million increased 4 percent from a year ago, as we shipped a greater proportion of higher-priced products. Compared with the year-ago period, operating profit increased due to higher revenue and associated gross profit.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YTD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YTD</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YTD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 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1,421</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profit*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2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Other revenue increased 53 percent from the year-ago period due to, in decreasing order, higher shipments of DLP products, higher royalties and higher shipments of custom ASIC products and calculators. Operating profit was higher than the year-ago period due to higher revenue and associated gross profit.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136"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end of the second quarter of 2010, total cash (cash and cash equivalents plus short-term investments) was $2.30 billion. This was $620 million lower than at the end of 2009.</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Accounts receivable were $1.72 billion at the end of the quarter. This was an increase of $438 million from the end of 2009. Days sales outstanding were 44 at the end of the quarter compared with 38 at the end of 2009. The increase in accounts receivable was primarily the result of seasonally lower shipments in December, and to a lesser extent, higher revenue at the end of the second quarter.</w:t>
      </w:r>
    </w:p>
    <w:p>
      <w:pPr>
        <w:spacing w:after="0" w:line="20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Inventory was $1.35 billion at the end of the quarter. This was an increase of $147 million from the end of 2009. Days of inventory at the end of the second quarter were 76, unchanged from the end of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Our sources of liquidity are our cash flows from operations, cash and cash equivalents, short-term investments and revolving credit facilities. Our primary source of liquidity is cash flow from operations. Cash flow from operations for the first six months of 2010 was $1.27 billion, an increase of $464 million from the year-ago period due to the increase in net income, which were partially offset by changes in working capital.</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$1.14 billion of cash and cash equivalents and $1.17 billion of short-term investments as of June 30, 2010. We have a multi-year $1 billion revolving credit facility. We also have a non-U.S. revolving credit facility of $175 million that expires in November 2010. As of June 30, 2010, these credit facilities were not being utilized.</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first six months of 2010, investing activities provided cash of $153 million, compared with $505 million in the year-ago period. Capital expenditures in the first six months of 2010 totaled $502 million. This was an increase of $411 million from a year ago due to increased expenditures for both assembly/test manufacturing equipment and analog wafer manufacturing equipment. Net sales and maturities of short-term investments provided cash of $589 million in the first six months of 2010, compared with $710 million in the same period a year ago. In addition, in the year-ago period we used $155 million for acquisitions.</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first six months of 2010, net cash used in financing activities was $1.47 billion, compared with $594 million in the year-ago period. We used $1.25 billion of cash in the first half of 2010 to repurchase 50 million shares of our common stock and paid dividends of $296 million. In the same period last year we used $351 million of cash to repurchase 20 million shares of common stock and paid $280 million in dividends.</w:t>
      </w:r>
    </w:p>
    <w:p>
      <w:pPr>
        <w:spacing w:after="0" w:line="20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2010, we expect: an annual effective tax rate of about 31 percent; R&amp;D expense of $1.5 billion; capital expenditures of $1.2 billion; and depreciation of $0.9 billion. The tax rate is based on current tax law and does not assume reinstatement of the federal research tax credit, which expired at the end of 2009.</w:t>
      </w:r>
    </w:p>
    <w:p>
      <w:pPr>
        <w:spacing w:after="0" w:line="15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concerning market risk is contained on page 45 of Exhibit 13 to our Form 10-K for the year ended December 31, 2009, and is incorporated by reference to such exhibit.</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 ly to materially affect, our internal control over financial reporting.</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5" w:name="page26"/>
    <w:bookmarkEnd w:id="25"/>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Total Number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 Purchased as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Part of Publicly</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8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Average Price Paid</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Announced Plans or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per Share</w:t>
            </w:r>
          </w:p>
        </w:tc>
        <w:tc>
          <w:tcPr>
            <w:tcW w:w="1720" w:type="dxa"/>
            <w:vAlign w:val="bottom"/>
            <w:gridSpan w:val="2"/>
          </w:tcPr>
          <w:p>
            <w:pPr>
              <w:jc w:val="center"/>
              <w:ind w:right="140"/>
              <w:spacing w:after="0" w:line="234"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480" w:type="dxa"/>
            <w:vAlign w:val="bottom"/>
          </w:tcPr>
          <w:p>
            <w:pPr>
              <w:jc w:val="center"/>
              <w:spacing w:after="0" w:line="234"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2010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26.58</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2,788,255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$ 2,021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May 1 through May 31, 2010</w:t>
            </w: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26,896,463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25.13</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26,896,463</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$ 1,345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2010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$ 1,345 million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29,684,718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29,684,718</w:t>
            </w:r>
            <w:r>
              <w:rPr>
                <w:rFonts w:ascii="Arial" w:cs="Arial" w:eastAsia="Arial" w:hAnsi="Arial"/>
                <w:sz w:val="12"/>
                <w:szCs w:val="12"/>
                <w:color w:val="auto"/>
              </w:rPr>
              <w:t>(2)</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$ 1,345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340" w:right="4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purchases during the quarter were made under an authorization to purchase up to $5 billion of additional shares of TI common stock, which was announced on September 21, 2007. No expiration date has been specified for this authorization.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purchases in the period were made through open-market purchases.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Designation of</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Exhibits in</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This Report</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jc w:val="center"/>
              <w:ind w:right="2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220" w:type="dxa"/>
            <w:vAlign w:val="bottom"/>
          </w:tcPr>
          <w:p>
            <w:pPr>
              <w:spacing w:after="0"/>
              <w:rPr>
                <w:sz w:val="15"/>
                <w:szCs w:val="15"/>
                <w:color w:val="auto"/>
              </w:rPr>
            </w:pPr>
          </w:p>
        </w:tc>
        <w:tc>
          <w:tcPr>
            <w:tcW w:w="10040" w:type="dxa"/>
            <w:vAlign w:val="bottom"/>
          </w:tcPr>
          <w:p>
            <w:pPr>
              <w:spacing w:after="0" w:line="176" w:lineRule="exact"/>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Certification by Chief Executive Officer of Periodic Report Pursuant to 18 U.S.C. Section 1350.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jc w:val="center"/>
              <w:ind w:right="2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220" w:type="dxa"/>
            <w:vAlign w:val="bottom"/>
          </w:tcPr>
          <w:p>
            <w:pPr>
              <w:spacing w:after="0"/>
              <w:rPr>
                <w:sz w:val="15"/>
                <w:szCs w:val="15"/>
                <w:color w:val="auto"/>
              </w:rPr>
            </w:pPr>
          </w:p>
        </w:tc>
        <w:tc>
          <w:tcPr>
            <w:tcW w:w="10040" w:type="dxa"/>
            <w:vAlign w:val="bottom"/>
          </w:tcPr>
          <w:p>
            <w:pPr>
              <w:spacing w:after="0" w:line="176" w:lineRule="exact"/>
              <w:rPr>
                <w:sz w:val="20"/>
                <w:szCs w:val="20"/>
                <w:color w:val="auto"/>
              </w:rPr>
            </w:pPr>
            <w:r>
              <w:rPr>
                <w:rFonts w:ascii="Arial" w:cs="Arial" w:eastAsia="Arial" w:hAnsi="Arial"/>
                <w:sz w:val="18"/>
                <w:szCs w:val="18"/>
                <w:color w:val="auto"/>
              </w:rPr>
              <w:t>Certification by Chief Financial Officer of Periodic Report Pursuant to 18 U.S.C. Section 1350.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101.ins</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101.def</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101.sch</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101.cal</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101.lab</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101.pre</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 *</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To be furnished in an amendment to this Form 10-Q to be filed by August 20, 2010, as permitted by Rule 405 of Regulation S-T.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740" w:right="2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740" w:right="5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74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740" w:right="200" w:hanging="327"/>
        <w:spacing w:after="0" w:line="34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740" w:hanging="32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740" w:right="18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740"/>
        <w:spacing w:after="0"/>
        <w:tabs>
          <w:tab w:leader="none" w:pos="7240" w:val="left"/>
        </w:tabs>
        <w:rPr>
          <w:sz w:val="20"/>
          <w:szCs w:val="20"/>
          <w:color w:val="auto"/>
        </w:rPr>
      </w:pPr>
      <w:r>
        <w:rPr>
          <w:rFonts w:ascii="Arial" w:cs="Arial" w:eastAsia="Arial" w:hAnsi="Arial"/>
          <w:sz w:val="18"/>
          <w:szCs w:val="18"/>
          <w:color w:val="auto"/>
        </w:rPr>
        <w:t>BY:</w:t>
        <w:tab/>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87015" cy="1714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July __, 2010</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52" w:lineRule="exact"/>
        <w:rPr>
          <w:sz w:val="20"/>
          <w:szCs w:val="20"/>
          <w:color w:val="auto"/>
        </w:rPr>
      </w:pPr>
    </w:p>
    <w:p>
      <w:pPr>
        <w:ind w:left="680" w:hanging="18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__, 2010</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52" w:lineRule="exact"/>
        <w:rPr>
          <w:sz w:val="20"/>
          <w:szCs w:val="20"/>
          <w:color w:val="auto"/>
        </w:rPr>
      </w:pPr>
    </w:p>
    <w:p>
      <w:pPr>
        <w:ind w:left="680" w:hanging="18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__, 2010</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61" w:lineRule="exact"/>
        <w:rPr>
          <w:sz w:val="20"/>
          <w:szCs w:val="20"/>
          <w:color w:val="auto"/>
        </w:rPr>
      </w:pPr>
    </w:p>
    <w:p>
      <w:pPr>
        <w:ind w:left="500" w:right="100" w:hanging="6"/>
        <w:spacing w:after="0" w:line="342"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2010,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32" w:lineRule="auto"/>
        <w:tabs>
          <w:tab w:leader="none" w:pos="7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__, 2010</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51" w:lineRule="exact"/>
        <w:rPr>
          <w:sz w:val="20"/>
          <w:szCs w:val="20"/>
          <w:color w:val="auto"/>
        </w:rPr>
      </w:pPr>
    </w:p>
    <w:p>
      <w:pPr>
        <w:ind w:left="500" w:right="100" w:hanging="6"/>
        <w:spacing w:after="0" w:line="342"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2010,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32" w:lineRule="auto"/>
        <w:tabs>
          <w:tab w:leader="none" w:pos="7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__, 2010</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S"/>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2019-12-10T03:05:35Z</dcterms:created>
  <dcterms:modified xsi:type="dcterms:W3CDTF">2019-12-10T03:05:35Z</dcterms:modified>
</cp:coreProperties>
</file>