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094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0942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Lovett Melendy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05/01/2013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jc w:val="center"/>
              <w:ind w:left="487"/>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487"/>
              <w:spacing w:after="0"/>
              <w:rPr>
                <w:sz w:val="20"/>
                <w:szCs w:val="20"/>
                <w:color w:val="auto"/>
              </w:rPr>
            </w:pPr>
            <w:r>
              <w:rPr>
                <w:rFonts w:ascii="Arial" w:cs="Arial" w:eastAsia="Arial" w:hAnsi="Arial"/>
                <w:sz w:val="17"/>
                <w:szCs w:val="17"/>
                <w:color w:val="0000FF"/>
                <w:w w:val="93"/>
              </w:rPr>
              <w:t>05/01/2013</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jc w:val="center"/>
              <w:ind w:right="300"/>
              <w:spacing w:after="0"/>
              <w:rPr>
                <w:sz w:val="20"/>
                <w:szCs w:val="20"/>
                <w:color w:val="auto"/>
              </w:rPr>
            </w:pPr>
            <w:r>
              <w:rPr>
                <w:rFonts w:ascii="Arial" w:cs="Arial" w:eastAsia="Arial" w:hAnsi="Arial"/>
                <w:sz w:val="13"/>
                <w:szCs w:val="13"/>
                <w:color w:val="0000FF"/>
              </w:rPr>
              <w:t>M</w:t>
            </w:r>
          </w:p>
        </w:tc>
        <w:tc>
          <w:tcPr>
            <w:tcW w:w="760" w:type="dxa"/>
            <w:vAlign w:val="bottom"/>
          </w:tcPr>
          <w:p>
            <w:pPr>
              <w:jc w:val="right"/>
              <w:ind w:right="29"/>
              <w:spacing w:after="0"/>
              <w:rPr>
                <w:sz w:val="20"/>
                <w:szCs w:val="20"/>
                <w:color w:val="auto"/>
              </w:rPr>
            </w:pPr>
            <w:r>
              <w:rPr>
                <w:rFonts w:ascii="Arial" w:cs="Arial" w:eastAsia="Arial" w:hAnsi="Arial"/>
                <w:sz w:val="17"/>
                <w:szCs w:val="17"/>
                <w:color w:val="0000FF"/>
              </w:rPr>
              <w:t>30,000</w:t>
            </w:r>
          </w:p>
        </w:tc>
        <w:tc>
          <w:tcPr>
            <w:tcW w:w="680" w:type="dxa"/>
            <w:vAlign w:val="bottom"/>
          </w:tcPr>
          <w:p>
            <w:pPr>
              <w:ind w:left="28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32.39</w:t>
            </w: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92,500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487"/>
              <w:spacing w:after="0"/>
              <w:rPr>
                <w:sz w:val="20"/>
                <w:szCs w:val="20"/>
                <w:color w:val="auto"/>
              </w:rPr>
            </w:pPr>
            <w:r>
              <w:rPr>
                <w:rFonts w:ascii="Arial" w:cs="Arial" w:eastAsia="Arial" w:hAnsi="Arial"/>
                <w:sz w:val="17"/>
                <w:szCs w:val="17"/>
                <w:color w:val="0000FF"/>
                <w:w w:val="93"/>
              </w:rPr>
              <w:t>05/01/2013</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jc w:val="center"/>
              <w:ind w:right="300"/>
              <w:spacing w:after="0"/>
              <w:rPr>
                <w:sz w:val="20"/>
                <w:szCs w:val="20"/>
                <w:color w:val="auto"/>
              </w:rPr>
            </w:pPr>
            <w:r>
              <w:rPr>
                <w:rFonts w:ascii="Arial" w:cs="Arial" w:eastAsia="Arial" w:hAnsi="Arial"/>
                <w:sz w:val="13"/>
                <w:szCs w:val="13"/>
                <w:color w:val="0000FF"/>
              </w:rPr>
              <w:t>M</w:t>
            </w:r>
          </w:p>
        </w:tc>
        <w:tc>
          <w:tcPr>
            <w:tcW w:w="760" w:type="dxa"/>
            <w:vAlign w:val="bottom"/>
          </w:tcPr>
          <w:p>
            <w:pPr>
              <w:jc w:val="right"/>
              <w:ind w:right="29"/>
              <w:spacing w:after="0"/>
              <w:rPr>
                <w:sz w:val="20"/>
                <w:szCs w:val="20"/>
                <w:color w:val="auto"/>
              </w:rPr>
            </w:pPr>
            <w:r>
              <w:rPr>
                <w:rFonts w:ascii="Arial" w:cs="Arial" w:eastAsia="Arial" w:hAnsi="Arial"/>
                <w:sz w:val="17"/>
                <w:szCs w:val="17"/>
                <w:color w:val="0000FF"/>
              </w:rPr>
              <w:t>30,000</w:t>
            </w:r>
          </w:p>
        </w:tc>
        <w:tc>
          <w:tcPr>
            <w:tcW w:w="680" w:type="dxa"/>
            <w:vAlign w:val="bottom"/>
          </w:tcPr>
          <w:p>
            <w:pPr>
              <w:ind w:left="28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32.55</w:t>
            </w: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122,500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487"/>
              <w:spacing w:after="0"/>
              <w:rPr>
                <w:sz w:val="20"/>
                <w:szCs w:val="20"/>
                <w:color w:val="auto"/>
              </w:rPr>
            </w:pPr>
            <w:r>
              <w:rPr>
                <w:rFonts w:ascii="Arial" w:cs="Arial" w:eastAsia="Arial" w:hAnsi="Arial"/>
                <w:sz w:val="17"/>
                <w:szCs w:val="17"/>
                <w:color w:val="0000FF"/>
                <w:w w:val="93"/>
              </w:rPr>
              <w:t>05/01/2013</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jc w:val="center"/>
              <w:ind w:right="300"/>
              <w:spacing w:after="0"/>
              <w:rPr>
                <w:sz w:val="20"/>
                <w:szCs w:val="20"/>
                <w:color w:val="auto"/>
              </w:rPr>
            </w:pPr>
            <w:r>
              <w:rPr>
                <w:rFonts w:ascii="Arial" w:cs="Arial" w:eastAsia="Arial" w:hAnsi="Arial"/>
                <w:sz w:val="13"/>
                <w:szCs w:val="13"/>
                <w:color w:val="0000FF"/>
              </w:rPr>
              <w:t>M</w:t>
            </w:r>
          </w:p>
        </w:tc>
        <w:tc>
          <w:tcPr>
            <w:tcW w:w="760" w:type="dxa"/>
            <w:vAlign w:val="bottom"/>
          </w:tcPr>
          <w:p>
            <w:pPr>
              <w:jc w:val="right"/>
              <w:ind w:right="29"/>
              <w:spacing w:after="0"/>
              <w:rPr>
                <w:sz w:val="20"/>
                <w:szCs w:val="20"/>
                <w:color w:val="auto"/>
              </w:rPr>
            </w:pPr>
            <w:r>
              <w:rPr>
                <w:rFonts w:ascii="Arial" w:cs="Arial" w:eastAsia="Arial" w:hAnsi="Arial"/>
                <w:sz w:val="17"/>
                <w:szCs w:val="17"/>
                <w:color w:val="0000FF"/>
              </w:rPr>
              <w:t>56,250</w:t>
            </w:r>
          </w:p>
        </w:tc>
        <w:tc>
          <w:tcPr>
            <w:tcW w:w="680" w:type="dxa"/>
            <w:vAlign w:val="bottom"/>
          </w:tcPr>
          <w:p>
            <w:pPr>
              <w:ind w:left="28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23.05</w:t>
            </w: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178,750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7"/>
                <w:szCs w:val="17"/>
                <w:color w:val="0000FF"/>
                <w:w w:val="93"/>
              </w:rPr>
              <w:t>05/01/2013</w:t>
            </w:r>
          </w:p>
        </w:tc>
        <w:tc>
          <w:tcPr>
            <w:tcW w:w="2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116,250</w:t>
            </w:r>
          </w:p>
        </w:tc>
        <w:tc>
          <w:tcPr>
            <w:tcW w:w="68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36.3453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62,500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7"/>
              </w:rPr>
              <w:t>2,902.21</w:t>
            </w:r>
            <w:r>
              <w:rPr>
                <w:rFonts w:ascii="Arial" w:cs="Arial" w:eastAsia="Arial" w:hAnsi="Arial"/>
                <w:sz w:val="22"/>
                <w:szCs w:val="22"/>
                <w:color w:val="008000"/>
                <w:w w:val="87"/>
                <w:vertAlign w:val="superscript"/>
              </w:rPr>
              <w:t>(2)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8"/>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jc w:val="center"/>
              <w:ind w:right="51"/>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jc w:val="center"/>
              <w:ind w:right="51"/>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32.39</w:t>
            </w: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05/01/2013</w:t>
            </w:r>
          </w:p>
        </w:tc>
        <w:tc>
          <w:tcPr>
            <w:tcW w:w="11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30,000</w:t>
            </w:r>
          </w:p>
        </w:tc>
        <w:tc>
          <w:tcPr>
            <w:tcW w:w="800" w:type="dxa"/>
            <w:vAlign w:val="bottom"/>
          </w:tcPr>
          <w:p>
            <w:pPr>
              <w:ind w:left="300"/>
              <w:spacing w:after="0"/>
              <w:rPr>
                <w:sz w:val="20"/>
                <w:szCs w:val="20"/>
                <w:color w:val="auto"/>
              </w:rPr>
            </w:pPr>
            <w:r>
              <w:rPr>
                <w:rFonts w:ascii="Arial" w:cs="Arial" w:eastAsia="Arial" w:hAnsi="Arial"/>
                <w:sz w:val="11"/>
                <w:szCs w:val="11"/>
                <w:color w:val="008000"/>
              </w:rPr>
              <w:t>(3)</w:t>
            </w:r>
          </w:p>
        </w:tc>
        <w:tc>
          <w:tcPr>
            <w:tcW w:w="760" w:type="dxa"/>
            <w:vAlign w:val="bottom"/>
          </w:tcPr>
          <w:p>
            <w:pPr>
              <w:jc w:val="right"/>
              <w:ind w:right="29"/>
              <w:spacing w:after="0"/>
              <w:rPr>
                <w:sz w:val="20"/>
                <w:szCs w:val="20"/>
                <w:color w:val="auto"/>
              </w:rPr>
            </w:pPr>
            <w:r>
              <w:rPr>
                <w:rFonts w:ascii="Arial" w:cs="Arial" w:eastAsia="Arial" w:hAnsi="Arial"/>
                <w:sz w:val="13"/>
                <w:szCs w:val="13"/>
                <w:color w:val="0000FF"/>
                <w:w w:val="98"/>
              </w:rPr>
              <w:t>01/14/2014</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30,000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center"/>
              <w:ind w:right="171"/>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tcPr>
          <w:p>
            <w:pPr>
              <w:jc w:val="center"/>
              <w:ind w:left="158"/>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ind w:left="14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32.55</w:t>
            </w: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05/01/2013</w:t>
            </w:r>
          </w:p>
        </w:tc>
        <w:tc>
          <w:tcPr>
            <w:tcW w:w="11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30,000</w:t>
            </w:r>
          </w:p>
        </w:tc>
        <w:tc>
          <w:tcPr>
            <w:tcW w:w="800" w:type="dxa"/>
            <w:vAlign w:val="bottom"/>
          </w:tcPr>
          <w:p>
            <w:pPr>
              <w:ind w:left="300"/>
              <w:spacing w:after="0"/>
              <w:rPr>
                <w:sz w:val="20"/>
                <w:szCs w:val="20"/>
                <w:color w:val="auto"/>
              </w:rPr>
            </w:pPr>
            <w:r>
              <w:rPr>
                <w:rFonts w:ascii="Arial" w:cs="Arial" w:eastAsia="Arial" w:hAnsi="Arial"/>
                <w:sz w:val="11"/>
                <w:szCs w:val="11"/>
                <w:color w:val="008000"/>
              </w:rPr>
              <w:t>(4)</w:t>
            </w:r>
          </w:p>
        </w:tc>
        <w:tc>
          <w:tcPr>
            <w:tcW w:w="760" w:type="dxa"/>
            <w:vAlign w:val="bottom"/>
          </w:tcPr>
          <w:p>
            <w:pPr>
              <w:jc w:val="right"/>
              <w:ind w:right="29"/>
              <w:spacing w:after="0"/>
              <w:rPr>
                <w:sz w:val="20"/>
                <w:szCs w:val="20"/>
                <w:color w:val="auto"/>
              </w:rPr>
            </w:pPr>
            <w:r>
              <w:rPr>
                <w:rFonts w:ascii="Arial" w:cs="Arial" w:eastAsia="Arial" w:hAnsi="Arial"/>
                <w:sz w:val="13"/>
                <w:szCs w:val="13"/>
                <w:color w:val="0000FF"/>
                <w:w w:val="98"/>
              </w:rPr>
              <w:t>01/19/2016</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30,000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center"/>
              <w:ind w:right="171"/>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tcPr>
          <w:p>
            <w:pPr>
              <w:jc w:val="center"/>
              <w:ind w:left="158"/>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ind w:left="14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23.05</w:t>
            </w: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05/01/2013</w:t>
            </w:r>
          </w:p>
        </w:tc>
        <w:tc>
          <w:tcPr>
            <w:tcW w:w="11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56,250</w:t>
            </w:r>
          </w:p>
        </w:tc>
        <w:tc>
          <w:tcPr>
            <w:tcW w:w="800" w:type="dxa"/>
            <w:vAlign w:val="bottom"/>
          </w:tcPr>
          <w:p>
            <w:pPr>
              <w:ind w:left="300"/>
              <w:spacing w:after="0"/>
              <w:rPr>
                <w:sz w:val="20"/>
                <w:szCs w:val="20"/>
                <w:color w:val="auto"/>
              </w:rPr>
            </w:pPr>
            <w:r>
              <w:rPr>
                <w:rFonts w:ascii="Arial" w:cs="Arial" w:eastAsia="Arial" w:hAnsi="Arial"/>
                <w:sz w:val="11"/>
                <w:szCs w:val="11"/>
                <w:color w:val="008000"/>
              </w:rPr>
              <w:t>(5)</w:t>
            </w:r>
          </w:p>
        </w:tc>
        <w:tc>
          <w:tcPr>
            <w:tcW w:w="760" w:type="dxa"/>
            <w:vAlign w:val="bottom"/>
          </w:tcPr>
          <w:p>
            <w:pPr>
              <w:jc w:val="right"/>
              <w:ind w:right="29"/>
              <w:spacing w:after="0"/>
              <w:rPr>
                <w:sz w:val="20"/>
                <w:szCs w:val="20"/>
                <w:color w:val="auto"/>
              </w:rPr>
            </w:pPr>
            <w:r>
              <w:rPr>
                <w:rFonts w:ascii="Arial" w:cs="Arial" w:eastAsia="Arial" w:hAnsi="Arial"/>
                <w:sz w:val="13"/>
                <w:szCs w:val="13"/>
                <w:color w:val="0000FF"/>
                <w:w w:val="98"/>
              </w:rPr>
              <w:t>01/28/2020</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56,250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center"/>
              <w:ind w:right="171"/>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tcPr>
          <w:p>
            <w:pPr>
              <w:jc w:val="center"/>
              <w:ind w:left="158"/>
              <w:spacing w:after="0"/>
              <w:rPr>
                <w:sz w:val="20"/>
                <w:szCs w:val="20"/>
                <w:color w:val="auto"/>
              </w:rPr>
            </w:pPr>
            <w:r>
              <w:rPr>
                <w:rFonts w:ascii="Arial" w:cs="Arial" w:eastAsia="Arial" w:hAnsi="Arial"/>
                <w:sz w:val="13"/>
                <w:szCs w:val="13"/>
                <w:color w:val="0000FF"/>
                <w:w w:val="90"/>
              </w:rPr>
              <w:t>18,750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ind w:left="1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$36.2550 to $36.4250.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3-31-2013. (Interests in this account are denominated in units. Consequently, share amount shown is an estimate.) This statement does not include changes in beneficial ownership of shares held in such account occurring after 3-31-2013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14, 2005.</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19, 2007.</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28, 2011.</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05/02/2013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48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2019-12-17T02:27:53Z</dcterms:created>
  <dcterms:modified xsi:type="dcterms:W3CDTF">2019-12-17T02:27:53Z</dcterms:modified>
</cp:coreProperties>
</file>