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DATE OF REPORT (DATE OF EARLIEST EVENT REPORTED): April 22,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TEXAS INSTRUMENTS INCORPORATED</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1364"/>
        <w:spacing w:after="0"/>
        <w:rPr>
          <w:sz w:val="20"/>
          <w:szCs w:val="20"/>
          <w:color w:val="auto"/>
        </w:rPr>
      </w:pPr>
      <w:r>
        <w:rPr>
          <w:rFonts w:ascii="Arial" w:cs="Arial" w:eastAsia="Arial" w:hAnsi="Arial"/>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001-03761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75-0289970</w:t>
      </w:r>
    </w:p>
    <w:p>
      <w:pPr>
        <w:spacing w:after="0" w:line="31" w:lineRule="exact"/>
        <w:rPr>
          <w:sz w:val="24"/>
          <w:szCs w:val="24"/>
          <w:color w:val="auto"/>
        </w:rPr>
      </w:pPr>
    </w:p>
    <w:p>
      <w:pPr>
        <w:sectPr>
          <w:pgSz w:w="11900" w:h="16838" w:orient="portrait"/>
          <w:cols w:equalWidth="0" w:num="3">
            <w:col w:w="4504" w:space="720"/>
            <w:col w:w="2880" w:space="720"/>
            <w:col w:w="2200"/>
          </w:cols>
          <w:pgMar w:left="436" w:top="368" w:right="439" w:bottom="1440" w:gutter="0" w:footer="0" w:header="0"/>
          <w:type w:val="continuous"/>
        </w:sectPr>
      </w:pPr>
    </w:p>
    <w:p>
      <w:pPr>
        <w:spacing w:after="0" w:line="11" w:lineRule="exact"/>
        <w:rPr>
          <w:sz w:val="24"/>
          <w:szCs w:val="24"/>
          <w:color w:val="auto"/>
        </w:rPr>
      </w:pPr>
    </w:p>
    <w:p>
      <w:pPr>
        <w:jc w:val="center"/>
        <w:ind w:right="776"/>
        <w:spacing w:after="0"/>
        <w:rPr>
          <w:sz w:val="20"/>
          <w:szCs w:val="20"/>
          <w:color w:val="auto"/>
        </w:rPr>
      </w:pPr>
      <w:r>
        <w:rPr>
          <w:rFonts w:ascii="Arial" w:cs="Arial" w:eastAsia="Arial" w:hAnsi="Arial"/>
          <w:sz w:val="13"/>
          <w:szCs w:val="13"/>
          <w:b w:val="1"/>
          <w:bCs w:val="1"/>
          <w:color w:val="auto"/>
        </w:rPr>
        <w:t>(State or other jurisdiction</w:t>
      </w:r>
    </w:p>
    <w:p>
      <w:pPr>
        <w:jc w:val="center"/>
        <w:ind w:right="77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ind w:left="20"/>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4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504" w:space="720"/>
            <w:col w:w="2760" w:space="720"/>
            <w:col w:w="2320"/>
          </w:cols>
          <w:pgMar w:left="436" w:top="368" w:right="439" w:bottom="1440" w:gutter="0" w:footer="0" w:header="0"/>
          <w:type w:val="continuous"/>
        </w:sectPr>
      </w:pPr>
    </w:p>
    <w:p>
      <w:pPr>
        <w:spacing w:after="0" w:line="32" w:lineRule="exact"/>
        <w:rPr>
          <w:sz w:val="24"/>
          <w:szCs w:val="24"/>
          <w:color w:val="auto"/>
        </w:rPr>
      </w:pPr>
    </w:p>
    <w:p>
      <w:pPr>
        <w:ind w:left="4584"/>
        <w:spacing w:after="0"/>
        <w:rPr>
          <w:sz w:val="20"/>
          <w:szCs w:val="20"/>
          <w:color w:val="auto"/>
        </w:rPr>
      </w:pPr>
      <w:r>
        <w:rPr>
          <w:rFonts w:ascii="Arial" w:cs="Arial" w:eastAsia="Arial" w:hAnsi="Arial"/>
          <w:sz w:val="18"/>
          <w:szCs w:val="18"/>
          <w:b w:val="1"/>
          <w:bCs w:val="1"/>
          <w:color w:val="auto"/>
        </w:rPr>
        <w:t>12500 TI BOULEVARD</w:t>
      </w:r>
    </w:p>
    <w:p>
      <w:pPr>
        <w:spacing w:after="0" w:line="27" w:lineRule="exact"/>
        <w:rPr>
          <w:sz w:val="24"/>
          <w:szCs w:val="24"/>
          <w:color w:val="auto"/>
        </w:rPr>
      </w:pPr>
    </w:p>
    <w:p>
      <w:pPr>
        <w:ind w:left="4544"/>
        <w:spacing w:after="0"/>
        <w:rPr>
          <w:sz w:val="20"/>
          <w:szCs w:val="20"/>
          <w:color w:val="auto"/>
        </w:rPr>
      </w:pPr>
      <w:r>
        <w:rPr>
          <w:rFonts w:ascii="Arial" w:cs="Arial" w:eastAsia="Arial" w:hAnsi="Arial"/>
          <w:sz w:val="18"/>
          <w:szCs w:val="18"/>
          <w:b w:val="1"/>
          <w:bCs w:val="1"/>
          <w:color w:val="auto"/>
        </w:rPr>
        <w:t>DALLAS, TEXAS 75243</w:t>
      </w:r>
    </w:p>
    <w:p>
      <w:pPr>
        <w:spacing w:after="0" w:line="9"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 of principal executive offices)</w:t>
      </w:r>
    </w:p>
    <w:p>
      <w:pPr>
        <w:spacing w:after="0" w:line="199" w:lineRule="exact"/>
        <w:rPr>
          <w:sz w:val="24"/>
          <w:szCs w:val="24"/>
          <w:color w:val="auto"/>
        </w:rPr>
      </w:pPr>
    </w:p>
    <w:p>
      <w:pPr>
        <w:jc w:val="center"/>
        <w:ind w:right="16"/>
        <w:spacing w:after="0"/>
        <w:rPr>
          <w:sz w:val="20"/>
          <w:szCs w:val="20"/>
          <w:color w:val="auto"/>
        </w:rPr>
      </w:pPr>
      <w:r>
        <w:rPr>
          <w:rFonts w:ascii="Arial" w:cs="Arial" w:eastAsia="Arial" w:hAnsi="Arial"/>
          <w:sz w:val="16"/>
          <w:szCs w:val="16"/>
          <w:b w:val="1"/>
          <w:bCs w:val="1"/>
          <w:color w:val="auto"/>
        </w:rPr>
        <w:t>Registrant’s telephone number, including area code: (214) 479-3773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263525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left="4" w:right="180"/>
        <w:spacing w:after="0" w:line="277" w:lineRule="auto"/>
        <w:rPr>
          <w:sz w:val="20"/>
          <w:szCs w:val="20"/>
          <w:color w:val="auto"/>
        </w:rPr>
      </w:pPr>
      <w:r>
        <w:rPr>
          <w:rFonts w:ascii="Arial" w:cs="Arial" w:eastAsia="Arial" w:hAnsi="Arial"/>
          <w:sz w:val="18"/>
          <w:szCs w:val="18"/>
          <w:color w:val="auto"/>
        </w:rPr>
        <w:t>Check the appropriate box below if the Form 8-K is intended to simultaneously satisfy the filing obligation of the registrant under any of the following provisions:</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31"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8"/>
              </w:rPr>
              <w:t>Name of each exchange</w:t>
            </w:r>
          </w:p>
        </w:tc>
        <w:tc>
          <w:tcPr>
            <w:tcW w:w="0" w:type="dxa"/>
            <w:vAlign w:val="bottom"/>
          </w:tcPr>
          <w:p>
            <w:pPr>
              <w:spacing w:after="0"/>
              <w:rPr>
                <w:sz w:val="1"/>
                <w:szCs w:val="1"/>
                <w:color w:val="auto"/>
              </w:rPr>
            </w:pPr>
          </w:p>
        </w:tc>
      </w:tr>
      <w:tr>
        <w:trPr>
          <w:trHeight w:val="185"/>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8"/>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92"/>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$1.00</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rPr>
              <w:t>TXN</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The Nasdaq Global Select Market</w:t>
            </w:r>
          </w:p>
        </w:tc>
        <w:tc>
          <w:tcPr>
            <w:tcW w:w="0" w:type="dxa"/>
            <w:vAlign w:val="bottom"/>
          </w:tcPr>
          <w:p>
            <w:pPr>
              <w:spacing w:after="0"/>
              <w:rPr>
                <w:sz w:val="1"/>
                <w:szCs w:val="1"/>
                <w:color w:val="auto"/>
              </w:rPr>
            </w:pP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68" w:right="4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5.07. Submission of Matters to a Vote of Security Holders.</w:t>
      </w:r>
    </w:p>
    <w:p>
      <w:pPr>
        <w:spacing w:after="0" w:line="11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At the annual meeting of stockholders held on April 22, 2021, the stockholders elected the Board of Directors of Texas Instruments Incorporated and voted upon the proposals contained within our Proxy Statement dated March 9, 2021.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Board nominees were elected with the following vote:</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 w:type="dxa"/>
            <w:vAlign w:val="bottom"/>
            <w:vMerge w:val="restart"/>
          </w:tcPr>
          <w:p>
            <w:pPr>
              <w:spacing w:after="0"/>
              <w:rPr>
                <w:sz w:val="14"/>
                <w:szCs w:val="14"/>
                <w:color w:val="auto"/>
              </w:rPr>
            </w:pPr>
          </w:p>
        </w:tc>
        <w:tc>
          <w:tcPr>
            <w:tcW w:w="560" w:type="dxa"/>
            <w:vAlign w:val="bottom"/>
            <w:vMerge w:val="restart"/>
          </w:tcPr>
          <w:p>
            <w:pPr>
              <w:spacing w:after="0"/>
              <w:rPr>
                <w:sz w:val="20"/>
                <w:szCs w:val="20"/>
                <w:color w:val="auto"/>
              </w:rPr>
            </w:pPr>
            <w:r>
              <w:rPr>
                <w:rFonts w:ascii="Arial" w:cs="Arial" w:eastAsia="Arial" w:hAnsi="Arial"/>
                <w:sz w:val="14"/>
                <w:szCs w:val="14"/>
                <w:b w:val="1"/>
                <w:bCs w:val="1"/>
                <w:color w:val="auto"/>
                <w:w w:val="91"/>
              </w:rPr>
              <w:t>Nominee</w:t>
            </w:r>
          </w:p>
        </w:tc>
        <w:tc>
          <w:tcPr>
            <w:tcW w:w="4940" w:type="dxa"/>
            <w:vAlign w:val="bottom"/>
            <w:vMerge w:val="restart"/>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For</w:t>
            </w:r>
          </w:p>
        </w:tc>
        <w:tc>
          <w:tcPr>
            <w:tcW w:w="140" w:type="dxa"/>
            <w:vAlign w:val="bottom"/>
          </w:tcPr>
          <w:p>
            <w:pPr>
              <w:spacing w:after="0"/>
              <w:rPr>
                <w:sz w:val="14"/>
                <w:szCs w:val="14"/>
                <w:color w:val="auto"/>
              </w:rPr>
            </w:pPr>
          </w:p>
        </w:tc>
        <w:tc>
          <w:tcPr>
            <w:tcW w:w="112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Against</w:t>
            </w:r>
          </w:p>
        </w:tc>
        <w:tc>
          <w:tcPr>
            <w:tcW w:w="10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Abstentions</w:t>
            </w: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7"/>
              </w:rPr>
              <w:t>Broker</w:t>
            </w:r>
          </w:p>
        </w:tc>
        <w:tc>
          <w:tcPr>
            <w:tcW w:w="0" w:type="dxa"/>
            <w:vAlign w:val="bottom"/>
          </w:tcPr>
          <w:p>
            <w:pPr>
              <w:spacing w:after="0"/>
              <w:rPr>
                <w:sz w:val="1"/>
                <w:szCs w:val="1"/>
                <w:color w:val="auto"/>
              </w:rPr>
            </w:pPr>
          </w:p>
        </w:tc>
      </w:tr>
      <w:tr>
        <w:trPr>
          <w:trHeight w:val="178"/>
        </w:trPr>
        <w:tc>
          <w:tcPr>
            <w:tcW w:w="440" w:type="dxa"/>
            <w:vAlign w:val="bottom"/>
            <w:vMerge w:val="continue"/>
          </w:tcPr>
          <w:p>
            <w:pPr>
              <w:spacing w:after="0"/>
              <w:rPr>
                <w:sz w:val="15"/>
                <w:szCs w:val="15"/>
                <w:color w:val="auto"/>
              </w:rPr>
            </w:pPr>
          </w:p>
        </w:tc>
        <w:tc>
          <w:tcPr>
            <w:tcW w:w="560" w:type="dxa"/>
            <w:vAlign w:val="bottom"/>
            <w:tcBorders>
              <w:bottom w:val="single" w:sz="8" w:color="auto"/>
            </w:tcBorders>
            <w:vMerge w:val="continue"/>
          </w:tcPr>
          <w:p>
            <w:pPr>
              <w:spacing w:after="0"/>
              <w:rPr>
                <w:sz w:val="15"/>
                <w:szCs w:val="15"/>
                <w:color w:val="auto"/>
              </w:rPr>
            </w:pPr>
          </w:p>
        </w:tc>
        <w:tc>
          <w:tcPr>
            <w:tcW w:w="4940" w:type="dxa"/>
            <w:vAlign w:val="bottom"/>
            <w:vMerge w:val="continue"/>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1040" w:type="dxa"/>
            <w:vAlign w:val="bottom"/>
            <w:gridSpan w:val="2"/>
            <w:vMerge w:val="continue"/>
          </w:tcPr>
          <w:p>
            <w:pPr>
              <w:spacing w:after="0"/>
              <w:rPr>
                <w:sz w:val="15"/>
                <w:szCs w:val="15"/>
                <w:color w:val="auto"/>
              </w:rPr>
            </w:pPr>
          </w:p>
        </w:tc>
        <w:tc>
          <w:tcPr>
            <w:tcW w:w="920" w:type="dxa"/>
            <w:vAlign w:val="bottom"/>
            <w:gridSpan w:val="2"/>
          </w:tcPr>
          <w:p>
            <w:pPr>
              <w:jc w:val="center"/>
              <w:ind w:right="40"/>
              <w:spacing w:after="0" w:line="158" w:lineRule="exact"/>
              <w:rPr>
                <w:sz w:val="20"/>
                <w:szCs w:val="20"/>
                <w:color w:val="auto"/>
              </w:rPr>
            </w:pPr>
            <w:r>
              <w:rPr>
                <w:rFonts w:ascii="Arial" w:cs="Arial" w:eastAsia="Arial" w:hAnsi="Arial"/>
                <w:sz w:val="14"/>
                <w:szCs w:val="14"/>
                <w:b w:val="1"/>
                <w:bCs w:val="1"/>
                <w:color w:val="auto"/>
                <w:w w:val="91"/>
              </w:rPr>
              <w:t>Non-Votes</w:t>
            </w:r>
          </w:p>
        </w:tc>
        <w:tc>
          <w:tcPr>
            <w:tcW w:w="0" w:type="dxa"/>
            <w:vAlign w:val="bottom"/>
          </w:tcPr>
          <w:p>
            <w:pPr>
              <w:spacing w:after="0"/>
              <w:rPr>
                <w:sz w:val="1"/>
                <w:szCs w:val="1"/>
                <w:color w:val="auto"/>
              </w:rPr>
            </w:pPr>
          </w:p>
        </w:tc>
      </w:tr>
      <w:tr>
        <w:trPr>
          <w:trHeight w:val="203"/>
        </w:trPr>
        <w:tc>
          <w:tcPr>
            <w:tcW w:w="440" w:type="dxa"/>
            <w:vAlign w:val="bottom"/>
          </w:tcPr>
          <w:p>
            <w:pPr>
              <w:spacing w:after="0"/>
              <w:rPr>
                <w:sz w:val="17"/>
                <w:szCs w:val="17"/>
                <w:color w:val="auto"/>
              </w:rPr>
            </w:pPr>
          </w:p>
        </w:tc>
        <w:tc>
          <w:tcPr>
            <w:tcW w:w="550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Mark A. Blinn</w:t>
            </w:r>
          </w:p>
        </w:tc>
        <w:tc>
          <w:tcPr>
            <w:tcW w:w="34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675,101,105</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73,674,071</w:t>
            </w:r>
          </w:p>
        </w:tc>
        <w:tc>
          <w:tcPr>
            <w:tcW w:w="24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2,040,323</w:t>
            </w:r>
          </w:p>
        </w:tc>
        <w:tc>
          <w:tcPr>
            <w:tcW w:w="24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5"/>
              </w:rPr>
              <w:t>70,174,112</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Todd M. Bluedorn</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741,856,453</w:t>
            </w: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6,903,466</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2,055,580</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70,174,112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Janet F. Clark</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746,306,722</w:t>
            </w: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2,424,817</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2,083,960</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70,174,112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Carrie S. Cox</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713,835,885</w:t>
            </w: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34,328,520</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2,651,094</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70,174,112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S. Craighead</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739,140,836</w:t>
            </w: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9,492,852</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2,181,811</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70,174,112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Jean M. Hobby</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746,184,404</w:t>
            </w: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2,506,038</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2,125,057</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70,174,112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Michael Hsu</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698,233,976</w:t>
            </w: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50,501,665</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2,079,858</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70,174,112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Ronald Kirk</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733,897,515</w:t>
            </w: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8,570,243</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8,347,741</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70,174,112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Pamela H. Patsley</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695,240,208</w:t>
            </w: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53,423,870</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2,151,421</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70,174,112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00" w:type="dxa"/>
            <w:vAlign w:val="bottom"/>
            <w:gridSpan w:val="2"/>
          </w:tcPr>
          <w:p>
            <w:pPr>
              <w:spacing w:after="0"/>
              <w:rPr>
                <w:sz w:val="20"/>
                <w:szCs w:val="20"/>
                <w:color w:val="auto"/>
              </w:rPr>
            </w:pPr>
            <w:r>
              <w:rPr>
                <w:rFonts w:ascii="Arial" w:cs="Arial" w:eastAsia="Arial" w:hAnsi="Arial"/>
                <w:sz w:val="18"/>
                <w:szCs w:val="18"/>
                <w:color w:val="auto"/>
              </w:rPr>
              <w:t>Robert E. Sanchez</w:t>
            </w:r>
          </w:p>
        </w:tc>
        <w:tc>
          <w:tcPr>
            <w:tcW w:w="1400" w:type="dxa"/>
            <w:vAlign w:val="bottom"/>
            <w:gridSpan w:val="3"/>
          </w:tcPr>
          <w:p>
            <w:pPr>
              <w:jc w:val="right"/>
              <w:ind w:right="100"/>
              <w:spacing w:after="0"/>
              <w:rPr>
                <w:sz w:val="20"/>
                <w:szCs w:val="20"/>
                <w:color w:val="auto"/>
              </w:rPr>
            </w:pPr>
            <w:r>
              <w:rPr>
                <w:rFonts w:ascii="Arial" w:cs="Arial" w:eastAsia="Arial" w:hAnsi="Arial"/>
                <w:sz w:val="18"/>
                <w:szCs w:val="18"/>
                <w:color w:val="auto"/>
              </w:rPr>
              <w:t>742,196,246</w:t>
            </w:r>
          </w:p>
        </w:tc>
        <w:tc>
          <w:tcPr>
            <w:tcW w:w="1260" w:type="dxa"/>
            <w:vAlign w:val="bottom"/>
            <w:gridSpan w:val="3"/>
          </w:tcPr>
          <w:p>
            <w:pPr>
              <w:jc w:val="right"/>
              <w:ind w:right="240"/>
              <w:spacing w:after="0"/>
              <w:rPr>
                <w:sz w:val="20"/>
                <w:szCs w:val="20"/>
                <w:color w:val="auto"/>
              </w:rPr>
            </w:pPr>
            <w:r>
              <w:rPr>
                <w:rFonts w:ascii="Arial" w:cs="Arial" w:eastAsia="Arial" w:hAnsi="Arial"/>
                <w:sz w:val="18"/>
                <w:szCs w:val="18"/>
                <w:color w:val="auto"/>
              </w:rPr>
              <w:t>6,512,864</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w w:val="97"/>
              </w:rPr>
              <w:t>2,106,389</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w w:val="95"/>
              </w:rPr>
              <w:t>70,174,112</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Richard K. Templeton</w:t>
            </w:r>
          </w:p>
        </w:tc>
        <w:tc>
          <w:tcPr>
            <w:tcW w:w="140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706,611,968</w:t>
            </w: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39,429,623</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4,773,908</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70,174,112</w:t>
            </w:r>
          </w:p>
        </w:tc>
        <w:tc>
          <w:tcPr>
            <w:tcW w:w="0" w:type="dxa"/>
            <w:vAlign w:val="bottom"/>
          </w:tcPr>
          <w:p>
            <w:pPr>
              <w:spacing w:after="0"/>
              <w:rPr>
                <w:sz w:val="1"/>
                <w:szCs w:val="1"/>
                <w:color w:val="auto"/>
              </w:rPr>
            </w:pPr>
          </w:p>
        </w:tc>
      </w:tr>
      <w:tr>
        <w:trPr>
          <w:trHeight w:val="432"/>
        </w:trPr>
        <w:tc>
          <w:tcPr>
            <w:tcW w:w="7340" w:type="dxa"/>
            <w:vAlign w:val="bottom"/>
            <w:gridSpan w:val="6"/>
          </w:tcPr>
          <w:p>
            <w:pPr>
              <w:spacing w:after="0"/>
              <w:rPr>
                <w:sz w:val="20"/>
                <w:szCs w:val="20"/>
                <w:color w:val="auto"/>
              </w:rPr>
            </w:pPr>
            <w:r>
              <w:rPr>
                <w:rFonts w:ascii="Arial" w:cs="Arial" w:eastAsia="Arial" w:hAnsi="Arial"/>
                <w:sz w:val="18"/>
                <w:szCs w:val="18"/>
                <w:color w:val="auto"/>
              </w:rPr>
              <w:t>The stockholders voted on the following proposals and cast their votes as described below:</w:t>
            </w: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9"/>
        </w:trPr>
        <w:tc>
          <w:tcPr>
            <w:tcW w:w="594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Proposal</w:t>
            </w:r>
          </w:p>
        </w:tc>
        <w:tc>
          <w:tcPr>
            <w:tcW w:w="340" w:type="dxa"/>
            <w:vAlign w:val="bottom"/>
          </w:tcPr>
          <w:p>
            <w:pPr>
              <w:spacing w:after="0"/>
              <w:rPr>
                <w:sz w:val="24"/>
                <w:szCs w:val="24"/>
                <w:color w:val="auto"/>
              </w:rPr>
            </w:pPr>
          </w:p>
        </w:tc>
        <w:tc>
          <w:tcPr>
            <w:tcW w:w="10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For</w:t>
            </w:r>
          </w:p>
        </w:tc>
        <w:tc>
          <w:tcPr>
            <w:tcW w:w="140" w:type="dxa"/>
            <w:vAlign w:val="bottom"/>
          </w:tcPr>
          <w:p>
            <w:pPr>
              <w:spacing w:after="0"/>
              <w:rPr>
                <w:sz w:val="24"/>
                <w:szCs w:val="2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Against</w:t>
            </w:r>
          </w:p>
        </w:tc>
        <w:tc>
          <w:tcPr>
            <w:tcW w:w="10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Abstentions</w:t>
            </w: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7"/>
              </w:rPr>
              <w:t>Broker</w:t>
            </w:r>
          </w:p>
        </w:tc>
        <w:tc>
          <w:tcPr>
            <w:tcW w:w="0" w:type="dxa"/>
            <w:vAlign w:val="bottom"/>
          </w:tcPr>
          <w:p>
            <w:pPr>
              <w:spacing w:after="0"/>
              <w:rPr>
                <w:sz w:val="1"/>
                <w:szCs w:val="1"/>
                <w:color w:val="auto"/>
              </w:rPr>
            </w:pPr>
          </w:p>
        </w:tc>
      </w:tr>
      <w:tr>
        <w:trPr>
          <w:trHeight w:val="171"/>
        </w:trPr>
        <w:tc>
          <w:tcPr>
            <w:tcW w:w="594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Non-Votes</w:t>
            </w: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5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Board proposal regarding advisory approval of the company’s executive</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5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compensation</w:t>
            </w:r>
          </w:p>
        </w:tc>
        <w:tc>
          <w:tcPr>
            <w:tcW w:w="130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658,865,942</w:t>
            </w:r>
          </w:p>
        </w:tc>
        <w:tc>
          <w:tcPr>
            <w:tcW w:w="10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90,110,360</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1,839,197</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70,174,112</w:t>
            </w:r>
          </w:p>
        </w:tc>
        <w:tc>
          <w:tcPr>
            <w:tcW w:w="0" w:type="dxa"/>
            <w:vAlign w:val="bottom"/>
          </w:tcPr>
          <w:p>
            <w:pPr>
              <w:spacing w:after="0"/>
              <w:rPr>
                <w:sz w:val="1"/>
                <w:szCs w:val="1"/>
                <w:color w:val="auto"/>
              </w:rPr>
            </w:pPr>
          </w:p>
        </w:tc>
      </w:tr>
      <w:tr>
        <w:trPr>
          <w:trHeight w:val="342"/>
        </w:trPr>
        <w:tc>
          <w:tcPr>
            <w:tcW w:w="594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Proposal</w:t>
            </w:r>
          </w:p>
        </w:tc>
        <w:tc>
          <w:tcPr>
            <w:tcW w:w="340" w:type="dxa"/>
            <w:vAlign w:val="bottom"/>
          </w:tcPr>
          <w:p>
            <w:pPr>
              <w:spacing w:after="0"/>
              <w:rPr>
                <w:sz w:val="24"/>
                <w:szCs w:val="24"/>
                <w:color w:val="auto"/>
              </w:rPr>
            </w:pPr>
          </w:p>
        </w:tc>
        <w:tc>
          <w:tcPr>
            <w:tcW w:w="10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For</w:t>
            </w:r>
          </w:p>
        </w:tc>
        <w:tc>
          <w:tcPr>
            <w:tcW w:w="140" w:type="dxa"/>
            <w:vAlign w:val="bottom"/>
          </w:tcPr>
          <w:p>
            <w:pPr>
              <w:spacing w:after="0"/>
              <w:rPr>
                <w:sz w:val="24"/>
                <w:szCs w:val="2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Against</w:t>
            </w:r>
          </w:p>
        </w:tc>
        <w:tc>
          <w:tcPr>
            <w:tcW w:w="10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Abstentions</w:t>
            </w: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7"/>
              </w:rPr>
              <w:t>Broker</w:t>
            </w:r>
          </w:p>
        </w:tc>
        <w:tc>
          <w:tcPr>
            <w:tcW w:w="0" w:type="dxa"/>
            <w:vAlign w:val="bottom"/>
          </w:tcPr>
          <w:p>
            <w:pPr>
              <w:spacing w:after="0"/>
              <w:rPr>
                <w:sz w:val="1"/>
                <w:szCs w:val="1"/>
                <w:color w:val="auto"/>
              </w:rPr>
            </w:pPr>
          </w:p>
        </w:tc>
      </w:tr>
      <w:tr>
        <w:trPr>
          <w:trHeight w:val="171"/>
        </w:trPr>
        <w:tc>
          <w:tcPr>
            <w:tcW w:w="594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Non-Votes</w:t>
            </w:r>
          </w:p>
        </w:tc>
        <w:tc>
          <w:tcPr>
            <w:tcW w:w="0" w:type="dxa"/>
            <w:vAlign w:val="bottom"/>
          </w:tcPr>
          <w:p>
            <w:pPr>
              <w:spacing w:after="0"/>
              <w:rPr>
                <w:sz w:val="1"/>
                <w:szCs w:val="1"/>
                <w:color w:val="auto"/>
              </w:rPr>
            </w:pPr>
          </w:p>
        </w:tc>
      </w:tr>
      <w:tr>
        <w:trPr>
          <w:trHeight w:val="202"/>
        </w:trPr>
        <w:tc>
          <w:tcPr>
            <w:tcW w:w="440" w:type="dxa"/>
            <w:vAlign w:val="bottom"/>
          </w:tcPr>
          <w:p>
            <w:pPr>
              <w:spacing w:after="0"/>
              <w:rPr>
                <w:sz w:val="17"/>
                <w:szCs w:val="17"/>
                <w:color w:val="auto"/>
              </w:rPr>
            </w:pPr>
          </w:p>
        </w:tc>
        <w:tc>
          <w:tcPr>
            <w:tcW w:w="550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9"/>
              </w:rPr>
              <w:t>Board proposal to ratify the appointment of Ernst &amp; Young LLP as the</w:t>
            </w:r>
          </w:p>
        </w:tc>
        <w:tc>
          <w:tcPr>
            <w:tcW w:w="3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20"/>
                <w:szCs w:val="20"/>
                <w:color w:val="auto"/>
              </w:rPr>
            </w:pPr>
          </w:p>
        </w:tc>
        <w:tc>
          <w:tcPr>
            <w:tcW w:w="55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company’s independent registered public accounting firm for 2021</w:t>
            </w:r>
          </w:p>
        </w:tc>
        <w:tc>
          <w:tcPr>
            <w:tcW w:w="130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777,010,341</w:t>
            </w:r>
          </w:p>
        </w:tc>
        <w:tc>
          <w:tcPr>
            <w:tcW w:w="100" w:type="dxa"/>
            <w:vAlign w:val="bottom"/>
            <w:shd w:val="clear" w:color="auto" w:fill="CCEEFF"/>
          </w:tcPr>
          <w:p>
            <w:pPr>
              <w:spacing w:after="0"/>
              <w:rPr>
                <w:sz w:val="20"/>
                <w:szCs w:val="20"/>
                <w:color w:val="auto"/>
              </w:rPr>
            </w:pP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42,440,309</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1,538,961</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342"/>
        </w:trPr>
        <w:tc>
          <w:tcPr>
            <w:tcW w:w="5940" w:type="dxa"/>
            <w:vAlign w:val="bottom"/>
            <w:gridSpan w:val="3"/>
            <w:vMerge w:val="restart"/>
          </w:tcPr>
          <w:p>
            <w:pPr>
              <w:ind w:left="440"/>
              <w:spacing w:after="0"/>
              <w:rPr>
                <w:sz w:val="20"/>
                <w:szCs w:val="20"/>
                <w:color w:val="auto"/>
              </w:rPr>
            </w:pPr>
            <w:r>
              <w:rPr>
                <w:rFonts w:ascii="Arial" w:cs="Arial" w:eastAsia="Arial" w:hAnsi="Arial"/>
                <w:sz w:val="14"/>
                <w:szCs w:val="14"/>
                <w:b w:val="1"/>
                <w:bCs w:val="1"/>
                <w:color w:val="auto"/>
              </w:rPr>
              <w:t>Proposal</w:t>
            </w:r>
          </w:p>
        </w:tc>
        <w:tc>
          <w:tcPr>
            <w:tcW w:w="340" w:type="dxa"/>
            <w:vAlign w:val="bottom"/>
          </w:tcPr>
          <w:p>
            <w:pPr>
              <w:spacing w:after="0"/>
              <w:rPr>
                <w:sz w:val="24"/>
                <w:szCs w:val="24"/>
                <w:color w:val="auto"/>
              </w:rPr>
            </w:pPr>
          </w:p>
        </w:tc>
        <w:tc>
          <w:tcPr>
            <w:tcW w:w="1060" w:type="dxa"/>
            <w:vAlign w:val="bottom"/>
            <w:gridSpan w:val="2"/>
            <w:vMerge w:val="restart"/>
          </w:tcPr>
          <w:p>
            <w:pPr>
              <w:ind w:left="260"/>
              <w:spacing w:after="0"/>
              <w:rPr>
                <w:sz w:val="20"/>
                <w:szCs w:val="20"/>
                <w:color w:val="auto"/>
              </w:rPr>
            </w:pPr>
            <w:r>
              <w:rPr>
                <w:rFonts w:ascii="Arial" w:cs="Arial" w:eastAsia="Arial" w:hAnsi="Arial"/>
                <w:sz w:val="14"/>
                <w:szCs w:val="14"/>
                <w:b w:val="1"/>
                <w:bCs w:val="1"/>
                <w:color w:val="auto"/>
              </w:rPr>
              <w:t>For</w:t>
            </w:r>
          </w:p>
        </w:tc>
        <w:tc>
          <w:tcPr>
            <w:tcW w:w="140" w:type="dxa"/>
            <w:vAlign w:val="bottom"/>
          </w:tcPr>
          <w:p>
            <w:pPr>
              <w:spacing w:after="0"/>
              <w:rPr>
                <w:sz w:val="24"/>
                <w:szCs w:val="2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Against</w:t>
            </w:r>
          </w:p>
        </w:tc>
        <w:tc>
          <w:tcPr>
            <w:tcW w:w="10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Abstentions</w:t>
            </w: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7"/>
              </w:rPr>
              <w:t>Broker</w:t>
            </w:r>
          </w:p>
        </w:tc>
        <w:tc>
          <w:tcPr>
            <w:tcW w:w="0" w:type="dxa"/>
            <w:vAlign w:val="bottom"/>
          </w:tcPr>
          <w:p>
            <w:pPr>
              <w:spacing w:after="0"/>
              <w:rPr>
                <w:sz w:val="1"/>
                <w:szCs w:val="1"/>
                <w:color w:val="auto"/>
              </w:rPr>
            </w:pPr>
          </w:p>
        </w:tc>
      </w:tr>
      <w:tr>
        <w:trPr>
          <w:trHeight w:val="171"/>
        </w:trPr>
        <w:tc>
          <w:tcPr>
            <w:tcW w:w="5940" w:type="dxa"/>
            <w:vAlign w:val="bottom"/>
            <w:gridSpan w:val="3"/>
            <w:vMerge w:val="continue"/>
          </w:tcPr>
          <w:p>
            <w:pPr>
              <w:spacing w:after="0"/>
              <w:rPr>
                <w:sz w:val="14"/>
                <w:szCs w:val="14"/>
                <w:color w:val="auto"/>
              </w:rPr>
            </w:pPr>
          </w:p>
        </w:tc>
        <w:tc>
          <w:tcPr>
            <w:tcW w:w="340" w:type="dxa"/>
            <w:vAlign w:val="bottom"/>
          </w:tcPr>
          <w:p>
            <w:pPr>
              <w:spacing w:after="0"/>
              <w:rPr>
                <w:sz w:val="14"/>
                <w:szCs w:val="14"/>
                <w:color w:val="auto"/>
              </w:rPr>
            </w:pPr>
          </w:p>
        </w:tc>
        <w:tc>
          <w:tcPr>
            <w:tcW w:w="106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92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1"/>
              </w:rPr>
              <w:t>Non-Votes</w:t>
            </w:r>
          </w:p>
        </w:tc>
        <w:tc>
          <w:tcPr>
            <w:tcW w:w="0" w:type="dxa"/>
            <w:vAlign w:val="bottom"/>
          </w:tcPr>
          <w:p>
            <w:pPr>
              <w:spacing w:after="0"/>
              <w:rPr>
                <w:sz w:val="1"/>
                <w:szCs w:val="1"/>
                <w:color w:val="auto"/>
              </w:rPr>
            </w:pPr>
          </w:p>
        </w:tc>
      </w:tr>
      <w:tr>
        <w:trPr>
          <w:trHeight w:val="216"/>
        </w:trPr>
        <w:tc>
          <w:tcPr>
            <w:tcW w:w="440" w:type="dxa"/>
            <w:vAlign w:val="bottom"/>
          </w:tcPr>
          <w:p>
            <w:pPr>
              <w:spacing w:after="0"/>
              <w:rPr>
                <w:sz w:val="18"/>
                <w:szCs w:val="18"/>
                <w:color w:val="auto"/>
              </w:rPr>
            </w:pPr>
          </w:p>
        </w:tc>
        <w:tc>
          <w:tcPr>
            <w:tcW w:w="55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Stockholder proposal to permit shareholder action by written consent</w:t>
            </w:r>
          </w:p>
        </w:tc>
        <w:tc>
          <w:tcPr>
            <w:tcW w:w="1300" w:type="dxa"/>
            <w:vAlign w:val="bottom"/>
            <w:gridSpan w:val="2"/>
            <w:shd w:val="clear" w:color="auto" w:fill="CCEEFF"/>
          </w:tcPr>
          <w:p>
            <w:pPr>
              <w:jc w:val="right"/>
              <w:ind w:right="24"/>
              <w:spacing w:after="0"/>
              <w:rPr>
                <w:sz w:val="20"/>
                <w:szCs w:val="20"/>
                <w:color w:val="auto"/>
              </w:rPr>
            </w:pPr>
            <w:r>
              <w:rPr>
                <w:rFonts w:ascii="Arial" w:cs="Arial" w:eastAsia="Arial" w:hAnsi="Arial"/>
                <w:sz w:val="18"/>
                <w:szCs w:val="18"/>
                <w:color w:val="auto"/>
              </w:rPr>
              <w:t>582,669,072</w:t>
            </w:r>
          </w:p>
        </w:tc>
        <w:tc>
          <w:tcPr>
            <w:tcW w:w="10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w w:val="99"/>
              </w:rPr>
              <w:t>164,741,415</w:t>
            </w: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7"/>
              </w:rPr>
              <w:t>3,405,012</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5"/>
              </w:rPr>
              <w:t>70,174,112</w:t>
            </w:r>
          </w:p>
        </w:tc>
        <w:tc>
          <w:tcPr>
            <w:tcW w:w="0" w:type="dxa"/>
            <w:vAlign w:val="bottom"/>
          </w:tcPr>
          <w:p>
            <w:pPr>
              <w:spacing w:after="0"/>
              <w:rPr>
                <w:sz w:val="1"/>
                <w:szCs w:val="1"/>
                <w:color w:val="auto"/>
              </w:rPr>
            </w:pPr>
          </w:p>
        </w:tc>
      </w:tr>
    </w:tbl>
    <w:p>
      <w:pPr>
        <w:sectPr>
          <w:pgSz w:w="11900" w:h="16838" w:orient="portrait"/>
          <w:cols w:equalWidth="0" w:num="1">
            <w:col w:w="10720"/>
          </w:cols>
          <w:pgMar w:left="440" w:top="301" w:right="739" w:bottom="1440" w:gutter="0" w:footer="0" w:header="0"/>
        </w:sectPr>
      </w:pPr>
    </w:p>
    <w:bookmarkStart w:id="2" w:name="page3"/>
    <w:bookmarkEnd w:id="2"/>
    <w:p>
      <w:pPr>
        <w:ind w:left="49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TEXAS INSTRUMENTS INCORPORATED</w:t>
      </w:r>
    </w:p>
    <w:p>
      <w:pPr>
        <w:spacing w:after="0" w:line="225" w:lineRule="exact"/>
        <w:rPr>
          <w:sz w:val="20"/>
          <w:szCs w:val="20"/>
          <w:color w:val="auto"/>
        </w:rPr>
      </w:pPr>
    </w:p>
    <w:p>
      <w:pPr>
        <w:spacing w:after="0"/>
        <w:tabs>
          <w:tab w:leader="none" w:pos="5600" w:val="left"/>
          <w:tab w:leader="none" w:pos="6040" w:val="left"/>
        </w:tabs>
        <w:rPr>
          <w:sz w:val="20"/>
          <w:szCs w:val="20"/>
          <w:color w:val="auto"/>
        </w:rPr>
      </w:pPr>
      <w:r>
        <w:rPr>
          <w:rFonts w:ascii="Arial" w:cs="Arial" w:eastAsia="Arial" w:hAnsi="Arial"/>
          <w:sz w:val="18"/>
          <w:szCs w:val="18"/>
          <w:color w:val="auto"/>
        </w:rPr>
        <w:t>Date: April 28, 2021</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Cynthia Hoff Trochu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14605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Cynthia Hoff Trochu</w:t>
      </w:r>
    </w:p>
    <w:p>
      <w:pPr>
        <w:spacing w:after="0" w:line="2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Senior Vice President, Secretary and General Counsel</w:t>
      </w:r>
    </w:p>
    <w:sectPr>
      <w:pgSz w:w="11900" w:h="16838" w:orient="portrait"/>
      <w:cols w:equalWidth="0" w:num="1">
        <w:col w:w="10320"/>
      </w:cols>
      <w:pgMar w:left="440" w:top="301" w:right="11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2021-04-28T15:16:29Z</dcterms:created>
  <dcterms:modified xsi:type="dcterms:W3CDTF">2021-04-28T15:16:29Z</dcterms:modified>
</cp:coreProperties>
</file>