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186690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DATE OF REPORT (DATE OF EARLIEST EVENT REPORTED): January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gridSpan w:val="2"/>
          </w:tcPr>
          <w:p>
            <w:pPr>
              <w:ind w:left="2220"/>
              <w:spacing w:after="0"/>
              <w:rPr>
                <w:sz w:val="20"/>
                <w:szCs w:val="20"/>
                <w:color w:val="auto"/>
              </w:rPr>
            </w:pPr>
            <w:r>
              <w:rPr>
                <w:rFonts w:ascii="Arial" w:cs="Arial" w:eastAsia="Arial" w:hAnsi="Arial"/>
                <w:sz w:val="18"/>
                <w:szCs w:val="18"/>
                <w:b w:val="1"/>
                <w:bCs w:val="1"/>
                <w:color w:val="auto"/>
                <w:w w:val="88"/>
              </w:rPr>
              <w:t>001-03761</w:t>
            </w:r>
          </w:p>
        </w:tc>
        <w:tc>
          <w:tcPr>
            <w:tcW w:w="224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100" w:type="dxa"/>
            <w:vAlign w:val="bottom"/>
          </w:tcPr>
          <w:p>
            <w:pPr>
              <w:spacing w:after="0"/>
              <w:rPr>
                <w:sz w:val="12"/>
                <w:szCs w:val="12"/>
                <w:color w:val="auto"/>
              </w:rPr>
            </w:pPr>
          </w:p>
        </w:tc>
        <w:tc>
          <w:tcPr>
            <w:tcW w:w="31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2100" w:type="dxa"/>
            <w:vAlign w:val="bottom"/>
          </w:tcPr>
          <w:p>
            <w:pPr>
              <w:spacing w:after="0"/>
              <w:rPr>
                <w:sz w:val="16"/>
                <w:szCs w:val="16"/>
                <w:color w:val="auto"/>
              </w:rPr>
            </w:pPr>
          </w:p>
        </w:tc>
        <w:tc>
          <w:tcPr>
            <w:tcW w:w="3140" w:type="dxa"/>
            <w:vAlign w:val="bottom"/>
            <w:gridSpan w:val="2"/>
          </w:tcPr>
          <w:p>
            <w:pPr>
              <w:ind w:left="1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153670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645160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652" w:right="799" w:bottom="1440" w:gutter="0" w:footer="0" w:header="0"/>
        </w:sectPr>
      </w:pPr>
    </w:p>
    <w:bookmarkStart w:id="1" w:name="page2"/>
    <w:bookmarkEnd w:id="1"/>
    <w:p>
      <w:pPr>
        <w:ind w:right="38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19, 2017, the Registrant’s Board of Directors elected Brian T. Crutcher to the position of Chief Operating Officer, effective immediately. Mr. Crutcher, 44, has been executive vice president responsible for all business and sales operations, as well as for Kilby Labs and information technology. As COO, he adds oversight of TI’s global technology and manufacturing operations to his current duties. Mr. Crutcher has served in various positions with the Registrant for 21 years, including Vice President. In connection with his appointment, Mr. Crutcher will receive (i) an annual base salary of $875,000, and (ii) equity compensation totaling $7.5 million, allocated equally between restricted stock units and stock options. The remainder of Mr. Crutcher’s compensation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020"/>
              <w:spacing w:after="0"/>
              <w:rPr>
                <w:sz w:val="20"/>
                <w:szCs w:val="20"/>
                <w:color w:val="auto"/>
              </w:rPr>
            </w:pPr>
            <w:r>
              <w:rPr>
                <w:rFonts w:ascii="Arial" w:cs="Arial" w:eastAsia="Arial" w:hAnsi="Arial"/>
                <w:sz w:val="18"/>
                <w:szCs w:val="18"/>
                <w:color w:val="auto"/>
              </w:rPr>
              <w:t>TEXAS INSTRUMENTS INCORPORATED</w:t>
            </w: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January 24, 2017</w:t>
            </w:r>
          </w:p>
        </w:tc>
        <w:tc>
          <w:tcPr>
            <w:tcW w:w="7740" w:type="dxa"/>
            <w:vAlign w:val="bottom"/>
            <w:gridSpan w:val="2"/>
          </w:tcPr>
          <w:p>
            <w:pPr>
              <w:ind w:left="2020"/>
              <w:spacing w:after="0"/>
              <w:rPr>
                <w:sz w:val="20"/>
                <w:szCs w:val="20"/>
                <w:color w:val="auto"/>
              </w:rPr>
            </w:pPr>
            <w:r>
              <w:rPr>
                <w:rFonts w:ascii="Arial" w:cs="Arial" w:eastAsia="Arial" w:hAnsi="Arial"/>
                <w:sz w:val="18"/>
                <w:szCs w:val="18"/>
                <w:color w:val="auto"/>
              </w:rPr>
              <w:t>By:   /s/ Cynthia Hoff Trochu</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16"/>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Secretary and General Counsel</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2019-12-05T07:21:35Z</dcterms:created>
  <dcterms:modified xsi:type="dcterms:W3CDTF">2019-12-05T07:21:35Z</dcterms:modified>
</cp:coreProperties>
</file>