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4013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40131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RITCHIE KEVIN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2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01/27/2011</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31"/>
        <w:spacing w:after="0"/>
        <w:rPr>
          <w:sz w:val="20"/>
          <w:szCs w:val="20"/>
          <w:color w:val="auto"/>
        </w:rPr>
      </w:pPr>
      <w:r>
        <w:rPr>
          <w:rFonts w:ascii="Arial" w:cs="Arial" w:eastAsia="Arial" w:hAnsi="Arial"/>
          <w:sz w:val="17"/>
          <w:szCs w:val="17"/>
          <w:color w:val="0000FF"/>
        </w:rPr>
        <w:t>Sr. Vice President</w:t>
      </w:r>
    </w:p>
    <w:p>
      <w:pPr>
        <w:spacing w:after="0" w:line="324" w:lineRule="exact"/>
        <w:rPr>
          <w:sz w:val="24"/>
          <w:szCs w:val="24"/>
          <w:color w:val="auto"/>
        </w:rPr>
      </w:pPr>
    </w:p>
    <w:p>
      <w:pPr>
        <w:sectPr>
          <w:pgSz w:w="11900" w:h="16838" w:orient="portrait"/>
          <w:cols w:equalWidth="0" w:num="3">
            <w:col w:w="3340" w:space="720"/>
            <w:col w:w="3300" w:space="689"/>
            <w:col w:w="3471"/>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80"/>
              <w:spacing w:after="0" w:line="130"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spacing w:after="0"/>
              <w:rPr>
                <w:sz w:val="11"/>
                <w:szCs w:val="11"/>
                <w:color w:val="auto"/>
              </w:rPr>
            </w:pPr>
          </w:p>
        </w:tc>
        <w:tc>
          <w:tcPr>
            <w:tcW w:w="9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8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ind w:left="980"/>
              <w:spacing w:after="0"/>
              <w:rPr>
                <w:sz w:val="20"/>
                <w:szCs w:val="20"/>
                <w:color w:val="auto"/>
              </w:rPr>
            </w:pPr>
            <w:r>
              <w:rPr>
                <w:rFonts w:ascii="Arial" w:cs="Arial" w:eastAsia="Arial" w:hAnsi="Arial"/>
                <w:sz w:val="17"/>
                <w:szCs w:val="17"/>
                <w:color w:val="0000FF"/>
              </w:rPr>
              <w:t>01/27/2011</w:t>
            </w: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92"/>
              </w:rPr>
              <w:t>54,167</w:t>
            </w:r>
          </w:p>
        </w:tc>
        <w:tc>
          <w:tcPr>
            <w:tcW w:w="5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306,785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3,050.43</w:t>
            </w:r>
            <w:r>
              <w:rPr>
                <w:rFonts w:ascii="Arial" w:cs="Arial" w:eastAsia="Arial" w:hAnsi="Arial"/>
                <w:sz w:val="22"/>
                <w:szCs w:val="22"/>
                <w:color w:val="008000"/>
                <w:w w:val="85"/>
                <w:vertAlign w:val="superscript"/>
              </w:rPr>
              <w:t>(2)</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5,196.5</w:t>
            </w:r>
            <w:r>
              <w:rPr>
                <w:rFonts w:ascii="Arial" w:cs="Arial" w:eastAsia="Arial" w:hAnsi="Arial"/>
                <w:sz w:val="22"/>
                <w:szCs w:val="22"/>
                <w:color w:val="008000"/>
                <w:w w:val="85"/>
                <w:vertAlign w:val="superscript"/>
              </w:rPr>
              <w:t>(3)</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gridSpan w:val="5"/>
          </w:tcPr>
          <w:p>
            <w:pPr>
              <w:spacing w:after="0"/>
              <w:rPr>
                <w:sz w:val="8"/>
                <w:szCs w:val="8"/>
                <w:color w:val="auto"/>
              </w:rPr>
            </w:pPr>
          </w:p>
        </w:tc>
        <w:tc>
          <w:tcPr>
            <w:tcW w:w="2780" w:type="dxa"/>
            <w:vAlign w:val="bottom"/>
            <w:tcBorders>
              <w:bottom w:val="single" w:sz="8" w:color="2C2C2C"/>
            </w:tcBorders>
            <w:gridSpan w:val="7"/>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20" w:type="dxa"/>
            <w:vAlign w:val="bottom"/>
            <w:gridSpan w:val="12"/>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34.63</w:t>
            </w:r>
          </w:p>
        </w:tc>
        <w:tc>
          <w:tcPr>
            <w:tcW w:w="1100" w:type="dxa"/>
            <w:vAlign w:val="bottom"/>
          </w:tcPr>
          <w:p>
            <w:pPr>
              <w:jc w:val="right"/>
              <w:ind w:right="179"/>
              <w:spacing w:after="0"/>
              <w:rPr>
                <w:sz w:val="20"/>
                <w:szCs w:val="20"/>
                <w:color w:val="auto"/>
              </w:rPr>
            </w:pPr>
            <w:r>
              <w:rPr>
                <w:rFonts w:ascii="Arial" w:cs="Arial" w:eastAsia="Arial" w:hAnsi="Arial"/>
                <w:sz w:val="13"/>
                <w:szCs w:val="13"/>
                <w:color w:val="0000FF"/>
              </w:rPr>
              <w:t>01/27/2011</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ind w:left="140"/>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162,500</w:t>
            </w:r>
          </w:p>
        </w:tc>
        <w:tc>
          <w:tcPr>
            <w:tcW w:w="30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(4)</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01/27/2021</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162,500</w:t>
            </w:r>
          </w:p>
        </w:tc>
        <w:tc>
          <w:tcPr>
            <w:tcW w:w="76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162,500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ind w:left="4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2009 Long Term Incentive Plan.</w:t>
      </w:r>
    </w:p>
    <w:p>
      <w:pPr>
        <w:spacing w:after="0" w:line="48" w:lineRule="exact"/>
        <w:rPr>
          <w:rFonts w:ascii="Arial" w:cs="Arial" w:eastAsia="Arial" w:hAnsi="Arial"/>
          <w:sz w:val="13"/>
          <w:szCs w:val="13"/>
          <w:color w:val="008000"/>
        </w:rPr>
      </w:pPr>
    </w:p>
    <w:p>
      <w:pPr>
        <w:ind w:left="40" w:right="54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12-31-2010. (Interests in this account are denominated in units. Consequently, share amount shown is an estimate.) This statement does not include changes in beneficial ownership of shares held in this account occurring after 12-31-2010 that are eligible for deferred reporting on Form 5.</w:t>
      </w:r>
    </w:p>
    <w:p>
      <w:pPr>
        <w:spacing w:after="0" w:line="21" w:lineRule="exact"/>
        <w:rPr>
          <w:rFonts w:ascii="Arial" w:cs="Arial" w:eastAsia="Arial" w:hAnsi="Arial"/>
          <w:sz w:val="13"/>
          <w:szCs w:val="13"/>
          <w:color w:val="008000"/>
        </w:rPr>
      </w:pPr>
    </w:p>
    <w:p>
      <w:pPr>
        <w:ind w:left="40" w:right="2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12-31-2010. (Interests in this account are denominated in units. Consequently, share amount shown is an estimate.) This statement does not include changes in beneficial ownership of shares held in such account occurring after 12-31-2010 that are eligible for deferred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27, 2012.</w:t>
      </w:r>
    </w:p>
    <w:p>
      <w:pPr>
        <w:ind w:left="6860"/>
        <w:spacing w:after="0" w:line="185" w:lineRule="auto"/>
        <w:rPr>
          <w:sz w:val="20"/>
          <w:szCs w:val="20"/>
          <w:color w:val="auto"/>
        </w:rPr>
      </w:pPr>
      <w:r>
        <w:rPr>
          <w:rFonts w:ascii="Arial" w:cs="Arial" w:eastAsia="Arial" w:hAnsi="Arial"/>
          <w:sz w:val="17"/>
          <w:szCs w:val="17"/>
          <w:color w:val="0000FF"/>
        </w:rPr>
        <w:t xml:space="preserve">/s/ Daniel M. Drory, Attorney In </w:t>
      </w:r>
      <w:r>
        <w:rPr>
          <w:rFonts w:ascii="Arial" w:cs="Arial" w:eastAsia="Arial" w:hAnsi="Arial"/>
          <w:sz w:val="34"/>
          <w:szCs w:val="34"/>
          <w:color w:val="0000FF"/>
          <w:vertAlign w:val="subscript"/>
        </w:rPr>
        <w:t>01/31/2011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-27940</wp:posOffset>
            </wp:positionV>
            <wp:extent cx="1415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541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-17780</wp:posOffset>
            </wp:positionV>
            <wp:extent cx="1879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96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-85090</wp:posOffset>
            </wp:positionV>
            <wp:extent cx="4933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3395" cy="8255"/>
                    </a:xfrm>
                    <a:prstGeom prst="rect">
                      <a:avLst/>
                    </a:prstGeom>
                    <a:noFill/>
                  </pic:spPr>
                </pic:pic>
              </a:graphicData>
            </a:graphic>
          </wp:anchor>
        </w:drawing>
      </w:r>
    </w:p>
    <w:p>
      <w:pPr>
        <w:spacing w:after="0" w:line="43"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88431"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2019-12-17T00:48:27Z</dcterms:created>
  <dcterms:modified xsi:type="dcterms:W3CDTF">2019-12-17T00:48:27Z</dcterms:modified>
</cp:coreProperties>
</file>