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QUARTERLY REPORT UNDER SECTION 13 or 15(d)</w:t>
      </w:r>
    </w:p>
    <w:p>
      <w:pPr>
        <w:jc w:val="center"/>
        <w:ind w:right="241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For Quarter Ended March 31, 1994</w:t>
      </w:r>
      <w:r>
        <w:rPr>
          <w:sz w:val="20"/>
          <w:szCs w:val="20"/>
          <w:color w:val="auto"/>
        </w:rPr>
        <w:tab/>
      </w:r>
      <w:r>
        <w:rPr>
          <w:rFonts w:ascii="Courier New" w:cs="Courier New" w:eastAsia="Courier New" w:hAnsi="Courier New"/>
          <w:sz w:val="16"/>
          <w:szCs w:val="16"/>
          <w:color w:val="auto"/>
        </w:rPr>
        <w:t>Commission File Number 1-3761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75-0289970</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2980" w:space="720"/>
            <w:col w:w="6519"/>
          </w:cols>
          <w:pgMar w:left="240" w:top="649"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13500 North Central Expressway, P.O. Box 655474, Dallas, Texas</w:t>
      </w:r>
      <w:r>
        <w:rPr>
          <w:sz w:val="20"/>
          <w:szCs w:val="20"/>
          <w:color w:val="auto"/>
        </w:rPr>
        <w:tab/>
      </w:r>
      <w:r>
        <w:rPr>
          <w:rFonts w:ascii="Courier New" w:cs="Courier New" w:eastAsia="Courier New" w:hAnsi="Courier New"/>
          <w:sz w:val="16"/>
          <w:szCs w:val="16"/>
          <w:color w:val="auto"/>
        </w:rPr>
        <w:t>75265-5474</w:t>
      </w:r>
    </w:p>
    <w:p>
      <w:pPr>
        <w:sectPr>
          <w:pgSz w:w="11900" w:h="16838" w:orient="portrait"/>
          <w:cols w:equalWidth="0" w:num="1">
            <w:col w:w="10219"/>
          </w:cols>
          <w:pgMar w:left="240" w:top="649" w:right="1440"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Registrant's telephone number, including area code 214-995-3773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pacing w:after="0"/>
        <w:tabs>
          <w:tab w:leader="none" w:pos="5040" w:val="left"/>
          <w:tab w:leader="none" w:pos="5680" w:val="left"/>
          <w:tab w:leader="none" w:pos="6200" w:val="left"/>
        </w:tabs>
        <w:rPr>
          <w:sz w:val="20"/>
          <w:szCs w:val="20"/>
          <w:color w:val="auto"/>
        </w:rPr>
      </w:pPr>
      <w:r>
        <w:rPr>
          <w:rFonts w:ascii="Courier New" w:cs="Courier New" w:eastAsia="Courier New" w:hAnsi="Courier New"/>
          <w:sz w:val="18"/>
          <w:szCs w:val="18"/>
          <w:color w:val="auto"/>
        </w:rPr>
        <w:t>such filing requirements for the past 90 days.</w:t>
        <w:tab/>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91,710,064</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of Registrant's common stock outstanding as of March 31, 1994</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left="2320"/>
        <w:spacing w:after="0"/>
        <w:rPr>
          <w:sz w:val="20"/>
          <w:szCs w:val="20"/>
          <w:color w:val="auto"/>
        </w:rPr>
      </w:pPr>
      <w:r>
        <w:rPr>
          <w:rFonts w:ascii="Courier New" w:cs="Courier New" w:eastAsia="Courier New" w:hAnsi="Courier New"/>
          <w:sz w:val="18"/>
          <w:szCs w:val="18"/>
          <w:color w:val="auto"/>
        </w:rPr>
        <w:t>PART I - 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7" w:lineRule="exact"/>
        <w:rPr>
          <w:sz w:val="20"/>
          <w:szCs w:val="20"/>
          <w:color w:val="auto"/>
        </w:rPr>
      </w:pPr>
    </w:p>
    <w:p>
      <w:pPr>
        <w:jc w:val="center"/>
        <w:ind w:left="580" w:right="1460"/>
        <w:spacing w:after="0" w:line="236" w:lineRule="auto"/>
        <w:rPr>
          <w:sz w:val="20"/>
          <w:szCs w:val="20"/>
          <w:color w:val="auto"/>
        </w:rPr>
      </w:pPr>
      <w:r>
        <w:rPr>
          <w:rFonts w:ascii="Courier New" w:cs="Courier New" w:eastAsia="Courier New" w:hAnsi="Courier New"/>
          <w:sz w:val="18"/>
          <w:szCs w:val="18"/>
          <w:color w:val="auto"/>
        </w:rPr>
        <w:t>TEXAS INSTRUMENTS INCORPORATED AND SUBSIDIARIES Consolidated Financial Statements (In millions of dollars, except per-share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236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For Three Months Ended</w:t>
            </w:r>
          </w:p>
        </w:tc>
      </w:tr>
      <w:tr>
        <w:trPr>
          <w:trHeight w:val="203"/>
        </w:trPr>
        <w:tc>
          <w:tcPr>
            <w:tcW w:w="6280" w:type="dxa"/>
            <w:vAlign w:val="bottom"/>
          </w:tcPr>
          <w:p>
            <w:pPr>
              <w:spacing w:after="0"/>
              <w:rPr>
                <w:sz w:val="17"/>
                <w:szCs w:val="17"/>
                <w:color w:val="auto"/>
              </w:rPr>
            </w:pPr>
          </w:p>
        </w:tc>
        <w:tc>
          <w:tcPr>
            <w:tcW w:w="2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6280" w:type="dxa"/>
            <w:vAlign w:val="bottom"/>
          </w:tcPr>
          <w:p>
            <w:pPr>
              <w:spacing w:after="0"/>
              <w:rPr>
                <w:sz w:val="17"/>
                <w:szCs w:val="17"/>
                <w:color w:val="auto"/>
              </w:rPr>
            </w:pPr>
          </w:p>
        </w:tc>
        <w:tc>
          <w:tcPr>
            <w:tcW w:w="1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Mar. 31</w:t>
            </w: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Mar. 31</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460" w:type="dxa"/>
            <w:vAlign w:val="bottom"/>
          </w:tcPr>
          <w:p>
            <w:pPr>
              <w:spacing w:after="0"/>
              <w:rPr>
                <w:sz w:val="17"/>
                <w:szCs w:val="17"/>
                <w:color w:val="auto"/>
              </w:rPr>
            </w:pPr>
          </w:p>
        </w:tc>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26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60" w:type="dxa"/>
            <w:vAlign w:val="bottom"/>
          </w:tcPr>
          <w:p>
            <w:pPr>
              <w:spacing w:after="0"/>
              <w:rPr>
                <w:sz w:val="17"/>
                <w:szCs w:val="17"/>
                <w:color w:val="auto"/>
              </w:rPr>
            </w:pPr>
          </w:p>
        </w:tc>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w w:val="98"/>
              </w:rPr>
              <w:t>Net revenues...............................................</w:t>
            </w:r>
          </w:p>
        </w:tc>
        <w:tc>
          <w:tcPr>
            <w:tcW w:w="13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$ 2,449</w:t>
            </w:r>
          </w:p>
        </w:tc>
        <w:tc>
          <w:tcPr>
            <w:tcW w:w="10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$ 1,884</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Operating costs and expenses: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Cost of revenues.........................................</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1,787</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1,407</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administrative and marketing....................</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379</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283</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Employees' retirement and profit sharing plans...........</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6280" w:type="dxa"/>
            <w:vAlign w:val="bottom"/>
          </w:tcPr>
          <w:p>
            <w:pPr>
              <w:spacing w:after="0"/>
              <w:rPr>
                <w:sz w:val="17"/>
                <w:szCs w:val="17"/>
                <w:color w:val="auto"/>
              </w:rPr>
            </w:pP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2,240</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1,744</w:t>
            </w:r>
          </w:p>
        </w:tc>
      </w:tr>
      <w:tr>
        <w:trPr>
          <w:trHeight w:val="203"/>
        </w:trPr>
        <w:tc>
          <w:tcPr>
            <w:tcW w:w="6280" w:type="dxa"/>
            <w:vAlign w:val="bottom"/>
          </w:tcPr>
          <w:p>
            <w:pPr>
              <w:spacing w:after="0"/>
              <w:rPr>
                <w:sz w:val="17"/>
                <w:szCs w:val="17"/>
                <w:color w:val="auto"/>
              </w:rPr>
            </w:pP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Profit from operations.....................................</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209</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income............................................</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(expense) net.................................</w:t>
            </w:r>
          </w:p>
        </w:tc>
        <w:tc>
          <w:tcPr>
            <w:tcW w:w="4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on loans..........................................</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6280" w:type="dxa"/>
            <w:vAlign w:val="bottom"/>
          </w:tcPr>
          <w:p>
            <w:pPr>
              <w:spacing w:after="0"/>
              <w:rPr>
                <w:sz w:val="17"/>
                <w:szCs w:val="17"/>
                <w:color w:val="auto"/>
              </w:rPr>
            </w:pP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for income taxes and</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cumulative effect of accounting changes..................</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6280" w:type="dxa"/>
            <w:vAlign w:val="bottom"/>
          </w:tcPr>
          <w:p>
            <w:pPr>
              <w:spacing w:after="0"/>
              <w:rPr>
                <w:sz w:val="17"/>
                <w:szCs w:val="17"/>
                <w:color w:val="auto"/>
              </w:rPr>
            </w:pP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before cumulative effect of accounting changes......</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Cumulative effect of accounting changes....................</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6280" w:type="dxa"/>
            <w:vAlign w:val="bottom"/>
          </w:tcPr>
          <w:p>
            <w:pPr>
              <w:spacing w:after="0"/>
              <w:rPr>
                <w:sz w:val="17"/>
                <w:szCs w:val="17"/>
                <w:color w:val="auto"/>
              </w:rPr>
            </w:pP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6280" w:type="dxa"/>
            <w:vAlign w:val="bottom"/>
          </w:tcPr>
          <w:p>
            <w:pPr>
              <w:spacing w:after="0"/>
              <w:rPr>
                <w:sz w:val="17"/>
                <w:szCs w:val="17"/>
                <w:color w:val="auto"/>
              </w:rPr>
            </w:pP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Earnings per common and common equivalent share:</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before cumulative effect of accounting changes....</w:t>
            </w:r>
          </w:p>
        </w:tc>
        <w:tc>
          <w:tcPr>
            <w:tcW w:w="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1.41</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0.89</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Cumulative effect of accounting changes..................</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6280" w:type="dxa"/>
            <w:vAlign w:val="bottom"/>
          </w:tcPr>
          <w:p>
            <w:pPr>
              <w:spacing w:after="0"/>
              <w:rPr>
                <w:sz w:val="17"/>
                <w:szCs w:val="17"/>
                <w:color w:val="auto"/>
              </w:rPr>
            </w:pP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w:t>
            </w:r>
          </w:p>
        </w:tc>
        <w:tc>
          <w:tcPr>
            <w:tcW w:w="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1.41</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0.85</w:t>
            </w:r>
          </w:p>
        </w:tc>
      </w:tr>
      <w:tr>
        <w:trPr>
          <w:trHeight w:val="203"/>
        </w:trPr>
        <w:tc>
          <w:tcPr>
            <w:tcW w:w="6280" w:type="dxa"/>
            <w:vAlign w:val="bottom"/>
          </w:tcPr>
          <w:p>
            <w:pPr>
              <w:spacing w:after="0"/>
              <w:rPr>
                <w:sz w:val="17"/>
                <w:szCs w:val="17"/>
                <w:color w:val="auto"/>
              </w:rPr>
            </w:pP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Cash dividends declared per share of common stock..........</w:t>
            </w:r>
          </w:p>
        </w:tc>
        <w:tc>
          <w:tcPr>
            <w:tcW w:w="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0.18</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0.18</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Cash Flows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cash provided by operating activities..................</w:t>
            </w:r>
          </w:p>
        </w:tc>
        <w:tc>
          <w:tcPr>
            <w:tcW w:w="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413</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Additions to property, plant and equipment...............</w:t>
            </w:r>
          </w:p>
        </w:tc>
        <w:tc>
          <w:tcPr>
            <w:tcW w:w="4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(205)</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4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Sales and maturities of short-term investments...........</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466</w:t>
            </w:r>
          </w:p>
        </w:tc>
      </w:tr>
      <w:tr>
        <w:trPr>
          <w:trHeight w:val="203"/>
        </w:trPr>
        <w:tc>
          <w:tcPr>
            <w:tcW w:w="6280" w:type="dxa"/>
            <w:vAlign w:val="bottom"/>
          </w:tcPr>
          <w:p>
            <w:pPr>
              <w:spacing w:after="0"/>
              <w:rPr>
                <w:sz w:val="17"/>
                <w:szCs w:val="17"/>
                <w:color w:val="auto"/>
              </w:rPr>
            </w:pP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cash used in investing activities......................</w:t>
            </w:r>
          </w:p>
        </w:tc>
        <w:tc>
          <w:tcPr>
            <w:tcW w:w="4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(334)</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Dividends paid on common and preferred stock.............</w:t>
            </w:r>
          </w:p>
        </w:tc>
        <w:tc>
          <w:tcPr>
            <w:tcW w:w="4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Sales and other common stock transactions................</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6280" w:type="dxa"/>
            <w:vAlign w:val="bottom"/>
          </w:tcPr>
          <w:p>
            <w:pPr>
              <w:spacing w:after="0"/>
              <w:rPr>
                <w:sz w:val="17"/>
                <w:szCs w:val="17"/>
                <w:color w:val="auto"/>
              </w:rPr>
            </w:pP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cash provided by (used in) financing activities........</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w:t>
            </w:r>
          </w:p>
        </w:tc>
        <w:tc>
          <w:tcPr>
            <w:tcW w:w="2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405"/>
        </w:trPr>
        <w:tc>
          <w:tcPr>
            <w:tcW w:w="6280" w:type="dxa"/>
            <w:vAlign w:val="bottom"/>
          </w:tcPr>
          <w:p>
            <w:pPr>
              <w:jc w:val="right"/>
              <w:spacing w:after="0"/>
              <w:rPr>
                <w:sz w:val="20"/>
                <w:szCs w:val="20"/>
                <w:color w:val="auto"/>
              </w:rPr>
            </w:pPr>
            <w:r>
              <w:rPr>
                <w:rFonts w:ascii="Courier New" w:cs="Courier New" w:eastAsia="Courier New" w:hAnsi="Courier New"/>
                <w:sz w:val="18"/>
                <w:szCs w:val="18"/>
                <w:color w:val="auto"/>
                <w:w w:val="97"/>
              </w:rPr>
              <w:t>Effect of exchange rate changes on cash....................</w:t>
            </w:r>
          </w:p>
        </w:tc>
        <w:tc>
          <w:tcPr>
            <w:tcW w:w="460" w:type="dxa"/>
            <w:vAlign w:val="bottom"/>
          </w:tcPr>
          <w:p>
            <w:pPr>
              <w:spacing w:after="0"/>
              <w:rPr>
                <w:sz w:val="24"/>
                <w:szCs w:val="24"/>
                <w:color w:val="auto"/>
              </w:rPr>
            </w:pPr>
          </w:p>
        </w:tc>
        <w:tc>
          <w:tcPr>
            <w:tcW w:w="8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w:t>
            </w:r>
          </w:p>
        </w:tc>
      </w:tr>
      <w:tr>
        <w:trPr>
          <w:trHeight w:val="203"/>
        </w:trPr>
        <w:tc>
          <w:tcPr>
            <w:tcW w:w="6280" w:type="dxa"/>
            <w:vAlign w:val="bottom"/>
          </w:tcPr>
          <w:p>
            <w:pPr>
              <w:spacing w:after="0"/>
              <w:rPr>
                <w:sz w:val="17"/>
                <w:szCs w:val="17"/>
                <w:color w:val="auto"/>
              </w:rPr>
            </w:pP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increase in cash and cash equivalents..................</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Cash and cash equivalents, January 1.......................</w:t>
            </w:r>
          </w:p>
        </w:tc>
        <w:tc>
          <w:tcPr>
            <w:tcW w:w="4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404</w:t>
            </w:r>
          </w:p>
        </w:tc>
        <w:tc>
          <w:tcPr>
            <w:tcW w:w="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356</w:t>
            </w:r>
          </w:p>
        </w:tc>
      </w:tr>
      <w:tr>
        <w:trPr>
          <w:trHeight w:val="203"/>
        </w:trPr>
        <w:tc>
          <w:tcPr>
            <w:tcW w:w="6280" w:type="dxa"/>
            <w:vAlign w:val="bottom"/>
          </w:tcPr>
          <w:p>
            <w:pPr>
              <w:spacing w:after="0"/>
              <w:rPr>
                <w:sz w:val="17"/>
                <w:szCs w:val="17"/>
                <w:color w:val="auto"/>
              </w:rPr>
            </w:pP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Cash and cash equivalents, March 31........................</w:t>
            </w:r>
          </w:p>
        </w:tc>
        <w:tc>
          <w:tcPr>
            <w:tcW w:w="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538</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423</w:t>
            </w:r>
          </w:p>
        </w:tc>
      </w:tr>
      <w:tr>
        <w:trPr>
          <w:trHeight w:val="203"/>
        </w:trPr>
        <w:tc>
          <w:tcPr>
            <w:tcW w:w="6280" w:type="dxa"/>
            <w:vAlign w:val="bottom"/>
          </w:tcPr>
          <w:p>
            <w:pPr>
              <w:spacing w:after="0"/>
              <w:rPr>
                <w:sz w:val="17"/>
                <w:szCs w:val="17"/>
                <w:color w:val="auto"/>
              </w:rPr>
            </w:pP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280" w:type="dxa"/>
            <w:vAlign w:val="bottom"/>
          </w:tcPr>
          <w:p>
            <w:pPr>
              <w:jc w:val="right"/>
              <w:ind w:right="2172"/>
              <w:spacing w:after="0"/>
              <w:rPr>
                <w:sz w:val="20"/>
                <w:szCs w:val="20"/>
                <w:color w:val="auto"/>
              </w:rPr>
            </w:pPr>
            <w:r>
              <w:rPr>
                <w:rFonts w:ascii="Courier New" w:cs="Courier New" w:eastAsia="Courier New" w:hAnsi="Courier New"/>
                <w:sz w:val="18"/>
                <w:szCs w:val="18"/>
                <w:color w:val="auto"/>
              </w:rPr>
              <w:t>2</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919" w:right="1440" w:bottom="362" w:gutter="0" w:footer="0" w:header="0"/>
        </w:sectPr>
      </w:pPr>
    </w:p>
    <w:bookmarkStart w:id="2" w:name="page3"/>
    <w:bookmarkEnd w:id="2"/>
    <w:p>
      <w:pPr>
        <w:jc w:val="center"/>
        <w:ind w:right="619"/>
        <w:spacing w:after="0"/>
        <w:rPr>
          <w:sz w:val="20"/>
          <w:szCs w:val="20"/>
          <w:color w:val="auto"/>
        </w:rPr>
      </w:pPr>
      <w:r>
        <w:rPr>
          <w:rFonts w:ascii="Courier New" w:cs="Courier New" w:eastAsia="Courier New" w:hAnsi="Courier New"/>
          <w:sz w:val="18"/>
          <w:szCs w:val="18"/>
          <w:color w:val="auto"/>
        </w:rPr>
        <w:t>TEXAS INSTRUMENTS INCORPORATED AND SUBSIDIARIES</w:t>
      </w:r>
    </w:p>
    <w:p>
      <w:pPr>
        <w:jc w:val="center"/>
        <w:ind w:right="619"/>
        <w:spacing w:after="0" w:line="238" w:lineRule="auto"/>
        <w:rPr>
          <w:sz w:val="20"/>
          <w:szCs w:val="20"/>
          <w:color w:val="auto"/>
        </w:rPr>
      </w:pPr>
      <w:r>
        <w:rPr>
          <w:rFonts w:ascii="Courier New" w:cs="Courier New" w:eastAsia="Courier New" w:hAnsi="Courier New"/>
          <w:sz w:val="18"/>
          <w:szCs w:val="18"/>
          <w:color w:val="auto"/>
        </w:rPr>
        <w:t>(In millions of dollars, except per-share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Mar. 31</w:t>
            </w:r>
          </w:p>
        </w:tc>
        <w:tc>
          <w:tcPr>
            <w:tcW w:w="11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w:t>
            </w:r>
          </w:p>
        </w:tc>
        <w:tc>
          <w:tcPr>
            <w:tcW w:w="2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1994</w:t>
            </w:r>
          </w:p>
        </w:tc>
        <w:tc>
          <w:tcPr>
            <w:tcW w:w="300" w:type="dxa"/>
            <w:vAlign w:val="bottom"/>
          </w:tcPr>
          <w:p>
            <w:pPr>
              <w:spacing w:after="0"/>
              <w:rPr>
                <w:sz w:val="17"/>
                <w:szCs w:val="17"/>
                <w:color w:val="auto"/>
              </w:rPr>
            </w:pP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Cash and cash equivalents..........................................</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538</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404</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Short-term investments.............................................</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616</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484</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less allowance for losses of</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 million in 1994 and $42 million in 1993......................</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1,350</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1,218</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Raw materials....................................................</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244</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244</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Work in process..................................................</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555</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557</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Finished goods...................................................</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253</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Less progress billings...........................................</w:t>
            </w:r>
          </w:p>
        </w:tc>
        <w:tc>
          <w:tcPr>
            <w:tcW w:w="2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(209)</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(229)</w:t>
            </w:r>
          </w:p>
        </w:tc>
      </w:tr>
      <w:tr>
        <w:trPr>
          <w:trHeight w:val="203"/>
        </w:trPr>
        <w:tc>
          <w:tcPr>
            <w:tcW w:w="744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Inventories (net of progress billings).........................</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843</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822</w:t>
            </w:r>
          </w:p>
        </w:tc>
      </w:tr>
      <w:tr>
        <w:trPr>
          <w:trHeight w:val="203"/>
        </w:trPr>
        <w:tc>
          <w:tcPr>
            <w:tcW w:w="744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Prepaid expenses...................................................</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333</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331</w:t>
            </w:r>
          </w:p>
        </w:tc>
      </w:tr>
      <w:tr>
        <w:trPr>
          <w:trHeight w:val="203"/>
        </w:trPr>
        <w:tc>
          <w:tcPr>
            <w:tcW w:w="744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3,742</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3,314</w:t>
            </w:r>
          </w:p>
        </w:tc>
      </w:tr>
      <w:tr>
        <w:trPr>
          <w:trHeight w:val="203"/>
        </w:trPr>
        <w:tc>
          <w:tcPr>
            <w:tcW w:w="744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Property, plant and equipment at cost................................</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4,612</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4,620</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2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(2,374)</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(2,417)</w:t>
            </w:r>
          </w:p>
        </w:tc>
      </w:tr>
      <w:tr>
        <w:trPr>
          <w:trHeight w:val="203"/>
        </w:trPr>
        <w:tc>
          <w:tcPr>
            <w:tcW w:w="744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2,238</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2,203</w:t>
            </w:r>
          </w:p>
        </w:tc>
      </w:tr>
      <w:tr>
        <w:trPr>
          <w:trHeight w:val="203"/>
        </w:trPr>
        <w:tc>
          <w:tcPr>
            <w:tcW w:w="744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237</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237</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217</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239</w:t>
            </w:r>
          </w:p>
        </w:tc>
      </w:tr>
      <w:tr>
        <w:trPr>
          <w:trHeight w:val="203"/>
        </w:trPr>
        <w:tc>
          <w:tcPr>
            <w:tcW w:w="744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Total assets.........................................................</w:t>
            </w: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$ 6,434</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$ 5,993</w:t>
            </w:r>
          </w:p>
        </w:tc>
      </w:tr>
      <w:tr>
        <w:trPr>
          <w:trHeight w:val="203"/>
        </w:trPr>
        <w:tc>
          <w:tcPr>
            <w:tcW w:w="744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Loans payable and current portion long-term debt...................</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240</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payable...................................................</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631</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543</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Accrued and other current liabilities..............................</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1,400</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1,247</w:t>
            </w:r>
          </w:p>
        </w:tc>
      </w:tr>
      <w:tr>
        <w:trPr>
          <w:trHeight w:val="203"/>
        </w:trPr>
        <w:tc>
          <w:tcPr>
            <w:tcW w:w="744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2,271</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744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683</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694</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Accrued retirement costs.............................................</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752</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739</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Deferred credits and other liabilities...............................</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245</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244</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$25 par value. Authorized - 10,000,000 shares.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Participating cumulative preferred. None issued..................</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$1 par value. Authorized - 300,000,000 shares.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Shares issued: 1994 - 91,816,183; 1993 - 90,919,314..............</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Paid-in capital....................................................</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984</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932</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1,424</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1,307</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treasury common stock at cost.</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Shares: 1994 - 106,119; 1993 - 102,522...........................</w:t>
            </w:r>
          </w:p>
        </w:tc>
        <w:tc>
          <w:tcPr>
            <w:tcW w:w="2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744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2,483</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2,315</w:t>
            </w:r>
          </w:p>
        </w:tc>
      </w:tr>
      <w:tr>
        <w:trPr>
          <w:trHeight w:val="203"/>
        </w:trPr>
        <w:tc>
          <w:tcPr>
            <w:tcW w:w="744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Total liabilities and stockholders' equity...........................</w:t>
            </w: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$ 6,434</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$ 5,993</w:t>
            </w:r>
          </w:p>
        </w:tc>
      </w:tr>
      <w:tr>
        <w:trPr>
          <w:trHeight w:val="203"/>
        </w:trPr>
        <w:tc>
          <w:tcPr>
            <w:tcW w:w="744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40" w:type="dxa"/>
            <w:vAlign w:val="bottom"/>
          </w:tcPr>
          <w:p>
            <w:pPr>
              <w:jc w:val="right"/>
              <w:ind w:right="3132"/>
              <w:spacing w:after="0"/>
              <w:rPr>
                <w:sz w:val="20"/>
                <w:szCs w:val="20"/>
                <w:color w:val="auto"/>
              </w:rPr>
            </w:pPr>
            <w:r>
              <w:rPr>
                <w:rFonts w:ascii="Courier New" w:cs="Courier New" w:eastAsia="Courier New" w:hAnsi="Courier New"/>
                <w:sz w:val="18"/>
                <w:szCs w:val="18"/>
                <w:color w:val="auto"/>
              </w:rPr>
              <w:t>3</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3" w:name="page4"/>
    <w:bookmarkEnd w:id="3"/>
    <w:p>
      <w:pPr>
        <w:jc w:val="center"/>
        <w:ind w:right="2319"/>
        <w:spacing w:after="0"/>
        <w:rPr>
          <w:sz w:val="20"/>
          <w:szCs w:val="20"/>
          <w:color w:val="auto"/>
        </w:rPr>
      </w:pPr>
      <w:r>
        <w:rPr>
          <w:rFonts w:ascii="Courier New" w:cs="Courier New" w:eastAsia="Courier New" w:hAnsi="Courier New"/>
          <w:sz w:val="18"/>
          <w:szCs w:val="18"/>
          <w:color w:val="auto"/>
        </w:rPr>
        <w:t>TEXAS INSTRUMENTS INCORPORATED AND SUBSIDIARIES</w:t>
      </w:r>
    </w:p>
    <w:p>
      <w:pPr>
        <w:jc w:val="center"/>
        <w:ind w:right="2319"/>
        <w:spacing w:after="0" w:line="238" w:lineRule="auto"/>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10" w:lineRule="exact"/>
        <w:rPr>
          <w:sz w:val="20"/>
          <w:szCs w:val="20"/>
          <w:color w:val="auto"/>
        </w:rPr>
      </w:pPr>
    </w:p>
    <w:p>
      <w:pPr>
        <w:ind w:right="1999" w:firstLine="737"/>
        <w:spacing w:after="0" w:line="270" w:lineRule="auto"/>
        <w:rPr>
          <w:sz w:val="20"/>
          <w:szCs w:val="20"/>
          <w:color w:val="auto"/>
        </w:rPr>
      </w:pPr>
      <w:r>
        <w:rPr>
          <w:rFonts w:ascii="Courier New" w:cs="Courier New" w:eastAsia="Courier New" w:hAnsi="Courier New"/>
          <w:sz w:val="16"/>
          <w:szCs w:val="16"/>
          <w:color w:val="auto"/>
        </w:rPr>
        <w:t>Earnings per common and common equivalent share are based on average common and common equivalent shares outstanding (95.1 and 94.3 million shares for the first quarters of 1994 and 1993). Shares issuable upon exercise of dilutive stock options and upon conversion of dilutive convertible debentures and, for 1993, conversion preferred stock are included in average common and common equivalent shares outstanding. In computing per-share earnings for the periods, net income is reduced by $8 million for the first quarter of 1993 for dividends accrued on preferred stock, and increased by $1 million and $7 million for the first quarters of 1994 and 1993 for interest (net of tax and profit sharing effect) and dividends on the convertible debentures and conversion preferred stock considered dilutive common stock equivalents.</w:t>
      </w:r>
    </w:p>
    <w:p>
      <w:pPr>
        <w:spacing w:after="0" w:line="188" w:lineRule="exact"/>
        <w:rPr>
          <w:sz w:val="20"/>
          <w:szCs w:val="20"/>
          <w:color w:val="auto"/>
        </w:rPr>
      </w:pPr>
    </w:p>
    <w:p>
      <w:pPr>
        <w:ind w:right="1999" w:firstLine="737"/>
        <w:spacing w:after="0" w:line="235" w:lineRule="auto"/>
        <w:rPr>
          <w:sz w:val="20"/>
          <w:szCs w:val="20"/>
          <w:color w:val="auto"/>
        </w:rPr>
      </w:pPr>
      <w:r>
        <w:rPr>
          <w:rFonts w:ascii="Courier New" w:cs="Courier New" w:eastAsia="Courier New" w:hAnsi="Courier New"/>
          <w:sz w:val="18"/>
          <w:szCs w:val="18"/>
          <w:color w:val="auto"/>
        </w:rPr>
        <w:t>Results for the first quarter of 1994 include special pretax charges of $132 million and one-time royalty revenues of $69 million.</w:t>
      </w:r>
    </w:p>
    <w:p>
      <w:pPr>
        <w:spacing w:after="0" w:line="208" w:lineRule="exact"/>
        <w:rPr>
          <w:sz w:val="20"/>
          <w:szCs w:val="20"/>
          <w:color w:val="auto"/>
        </w:rPr>
      </w:pPr>
    </w:p>
    <w:p>
      <w:pPr>
        <w:ind w:right="2099" w:firstLine="737"/>
        <w:spacing w:after="0" w:line="237" w:lineRule="auto"/>
        <w:rPr>
          <w:sz w:val="20"/>
          <w:szCs w:val="20"/>
          <w:color w:val="auto"/>
        </w:rPr>
      </w:pPr>
      <w:r>
        <w:rPr>
          <w:rFonts w:ascii="Courier New" w:cs="Courier New" w:eastAsia="Courier New" w:hAnsi="Courier New"/>
          <w:sz w:val="18"/>
          <w:szCs w:val="18"/>
          <w:color w:val="auto"/>
        </w:rPr>
        <w:t>Effective January 1, 1993, the company adopted two new accounting standards: SFAS No. 106, which requires accrual of expected retiree health-care benefit costs during the employees working careers, and SFAS No. 109, which requires increased recording of deferred income tax assets. This resulted in a charge of $294 million ($3.12 per share) for SFAS No. 106 and a credit of $290 million ($3.08 per share) for SFAS No. 109, for the cumulative effect of the accounting changes.</w:t>
      </w:r>
    </w:p>
    <w:p>
      <w:pPr>
        <w:spacing w:after="0" w:line="211"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The statements of income, statements of cash flows and balance sheet at March 31, 1994, are not audited but reflect all adjustments which are of a normal recurring nature and are, in the opinion of management, necessary to a fair statement of the results of the periods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Continuing improvement in its semiconductor operations led the Registrant (the "company" or "TI") to its best first quarter ever. Substantial progress was made toward TI's shareholder value goal of sustained 8-10 percent profit after tax return on assets.</w:t>
      </w:r>
    </w:p>
    <w:p>
      <w:pPr>
        <w:spacing w:after="0" w:line="207" w:lineRule="exact"/>
        <w:rPr>
          <w:sz w:val="20"/>
          <w:szCs w:val="20"/>
          <w:color w:val="auto"/>
        </w:rPr>
      </w:pPr>
    </w:p>
    <w:p>
      <w:pPr>
        <w:jc w:val="both"/>
        <w:ind w:right="2519"/>
        <w:spacing w:after="0" w:line="237" w:lineRule="auto"/>
        <w:rPr>
          <w:sz w:val="20"/>
          <w:szCs w:val="20"/>
          <w:color w:val="auto"/>
        </w:rPr>
      </w:pPr>
      <w:r>
        <w:rPr>
          <w:rFonts w:ascii="Courier New" w:cs="Courier New" w:eastAsia="Courier New" w:hAnsi="Courier New"/>
          <w:sz w:val="18"/>
          <w:szCs w:val="18"/>
          <w:color w:val="auto"/>
        </w:rPr>
        <w:t>As part of its ongoing strategy to increase competitiveness, TI will make long-term improvements in its European operations and divest nonstrategic product lines in information technology. The company took charges in the first quarter related to these actions.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Summary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For the first quarter of 1994, net revenues were $2449 million, up 30 percent from $1884 million in the first quarter of 1993. The increase resulted primarily from strong growth in semiconductor revenues and higher royalties. Revenues for the quarter include one-time royalties totaling $69 million, most of which are from previously announced agreements concluded during the quarter with two semiconductor manufacturers. One-time royalties in the first quarter of 1993 were $22 million.</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TI's profit from operations for the quarter was $209 million, compared with $140 million in the first quarter of 1993. Essentially all of the profit increase came from higher royalties and improved semiconductor operations. Net income for the quarter was $134 million, compared with $81 million in the first quarter of 1993. Earnings per share were $1.41, compared with $0.85 in the first quarter of 1993.</w:t>
      </w:r>
    </w:p>
    <w:p>
      <w:pPr>
        <w:spacing w:after="0" w:line="210"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Excluding the effect of charges and one-time royalties, profit from operations for the first quarter of 1994 would have been $256 million, net income would have been $165 million, and earnings per share would have been $1.74.</w:t>
      </w:r>
    </w:p>
    <w:p>
      <w:pPr>
        <w:spacing w:after="0" w:line="17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First-quarter 1994 results include an accrual of $27 million for employee profit-sharing plans, compared with a $7 million accrual in the first quarter of 1993.</w:t>
      </w:r>
    </w:p>
    <w:p>
      <w:pPr>
        <w:spacing w:after="0" w:line="209"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As part of its continuing improvement in operations, TI is restructuring its European operations from the traditional country-by-country approach to business centers that will have pan-European responsibilities. A pretax charge of $83 million is being taken in this quarter for the costs to implement this action. The charge includes future cash outlays of $58 million for severance benefits, $12 million for relocation costs, and $5 million for other costs, plus non-cash asset writedowns of $8 million. TI expects this action to be completed by the end of 1994. The action, which primarily affects semiconductor activities, is expected to result in annual savings of approximately $54 million when fully implemented, and will better position TI's European operations to emphasize high value-added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5" w:name="page6"/>
    <w:bookmarkEnd w:id="5"/>
    <w:p>
      <w:pPr>
        <w:ind w:right="1999"/>
        <w:spacing w:after="0" w:line="237" w:lineRule="auto"/>
        <w:rPr>
          <w:sz w:val="20"/>
          <w:szCs w:val="20"/>
          <w:color w:val="auto"/>
        </w:rPr>
      </w:pPr>
      <w:r>
        <w:rPr>
          <w:rFonts w:ascii="Courier New" w:cs="Courier New" w:eastAsia="Courier New" w:hAnsi="Courier New"/>
          <w:sz w:val="18"/>
          <w:szCs w:val="18"/>
          <w:color w:val="auto"/>
        </w:rPr>
        <w:t>Additionally, the results for the quarter include a pretax charge of $49 million for costs related to the divestiture of nonstrategic product lines, primarily in information technology. These costs include future cash outlays of $15 million for operating losses, $7 million for transaction costs, and $4 million for severance benefits, plus non-cash asset writedowns of $23 million. This will let TI concentrate its focus on its primary software development tools -- principally the Information Engineering Facility (IEF)(TM) -- and selected software applications. TI plans to complete these actions over the next 12 months.</w:t>
      </w:r>
    </w:p>
    <w:p>
      <w:pPr>
        <w:spacing w:after="0" w:line="21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severance amounts are based on specified employees affected and accumulation of severance benefits based on years of service. The severance actions will affect 1064 employees, primarily in Europe.</w:t>
      </w:r>
    </w:p>
    <w:p>
      <w:pPr>
        <w:spacing w:after="0" w:line="209"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Profit after tax return on assets reached an annualized rate of 8.6 percent in the first quarter of 1994, continuing progress toward TI's goal of sustainable 8-10 percent PAT ROA.</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 TI's annual stockholders meeting, held on April 21 in Dallas, TI's chairman announced that management will recommend to the board of directors an increase in the annual dividend rate on TI common stock from $0.72 to $1.00 per share, effective with the July dividend payment, and announced a dividend reinvestment plan to encourage long-term ownership of TI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TI's semiconductor orders reached an all-time high in the quarter, setting records in every major geographic region with strength across all major TI product lines. Orders for TI's digital signal processors (DSPs) grew significantly faster than overall semiconductor orders.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TI's semiconductor revenues were up substantially from the first quarter of last year, primarily because of new products and, to a lesser extent, increased shipments and higher prices. Memory shipments increased significantly, and digital signal processors and mixed-signal products also showed strong growth. TI's semiconductor revenues grew faster than the total market.</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Without the one-time effect of restructuring charges in the first quarter of 1994, semiconductor operating profit more than doubled over the first quarter of 1993 because of increased shipments, higher prices and manufacturing efficiencies. Semiconductor margins doubled from last year's first quarter and also improved over the fourth quarter of 1993. Even with the effect of the charge, semiconductor profits were up significantly over the first quarter of 1993.</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Defense Electronics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TI's defense electronics orders declined from the first quarter of 1993, primarily because of timing of receipt of orders for the High-speed Antiradiation Missile (HARM). Margins were stable on essentially unchanged revenues. As noted previously, revenues for the year are expected to be lower than in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6" w:name="page7"/>
    <w:bookmarkEnd w:id="6"/>
    <w:p>
      <w:pPr>
        <w:ind w:right="1999"/>
        <w:spacing w:after="0" w:line="237" w:lineRule="auto"/>
        <w:rPr>
          <w:sz w:val="20"/>
          <w:szCs w:val="20"/>
          <w:color w:val="auto"/>
        </w:rPr>
      </w:pPr>
      <w:r>
        <w:rPr>
          <w:rFonts w:ascii="Courier New" w:cs="Courier New" w:eastAsia="Courier New" w:hAnsi="Courier New"/>
          <w:sz w:val="18"/>
          <w:szCs w:val="18"/>
          <w:color w:val="auto"/>
        </w:rPr>
        <w:t>The company has won several new programs in next-generation night-vision systems. Key wins in 1994 include advanced electro-optic systems for the U.S. Navy's Lamps helicopter and the U.S. Army's Bradley Fighting Vehicle, and a contract for flexible manufacturing technology to build focal-plane array modules for night-vision systems.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Software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TI's software revenues continued to grow in the first quarter, but at a more moderate rate than in the past. This business operated at a loss in the first quarter. TI continues to emphasize improving the performance of its software business.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Outlook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 the beginning of 1994, TI expected the world semiconductor market to grow about 17 percent in 1994, to about $91 billion, with relatively stronger markets in the United States and the Asia-Pacific region, and relatively slower growing markets in Japan and Europe. Based on the strength of orders in the first quarter in all regions, TI believes the world market will grow to more than $93 billion in 1994, a 21 percent increase over 1993.</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For the longer term, the company expects the world semiconductor market to be more stable than in the past, based on better inventory management, conservative capacity additions relative to industry revenues, and an acceleration in the rate of increase of semiconductor content in electronic end equipment.</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TI Chairman Jerry Junkins said that the company's strategy has been successful in meeting customers' needs, increasing shareholder value, and improving stability and productivity. "Our challenge is to sustain and improve this level of performance. As we do, we will generate more funds to increase R&amp;D, which will increase the company's competitiveness over the long term," he said.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FINANCIAL INFORMATION</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Shown below is an analysis of orders and revenues for TI's major segments for the quarter:</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2320" w:type="dxa"/>
            <w:vAlign w:val="bottom"/>
          </w:tcPr>
          <w:p>
            <w:pPr>
              <w:ind w:left="200"/>
              <w:spacing w:after="0"/>
              <w:rPr>
                <w:sz w:val="20"/>
                <w:szCs w:val="20"/>
                <w:color w:val="auto"/>
              </w:rPr>
            </w:pPr>
            <w:r>
              <w:rPr>
                <w:rFonts w:ascii="Courier New" w:cs="Courier New" w:eastAsia="Courier New" w:hAnsi="Courier New"/>
                <w:sz w:val="18"/>
                <w:szCs w:val="18"/>
                <w:color w:val="auto"/>
              </w:rPr>
              <w:t>Change in orders,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Change in</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net revenues,</w:t>
            </w:r>
          </w:p>
        </w:tc>
      </w:tr>
      <w:tr>
        <w:trPr>
          <w:trHeight w:val="203"/>
        </w:trPr>
        <w:tc>
          <w:tcPr>
            <w:tcW w:w="2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Segment</w:t>
            </w: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1Q94 vs. 1Q93</w:t>
            </w:r>
          </w:p>
        </w:tc>
        <w:tc>
          <w:tcPr>
            <w:tcW w:w="262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1Q94 vs. 1Q93</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Components</w:t>
            </w:r>
          </w:p>
        </w:tc>
        <w:tc>
          <w:tcPr>
            <w:tcW w:w="2320" w:type="dxa"/>
            <w:vAlign w:val="bottom"/>
          </w:tcPr>
          <w:p>
            <w:pPr>
              <w:ind w:left="620"/>
              <w:spacing w:after="0"/>
              <w:rPr>
                <w:sz w:val="20"/>
                <w:szCs w:val="20"/>
                <w:color w:val="auto"/>
              </w:rPr>
            </w:pPr>
            <w:r>
              <w:rPr>
                <w:rFonts w:ascii="Courier New" w:cs="Courier New" w:eastAsia="Courier New" w:hAnsi="Courier New"/>
                <w:sz w:val="18"/>
                <w:szCs w:val="18"/>
                <w:color w:val="auto"/>
              </w:rPr>
              <w:t>up 36%</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up</w:t>
            </w:r>
          </w:p>
        </w:tc>
        <w:tc>
          <w:tcPr>
            <w:tcW w:w="15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46%</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Defense Electronics</w:t>
            </w:r>
          </w:p>
        </w:tc>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down 54%</w:t>
            </w:r>
          </w:p>
        </w:tc>
        <w:tc>
          <w:tcPr>
            <w:tcW w:w="262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rPr>
              <w:t>flat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Digital Products</w:t>
            </w:r>
          </w:p>
        </w:tc>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up 16%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up</w:t>
            </w:r>
          </w:p>
        </w:tc>
        <w:tc>
          <w:tcPr>
            <w:tcW w:w="1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TI Total</w:t>
            </w:r>
          </w:p>
        </w:tc>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up 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up</w:t>
            </w:r>
          </w:p>
        </w:tc>
        <w:tc>
          <w:tcPr>
            <w:tcW w:w="1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30%</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TI's orders for the first quarter of 1994 were $2415 million, compared with $2247 million in the same period of 1993. Semiconductors accounted for essentially all of the order increase in the components segment. The decline in defense electronics orders was primarily because of timing of receipt of HARM orders. The increase in digital segment orders was primarily in personal productivity products, particularly notebook computers.</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7" w:name="page8"/>
    <w:bookmarkEnd w:id="7"/>
    <w:p>
      <w:pPr>
        <w:ind w:right="1999"/>
        <w:spacing w:after="0" w:line="275" w:lineRule="auto"/>
        <w:rPr>
          <w:sz w:val="20"/>
          <w:szCs w:val="20"/>
          <w:color w:val="auto"/>
        </w:rPr>
      </w:pPr>
      <w:r>
        <w:rPr>
          <w:rFonts w:ascii="Courier New" w:cs="Courier New" w:eastAsia="Courier New" w:hAnsi="Courier New"/>
          <w:sz w:val="16"/>
          <w:szCs w:val="16"/>
          <w:color w:val="auto"/>
        </w:rPr>
        <w:t>The increase in components segment revenue resulted from a substantial increase in patent royalties, higher shipments of memory and strong growth in digital signal processors and mixed-signal products. Royalty revenues related to current-quarter licensee shipments doubled from last year's first quarter.</w:t>
      </w:r>
    </w:p>
    <w:p>
      <w:pPr>
        <w:spacing w:after="0" w:line="18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Components segment profit more than doubled over the first quarter of 1993, primarily because of higher royalties and increased semiconductor revenues. One-time royalties in the first quarter of 1994 approximately offset the restructuring charge.</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increase in digital segment revenues was primarily from notebook computers. Royalty revenues in the segment were down from the same period of last year because of one-time royalties in the first quarter of 1993.</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digital segment operated at a loss in the first quarter of 1994. Without one-time charges, the segment had a small profit, with patent royalties and profit in personal productivity products more than offsetting losses in information technology.</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income tax rate for the first quarter of 1994 was 34.5 percent, which is the current estimate of the rate for the full year.</w:t>
      </w:r>
    </w:p>
    <w:p>
      <w:pPr>
        <w:spacing w:after="0" w:line="208"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TI's financial condition continued to strengthen in the first quarter of 1994. Cash flow from operating activities net of additions to property, plant, and equipment was positive for the fourth consecutive quarter. Cash and cash equivalents plus short-term investments increased by $266 million to $1154 million, primarily because of the cash flow mentioned above. TI's debt-to-total-capital ratio at the end of the first quarter was .27, down from .28 at year-end 1993. The company's goal is to reduce this ratio to about .25.</w:t>
      </w:r>
    </w:p>
    <w:p>
      <w:pPr>
        <w:spacing w:after="0" w:line="18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TI's backlog of unfilled orders as of March 31, 1994, was $3771 million, down $326 million from the end of last year's first quarter, primarily because of timing of receipt of HARM orders in defense electronics. Semiconductor backlog was up substantially. Total backlog is essentially flat from the end of 1993, with increases in semiconductor backlog offsetting declines in defense electronics.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TI-funded R&amp;D was $163 million in the first quarter of 1994, compared with</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$125 million in the same period of 1993. The increase was driven primarily by investments in differentiated semiconductor products and new venture activities, particularly digital micromirror device technology.</w:t>
      </w:r>
    </w:p>
    <w:p>
      <w:pPr>
        <w:spacing w:after="0" w:line="209"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In the first quarter of 1994, TI made significant progress toward completion of the 1990 round of its semiconductor industry licensing program and can begin now to focus on the 1995 round of discussions. TI reached new agreements in the quarter with Micron Technology Inc. and Goldstar Electron Co., Ltd. Each will be licensed through 1998, and TI will receive royalty payments based on sales of semiconductors by the two companies.</w:t>
      </w:r>
    </w:p>
    <w:p>
      <w:pPr>
        <w:spacing w:after="0" w:line="186"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TI is pleased to have completed the 1990 round with a minimum of litigation. There are only two remaining suits: one with Fujitsu Limited over the Kilby Patent in Japan, and one with four semiconductor manufacturers in the United States over TI's plastic encapsulation patents.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8" w:name="page9"/>
    <w:bookmarkEnd w:id="8"/>
    <w:p>
      <w:pPr>
        <w:ind w:right="1999"/>
        <w:spacing w:after="0" w:line="238" w:lineRule="auto"/>
        <w:rPr>
          <w:sz w:val="20"/>
          <w:szCs w:val="20"/>
          <w:color w:val="auto"/>
        </w:rPr>
      </w:pPr>
      <w:r>
        <w:rPr>
          <w:rFonts w:ascii="Courier New" w:cs="Courier New" w:eastAsia="Courier New" w:hAnsi="Courier New"/>
          <w:sz w:val="18"/>
          <w:szCs w:val="18"/>
          <w:color w:val="auto"/>
        </w:rPr>
        <w:t>The litigation with Fujitsu in Japan is proceeding to a conclusion, with a decision expected by mid-1994. TI believes the Kilby patent should be enforced by the court. TI recognizes that any litigation is uncertain, and this litigation is in a country which has yet to establish a clear record for protecting intellectual property. Regardless of the outcome, there should be no significant effect on existing licensing agreements. While there is no way to predict the results of the 1995 round of negotiations, TI has increased its level of patent acquisition and will have an important portfolio for future negotiations. As in prior years, TI's negotiations are dependent on the strength of the company's entire patent portfolio and not on a single patent. TI continues to expect a significant ongoing stream of royalty revenue throughout the remainder of the decade.</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Capital expenditures in the first quarter of this year were $205 million, compared with $146 million in 1993's first quarter.</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Depreciation in the first quarter of 1993 was $154 million, compared with $143 million in last year's first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1440" w:gutter="0" w:footer="0" w:header="0"/>
        </w:sectPr>
      </w:pPr>
    </w:p>
    <w:bookmarkStart w:id="9" w:name="page10"/>
    <w:bookmarkEnd w:id="9"/>
    <w:p>
      <w:pPr>
        <w:ind w:left="2540"/>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spacing w:after="0" w:line="204" w:lineRule="exact"/>
        <w:rPr>
          <w:sz w:val="20"/>
          <w:szCs w:val="20"/>
          <w:color w:val="auto"/>
        </w:rPr>
      </w:pPr>
    </w:p>
    <w:p>
      <w:pPr>
        <w:ind w:left="2000" w:hanging="728"/>
        <w:spacing w:after="0"/>
        <w:tabs>
          <w:tab w:leader="none" w:pos="20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 of</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in</w:t>
      </w:r>
    </w:p>
    <w:p>
      <w:pPr>
        <w:ind w:left="2120"/>
        <w:spacing w:after="0"/>
        <w:tabs>
          <w:tab w:leader="none" w:pos="4300" w:val="left"/>
        </w:tabs>
        <w:rPr>
          <w:sz w:val="20"/>
          <w:szCs w:val="20"/>
          <w:color w:val="auto"/>
        </w:rPr>
      </w:pPr>
      <w:r>
        <w:rPr>
          <w:rFonts w:ascii="Courier New" w:cs="Courier New" w:eastAsia="Courier New" w:hAnsi="Courier New"/>
          <w:sz w:val="18"/>
          <w:szCs w:val="18"/>
          <w:color w:val="auto"/>
        </w:rPr>
        <w:t>this Report</w:t>
      </w:r>
      <w:r>
        <w:rPr>
          <w:sz w:val="20"/>
          <w:szCs w:val="20"/>
          <w:color w:val="auto"/>
        </w:rPr>
        <w:tab/>
      </w:r>
      <w:r>
        <w:rPr>
          <w:rFonts w:ascii="Courier New" w:cs="Courier New" w:eastAsia="Courier New" w:hAnsi="Courier New"/>
          <w:sz w:val="16"/>
          <w:szCs w:val="16"/>
          <w:color w:val="auto"/>
        </w:rPr>
        <w:t>Description of Exhibit</w:t>
      </w:r>
    </w:p>
    <w:p>
      <w:pPr>
        <w:spacing w:after="0" w:line="206" w:lineRule="exact"/>
        <w:rPr>
          <w:sz w:val="20"/>
          <w:szCs w:val="20"/>
          <w:color w:val="auto"/>
        </w:rPr>
      </w:pPr>
    </w:p>
    <w:p>
      <w:pPr>
        <w:ind w:left="3900" w:right="2939" w:hanging="1258"/>
        <w:spacing w:after="0" w:line="279" w:lineRule="auto"/>
        <w:tabs>
          <w:tab w:leader="none" w:pos="390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primary and fully diluted earnings per common and common equivalent share.</w:t>
      </w:r>
    </w:p>
    <w:p>
      <w:pPr>
        <w:spacing w:after="0" w:line="178" w:lineRule="exact"/>
        <w:rPr>
          <w:rFonts w:ascii="Courier New" w:cs="Courier New" w:eastAsia="Courier New" w:hAnsi="Courier New"/>
          <w:sz w:val="16"/>
          <w:szCs w:val="16"/>
          <w:color w:val="auto"/>
        </w:rPr>
      </w:pPr>
    </w:p>
    <w:p>
      <w:pPr>
        <w:ind w:left="3900" w:right="2619" w:hanging="1258"/>
        <w:spacing w:after="0" w:line="237" w:lineRule="auto"/>
        <w:tabs>
          <w:tab w:leader="none" w:pos="3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Ratio of Earnings to Fixed Charges and Ratio of Earnings to Combined Fixed Charges and Preferred Stock Dividends.</w:t>
      </w:r>
    </w:p>
    <w:p>
      <w:pPr>
        <w:spacing w:after="0" w:line="201"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8-K</w:t>
      </w:r>
    </w:p>
    <w:p>
      <w:pPr>
        <w:spacing w:after="0" w:line="201"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filed the following reports on</w:t>
      </w:r>
    </w:p>
    <w:p>
      <w:pPr>
        <w:spacing w:after="0" w:line="4" w:lineRule="exact"/>
        <w:rPr>
          <w:rFonts w:ascii="Courier New" w:cs="Courier New" w:eastAsia="Courier New" w:hAnsi="Courier New"/>
          <w:sz w:val="18"/>
          <w:szCs w:val="18"/>
          <w:color w:val="auto"/>
        </w:rPr>
      </w:pPr>
    </w:p>
    <w:p>
      <w:pPr>
        <w:ind w:left="2000" w:right="26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8-K with the Securities and Exchange Commission during the quarter ended March 31, 1994: Form 8-K, dated January 28, 1994, relating to the 1994 Annual Meeting of Stockholders of the Registrant; Form 8-K, dated February 7, 1994, relating to the 1993 financial statements of the Registrant; and Form 8-K, dated March 9, 1994, which included a news release regarding the Registrant's semiconductor licensing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14" w:right="1440" w:bottom="1440" w:gutter="0" w:footer="0" w:header="0"/>
        </w:sectPr>
      </w:pPr>
    </w:p>
    <w:bookmarkStart w:id="10" w:name="page11"/>
    <w:bookmarkEnd w:id="10"/>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Pursuant to the requirements of the Securities Exchange Act of</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1934, the Registrant has duly caused this report to be signed on its behalf by the undersigned, thereunto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TEXAS INSTRUMENTS INCORPORATED</w:t>
      </w:r>
    </w:p>
    <w:p>
      <w:pPr>
        <w:ind w:left="4440"/>
        <w:spacing w:after="0" w:line="238" w:lineRule="auto"/>
        <w:rPr>
          <w:sz w:val="20"/>
          <w:szCs w:val="20"/>
          <w:color w:val="auto"/>
        </w:rPr>
      </w:pPr>
      <w:r>
        <w:rPr>
          <w:rFonts w:ascii="Courier New" w:cs="Courier New" w:eastAsia="Courier New" w:hAnsi="Courier New"/>
          <w:sz w:val="18"/>
          <w:szCs w:val="18"/>
          <w:color w:val="auto"/>
        </w:rPr>
        <w:t>By WILLIAM A. AYLESWORTH</w:t>
      </w:r>
    </w:p>
    <w:p>
      <w:pPr>
        <w:ind w:left="4740"/>
        <w:spacing w:after="0"/>
        <w:rPr>
          <w:sz w:val="20"/>
          <w:szCs w:val="20"/>
          <w:color w:val="auto"/>
        </w:rPr>
      </w:pPr>
      <w:r>
        <w:rPr>
          <w:rFonts w:ascii="Courier New" w:cs="Courier New" w:eastAsia="Courier New" w:hAnsi="Courier New"/>
          <w:sz w:val="18"/>
          <w:szCs w:val="18"/>
          <w:color w:val="auto"/>
        </w:rPr>
        <w:t>Senior Vice President,</w:t>
      </w:r>
    </w:p>
    <w:p>
      <w:pPr>
        <w:ind w:left="4740"/>
        <w:spacing w:after="0" w:line="237" w:lineRule="auto"/>
        <w:rPr>
          <w:sz w:val="20"/>
          <w:szCs w:val="20"/>
          <w:color w:val="auto"/>
        </w:rPr>
      </w:pPr>
      <w:r>
        <w:rPr>
          <w:rFonts w:ascii="Courier New" w:cs="Courier New" w:eastAsia="Courier New" w:hAnsi="Courier New"/>
          <w:sz w:val="18"/>
          <w:szCs w:val="18"/>
          <w:color w:val="auto"/>
        </w:rPr>
        <w:t>Treasurer and</w:t>
      </w:r>
    </w:p>
    <w:p>
      <w:pPr>
        <w:ind w:left="474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21,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14" w:right="1440" w:bottom="1440" w:gutter="0" w:footer="0" w:header="0"/>
        </w:sectPr>
      </w:pPr>
    </w:p>
    <w:bookmarkStart w:id="11" w:name="page12"/>
    <w:bookmarkEnd w:id="11"/>
    <w:p>
      <w:pPr>
        <w:ind w:left="32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ind w:left="120"/>
        <w:spacing w:after="0" w:line="238" w:lineRule="auto"/>
        <w:rPr>
          <w:sz w:val="20"/>
          <w:szCs w:val="20"/>
          <w:color w:val="auto"/>
        </w:rPr>
      </w:pPr>
      <w:r>
        <w:rPr>
          <w:rFonts w:ascii="Courier New" w:cs="Courier New" w:eastAsia="Courier New" w:hAnsi="Courier New"/>
          <w:sz w:val="18"/>
          <w:szCs w:val="18"/>
          <w:color w:val="auto"/>
        </w:rPr>
        <w:t>Exhibits in</w:t>
      </w:r>
    </w:p>
    <w:p>
      <w:pPr>
        <w:ind w:left="1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Paper (P)</w:t>
      </w:r>
    </w:p>
    <w:p>
      <w:pPr>
        <w:ind w:left="420"/>
        <w:spacing w:after="0" w:line="238" w:lineRule="auto"/>
        <w:rPr>
          <w:sz w:val="20"/>
          <w:szCs w:val="20"/>
          <w:color w:val="auto"/>
        </w:rPr>
      </w:pPr>
      <w:r>
        <w:rPr>
          <w:rFonts w:ascii="Courier New" w:cs="Courier New" w:eastAsia="Courier New" w:hAnsi="Courier New"/>
          <w:sz w:val="18"/>
          <w:szCs w:val="18"/>
          <w:color w:val="auto"/>
        </w:rPr>
        <w:t>or</w:t>
      </w:r>
    </w:p>
    <w:p>
      <w:pPr>
        <w:spacing w:after="0"/>
        <w:rPr>
          <w:sz w:val="20"/>
          <w:szCs w:val="20"/>
          <w:color w:val="auto"/>
        </w:rPr>
      </w:pPr>
      <w:r>
        <w:rPr>
          <w:rFonts w:ascii="Courier New" w:cs="Courier New" w:eastAsia="Courier New" w:hAnsi="Courier New"/>
          <w:sz w:val="18"/>
          <w:szCs w:val="18"/>
          <w:color w:val="auto"/>
        </w:rPr>
        <w:t>Electronic</w:t>
      </w:r>
    </w:p>
    <w:p>
      <w:pPr>
        <w:ind w:left="320"/>
        <w:spacing w:after="0" w:line="237" w:lineRule="auto"/>
        <w:rPr>
          <w:sz w:val="20"/>
          <w:szCs w:val="20"/>
          <w:color w:val="auto"/>
        </w:rPr>
      </w:pPr>
      <w:r>
        <w:rPr>
          <w:rFonts w:ascii="Courier New" w:cs="Courier New" w:eastAsia="Courier New" w:hAnsi="Courier New"/>
          <w:sz w:val="18"/>
          <w:szCs w:val="18"/>
          <w:color w:val="auto"/>
        </w:rPr>
        <w:t>(E)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200"/>
            <w:col w:w="4220" w:space="420"/>
            <w:col w:w="3679"/>
          </w:cols>
          <w:pgMar w:left="240" w:top="520" w:right="1440" w:bottom="1440" w:gutter="0" w:footer="0" w:header="0"/>
          <w:type w:val="continuous"/>
        </w:sectPr>
      </w:pP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120"/>
        <w:spacing w:after="0" w:line="236" w:lineRule="auto"/>
        <w:rPr>
          <w:sz w:val="20"/>
          <w:szCs w:val="20"/>
          <w:color w:val="auto"/>
        </w:rPr>
      </w:pPr>
      <w:r>
        <w:rPr>
          <w:rFonts w:ascii="Courier New" w:cs="Courier New" w:eastAsia="Courier New" w:hAnsi="Courier New"/>
          <w:sz w:val="18"/>
          <w:szCs w:val="18"/>
          <w:color w:val="auto"/>
        </w:rPr>
        <w:t>Computation of primary and fully diluted earnings per common and common equivalent share.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w:t>
      </w:r>
    </w:p>
    <w:p>
      <w:pPr>
        <w:spacing w:after="0" w:line="620" w:lineRule="exact"/>
        <w:rPr>
          <w:sz w:val="20"/>
          <w:szCs w:val="20"/>
          <w:color w:val="auto"/>
        </w:rPr>
      </w:pPr>
    </w:p>
    <w:p>
      <w:pPr>
        <w:sectPr>
          <w:pgSz w:w="11900" w:h="16838" w:orient="portrait"/>
          <w:cols w:equalWidth="0" w:num="3">
            <w:col w:w="980" w:space="720"/>
            <w:col w:w="4440" w:space="720"/>
            <w:col w:w="3359"/>
          </w:cols>
          <w:pgMar w:left="240" w:top="520" w:right="1440" w:bottom="1440" w:gutter="0" w:footer="0" w:header="0"/>
          <w:type w:val="continuous"/>
        </w:sectPr>
      </w:pPr>
    </w:p>
    <w:p>
      <w:pPr>
        <w:spacing w:after="0" w:line="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Courier New" w:cs="Courier New" w:eastAsia="Courier New" w:hAnsi="Courier New"/>
          <w:sz w:val="16"/>
          <w:szCs w:val="16"/>
          <w:color w:val="auto"/>
        </w:rPr>
        <w:t>Computation of Ratio of Earnings to Fixed Charges and Ratio of Earnings to Combined Fixed Charges and Preferred Stock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pacing w:after="0" w:line="426" w:lineRule="exact"/>
        <w:rPr>
          <w:sz w:val="20"/>
          <w:szCs w:val="20"/>
          <w:color w:val="auto"/>
        </w:rPr>
      </w:pPr>
    </w:p>
    <w:p>
      <w:pPr>
        <w:sectPr>
          <w:pgSz w:w="11900" w:h="16838" w:orient="portrait"/>
          <w:cols w:equalWidth="0" w:num="3">
            <w:col w:w="980" w:space="720"/>
            <w:col w:w="4620" w:space="540"/>
            <w:col w:w="3359"/>
          </w:cols>
          <w:pgMar w:left="240" w:top="5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/TABLE</w:t>
      </w:r>
    </w:p>
    <w:p>
      <w:pPr>
        <w:sectPr>
          <w:pgSz w:w="11900" w:h="16838" w:orient="portrait"/>
          <w:cols w:equalWidth="0" w:num="1">
            <w:col w:w="10219"/>
          </w:cols>
          <w:pgMar w:left="240" w:top="520" w:right="1440" w:bottom="1440" w:gutter="0" w:footer="0" w:header="0"/>
          <w:type w:val="continuous"/>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ind w:left="7280"/>
        <w:spacing w:after="0"/>
        <w:rPr>
          <w:sz w:val="20"/>
          <w:szCs w:val="20"/>
          <w:color w:val="auto"/>
        </w:rPr>
      </w:pPr>
      <w:r>
        <w:rPr>
          <w:rFonts w:ascii="Courier New" w:cs="Courier New" w:eastAsia="Courier New" w:hAnsi="Courier New"/>
          <w:sz w:val="18"/>
          <w:szCs w:val="18"/>
          <w:color w:val="auto"/>
        </w:rPr>
        <w:t>EXHIBIT 11</w:t>
      </w:r>
    </w:p>
    <w:p>
      <w:pPr>
        <w:ind w:left="7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right="1459"/>
        <w:spacing w:after="0" w:line="236" w:lineRule="auto"/>
        <w:rPr>
          <w:sz w:val="20"/>
          <w:szCs w:val="20"/>
          <w:color w:val="auto"/>
        </w:rPr>
      </w:pPr>
      <w:r>
        <w:rPr>
          <w:rFonts w:ascii="Courier New" w:cs="Courier New" w:eastAsia="Courier New" w:hAnsi="Courier New"/>
          <w:sz w:val="18"/>
          <w:szCs w:val="18"/>
          <w:color w:val="auto"/>
        </w:rPr>
        <w:t>TEXAS INSTRUMENTS INCORPORATED AND SUBSIDIARIES PRIMARY AND FULLY DILUTED EARNINGS PER COMMON AND COMMON EQUIVALENT SHARE (In thousands, except per-share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spacing w:after="0"/>
              <w:rPr>
                <w:sz w:val="17"/>
                <w:szCs w:val="17"/>
                <w:color w:val="auto"/>
              </w:rPr>
            </w:pPr>
          </w:p>
        </w:tc>
        <w:tc>
          <w:tcPr>
            <w:tcW w:w="254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rPr>
              <w:t>For Three Months Ended</w:t>
            </w:r>
          </w:p>
        </w:tc>
      </w:tr>
      <w:tr>
        <w:trPr>
          <w:trHeight w:val="203"/>
        </w:trPr>
        <w:tc>
          <w:tcPr>
            <w:tcW w:w="6320" w:type="dxa"/>
            <w:vAlign w:val="bottom"/>
          </w:tcPr>
          <w:p>
            <w:pPr>
              <w:spacing w:after="0"/>
              <w:rPr>
                <w:sz w:val="17"/>
                <w:szCs w:val="17"/>
                <w:color w:val="auto"/>
              </w:rPr>
            </w:pPr>
          </w:p>
        </w:tc>
        <w:tc>
          <w:tcPr>
            <w:tcW w:w="25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Mar 31</w:t>
            </w:r>
          </w:p>
        </w:tc>
        <w:tc>
          <w:tcPr>
            <w:tcW w:w="38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Mar 31</w:t>
            </w:r>
          </w:p>
        </w:tc>
      </w:tr>
      <w:tr>
        <w:trPr>
          <w:trHeight w:val="203"/>
        </w:trPr>
        <w:tc>
          <w:tcPr>
            <w:tcW w:w="6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1994</w:t>
            </w:r>
          </w:p>
        </w:tc>
        <w:tc>
          <w:tcPr>
            <w:tcW w:w="3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63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w w:val="98"/>
              </w:rPr>
              <w:t>Income before cumulative effect of accounting changes .....</w:t>
            </w: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$133,702</w:t>
            </w:r>
          </w:p>
        </w:tc>
        <w:tc>
          <w:tcPr>
            <w:tcW w:w="12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$ 84,845</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preferred dividends accrued: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Market auction preferred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(645)</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Money market preferred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(716)</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Series A conversion preferred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(6,279)</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Dividends on series A conversion preferred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 assumed converted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6,279</w:t>
            </w: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net of tax and profit sharing effect, on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convertible debentures assumed converted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661</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671</w:t>
            </w:r>
          </w:p>
        </w:tc>
      </w:tr>
      <w:tr>
        <w:trPr>
          <w:trHeight w:val="203"/>
        </w:trPr>
        <w:tc>
          <w:tcPr>
            <w:tcW w:w="63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Adjusted income before cumulative effect</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accounting changes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134,363</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84,155</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Cumulative effect of accounting changes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(4,173)</w:t>
            </w:r>
          </w:p>
        </w:tc>
      </w:tr>
      <w:tr>
        <w:trPr>
          <w:trHeight w:val="203"/>
        </w:trPr>
        <w:tc>
          <w:tcPr>
            <w:tcW w:w="63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Adjusted net income .......................................</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$134,363</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$ 79,982</w:t>
            </w:r>
          </w:p>
        </w:tc>
      </w:tr>
      <w:tr>
        <w:trPr>
          <w:trHeight w:val="203"/>
        </w:trPr>
        <w:tc>
          <w:tcPr>
            <w:tcW w:w="63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and Common Equivalent Share: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Weighted average common shares outstanding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91,198</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82,779</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common equivalent shares: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 option and compensation plans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1,444</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1,335</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Convertible debentures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2,413</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2,413</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Series A conversion preferred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7,757</w:t>
            </w:r>
          </w:p>
        </w:tc>
      </w:tr>
      <w:tr>
        <w:trPr>
          <w:trHeight w:val="203"/>
        </w:trPr>
        <w:tc>
          <w:tcPr>
            <w:tcW w:w="63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Weighted average common and common equivalent shares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95,055</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94,284</w:t>
            </w:r>
          </w:p>
        </w:tc>
      </w:tr>
      <w:tr>
        <w:trPr>
          <w:trHeight w:val="203"/>
        </w:trPr>
        <w:tc>
          <w:tcPr>
            <w:tcW w:w="63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and Common Equivalent Share: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before cumulative effect of accounting changes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0.89</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Cumulative effect of accounting changes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63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0.85</w:t>
            </w:r>
          </w:p>
        </w:tc>
      </w:tr>
      <w:tr>
        <w:trPr>
          <w:trHeight w:val="203"/>
        </w:trPr>
        <w:tc>
          <w:tcPr>
            <w:tcW w:w="63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Share Assuming Full Dilution: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Weighted average common shares outstanding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91,198</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82,779</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common equivalent shares: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 option and compensation plans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1,460</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1,471</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Convertible debentures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2,413</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2,413</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Series A conversion preferred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7,757</w:t>
            </w:r>
          </w:p>
        </w:tc>
      </w:tr>
      <w:tr>
        <w:trPr>
          <w:trHeight w:val="203"/>
        </w:trPr>
        <w:tc>
          <w:tcPr>
            <w:tcW w:w="63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Weighted average common and common equivalent shares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95,071</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94,420</w:t>
            </w:r>
          </w:p>
        </w:tc>
      </w:tr>
      <w:tr>
        <w:trPr>
          <w:trHeight w:val="203"/>
        </w:trPr>
        <w:tc>
          <w:tcPr>
            <w:tcW w:w="63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Share Assuming Full Dilution: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before cumulative effect of accounting changes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0.89</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Cumulative effect of accounting changes .................</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63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0.85</w:t>
            </w:r>
          </w:p>
        </w:tc>
      </w:tr>
      <w:tr>
        <w:trPr>
          <w:trHeight w:val="203"/>
        </w:trPr>
        <w:tc>
          <w:tcPr>
            <w:tcW w:w="632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/TABLE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ectPr>
          <w:pgSz w:w="11900" w:h="16838" w:orient="portrait"/>
          <w:cols w:equalWidth="0" w:num="1">
            <w:col w:w="10219"/>
          </w:cols>
          <w:pgMar w:left="240" w:top="946" w:right="1440" w:bottom="1440"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ind w:left="8120"/>
        <w:spacing w:after="0"/>
        <w:rPr>
          <w:sz w:val="20"/>
          <w:szCs w:val="20"/>
          <w:color w:val="auto"/>
        </w:rPr>
      </w:pPr>
      <w:r>
        <w:rPr>
          <w:rFonts w:ascii="Courier New" w:cs="Courier New" w:eastAsia="Courier New" w:hAnsi="Courier New"/>
          <w:sz w:val="18"/>
          <w:szCs w:val="18"/>
          <w:color w:val="auto"/>
        </w:rPr>
        <w:t>EXHIBIT 12</w:t>
      </w:r>
    </w:p>
    <w:p>
      <w:pPr>
        <w:ind w:left="8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TEXAS INSTRUMENTS INCORPORATED AND SUBSIDIARIES</w:t>
      </w:r>
    </w:p>
    <w:p>
      <w:pPr>
        <w:spacing w:after="0" w:line="4" w:lineRule="exact"/>
        <w:rPr>
          <w:sz w:val="20"/>
          <w:szCs w:val="20"/>
          <w:color w:val="auto"/>
        </w:rPr>
      </w:pPr>
    </w:p>
    <w:p>
      <w:pPr>
        <w:jc w:val="center"/>
        <w:ind w:left="360" w:right="1680"/>
        <w:spacing w:after="0" w:line="236" w:lineRule="auto"/>
        <w:rPr>
          <w:sz w:val="20"/>
          <w:szCs w:val="20"/>
          <w:color w:val="auto"/>
        </w:rPr>
      </w:pPr>
      <w:r>
        <w:rPr>
          <w:rFonts w:ascii="Courier New" w:cs="Courier New" w:eastAsia="Courier New" w:hAnsi="Courier New"/>
          <w:sz w:val="18"/>
          <w:szCs w:val="18"/>
          <w:color w:val="auto"/>
        </w:rPr>
        <w:t>COMPUTATION OF RATIO OF EARNINGS TO FIXED CHARGES AND RATIO OF EARNINGS TO COMBINED FIXED CHARGES AND PREFERRED STOCK DIVIDENDS (Dollars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6"/>
              </w:rPr>
              <w:t>For Three Months</w:t>
            </w:r>
          </w:p>
        </w:tc>
      </w:tr>
      <w:tr>
        <w:trPr>
          <w:trHeight w:val="203"/>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Ended March 31</w:t>
            </w:r>
          </w:p>
        </w:tc>
      </w:tr>
      <w:tr>
        <w:trPr>
          <w:trHeight w:val="203"/>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1989</w:t>
            </w:r>
          </w:p>
        </w:tc>
        <w:tc>
          <w:tcPr>
            <w:tcW w:w="28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1990</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1991</w:t>
            </w:r>
          </w:p>
        </w:tc>
        <w:tc>
          <w:tcPr>
            <w:tcW w:w="2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1992</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1993</w:t>
            </w:r>
          </w:p>
        </w:tc>
        <w:tc>
          <w:tcPr>
            <w:tcW w:w="4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1993</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1994</w:t>
            </w:r>
          </w:p>
        </w:tc>
      </w:tr>
      <w:tr>
        <w:trPr>
          <w:trHeight w:val="203"/>
        </w:trPr>
        <w:tc>
          <w:tcPr>
            <w:tcW w:w="4600" w:type="dxa"/>
            <w:vAlign w:val="bottom"/>
          </w:tcPr>
          <w:p>
            <w:pPr>
              <w:spacing w:after="0"/>
              <w:rPr>
                <w:sz w:val="17"/>
                <w:szCs w:val="17"/>
                <w:color w:val="auto"/>
              </w:rPr>
            </w:pPr>
          </w:p>
        </w:tc>
        <w:tc>
          <w:tcPr>
            <w:tcW w:w="7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Income (loss) before income taxes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fixed charges: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(loss) before cumulative</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effect of accounting changes,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 expense on loans,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capitalized interest amortized,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and provision for income taxes ......</w:t>
            </w:r>
          </w:p>
        </w:tc>
        <w:tc>
          <w:tcPr>
            <w:tcW w:w="7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$ 387</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$ 433</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$ 755</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$ 144</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$ 218</w:t>
            </w: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 interest attributable to</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rental and lease expense ............</w:t>
            </w:r>
          </w:p>
        </w:tc>
        <w:tc>
          <w:tcPr>
            <w:tcW w:w="14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w:t>
            </w:r>
          </w:p>
        </w:tc>
        <w:tc>
          <w:tcPr>
            <w:tcW w:w="28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w:t>
            </w:r>
          </w:p>
        </w:tc>
        <w:tc>
          <w:tcPr>
            <w:tcW w:w="2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4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600" w:type="dxa"/>
            <w:vAlign w:val="bottom"/>
          </w:tcPr>
          <w:p>
            <w:pPr>
              <w:spacing w:after="0"/>
              <w:rPr>
                <w:sz w:val="17"/>
                <w:szCs w:val="17"/>
                <w:color w:val="auto"/>
              </w:rPr>
            </w:pPr>
          </w:p>
        </w:tc>
        <w:tc>
          <w:tcPr>
            <w:tcW w:w="7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7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$ 434</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$ 475</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$ 793</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$ 153</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$ 228</w:t>
            </w:r>
          </w:p>
        </w:tc>
      </w:tr>
      <w:tr>
        <w:trPr>
          <w:trHeight w:val="203"/>
        </w:trPr>
        <w:tc>
          <w:tcPr>
            <w:tcW w:w="4600" w:type="dxa"/>
            <w:vAlign w:val="bottom"/>
          </w:tcPr>
          <w:p>
            <w:pPr>
              <w:spacing w:after="0"/>
              <w:rPr>
                <w:sz w:val="17"/>
                <w:szCs w:val="17"/>
                <w:color w:val="auto"/>
              </w:rPr>
            </w:pPr>
          </w:p>
        </w:tc>
        <w:tc>
          <w:tcPr>
            <w:tcW w:w="7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charges: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interest on loans (expensed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and capitalized) ....................</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attributable to rental</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and lease expense ...................</w:t>
            </w:r>
          </w:p>
        </w:tc>
        <w:tc>
          <w:tcPr>
            <w:tcW w:w="14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w:t>
            </w:r>
          </w:p>
        </w:tc>
        <w:tc>
          <w:tcPr>
            <w:tcW w:w="28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w:t>
            </w:r>
          </w:p>
        </w:tc>
        <w:tc>
          <w:tcPr>
            <w:tcW w:w="2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4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600" w:type="dxa"/>
            <w:vAlign w:val="bottom"/>
          </w:tcPr>
          <w:p>
            <w:pPr>
              <w:spacing w:after="0"/>
              <w:rPr>
                <w:sz w:val="17"/>
                <w:szCs w:val="17"/>
                <w:color w:val="auto"/>
              </w:rPr>
            </w:pPr>
          </w:p>
        </w:tc>
        <w:tc>
          <w:tcPr>
            <w:tcW w:w="7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Fixed charges .............................</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$ 102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4600" w:type="dxa"/>
            <w:vAlign w:val="bottom"/>
          </w:tcPr>
          <w:p>
            <w:pPr>
              <w:spacing w:after="0"/>
              <w:rPr>
                <w:sz w:val="17"/>
                <w:szCs w:val="17"/>
                <w:color w:val="auto"/>
              </w:rPr>
            </w:pPr>
          </w:p>
        </w:tc>
        <w:tc>
          <w:tcPr>
            <w:tcW w:w="7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Combined fixed charges and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Fixed charges .........................</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$ 102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(adjusted as appropriate to a</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pretax equivalent basis) ............</w:t>
            </w:r>
          </w:p>
        </w:tc>
        <w:tc>
          <w:tcPr>
            <w:tcW w:w="14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w:t>
            </w:r>
          </w:p>
        </w:tc>
        <w:tc>
          <w:tcPr>
            <w:tcW w:w="28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w:t>
            </w:r>
          </w:p>
        </w:tc>
        <w:tc>
          <w:tcPr>
            <w:tcW w:w="2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4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7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Combined fixed charges and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preferred stock dividends ...........</w:t>
            </w:r>
          </w:p>
        </w:tc>
        <w:tc>
          <w:tcPr>
            <w:tcW w:w="7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$ 132</w:t>
            </w: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$ 133</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$ 136</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$ 154</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$ 122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4600" w:type="dxa"/>
            <w:vAlign w:val="bottom"/>
          </w:tcPr>
          <w:p>
            <w:pPr>
              <w:spacing w:after="0"/>
              <w:rPr>
                <w:sz w:val="17"/>
                <w:szCs w:val="17"/>
                <w:color w:val="auto"/>
              </w:rPr>
            </w:pPr>
          </w:p>
        </w:tc>
        <w:tc>
          <w:tcPr>
            <w:tcW w:w="7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w w:val="98"/>
              </w:rPr>
              <w:t>Ratio of earnings to fixed charges ........</w:t>
            </w:r>
          </w:p>
        </w:tc>
        <w:tc>
          <w:tcPr>
            <w:tcW w:w="14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5.1</w:t>
            </w:r>
          </w:p>
        </w:tc>
        <w:tc>
          <w:tcPr>
            <w:tcW w:w="28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4.8</w:t>
            </w:r>
          </w:p>
        </w:tc>
        <w:tc>
          <w:tcPr>
            <w:tcW w:w="2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8.5</w:t>
            </w:r>
          </w:p>
        </w:tc>
        <w:tc>
          <w:tcPr>
            <w:tcW w:w="42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6.7</w:t>
            </w:r>
          </w:p>
        </w:tc>
        <w:tc>
          <w:tcPr>
            <w:tcW w:w="2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9.9</w:t>
            </w:r>
          </w:p>
        </w:tc>
      </w:tr>
      <w:tr>
        <w:trPr>
          <w:trHeight w:val="203"/>
        </w:trPr>
        <w:tc>
          <w:tcPr>
            <w:tcW w:w="4600" w:type="dxa"/>
            <w:vAlign w:val="bottom"/>
          </w:tcPr>
          <w:p>
            <w:pPr>
              <w:spacing w:after="0"/>
              <w:rPr>
                <w:sz w:val="17"/>
                <w:szCs w:val="17"/>
                <w:color w:val="auto"/>
              </w:rPr>
            </w:pPr>
          </w:p>
        </w:tc>
        <w:tc>
          <w:tcPr>
            <w:tcW w:w="7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 of earnings to combined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fixed charges and preferred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stock dividends .........................</w:t>
            </w:r>
          </w:p>
        </w:tc>
        <w:tc>
          <w:tcPr>
            <w:tcW w:w="14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w:t>
            </w:r>
          </w:p>
        </w:tc>
        <w:tc>
          <w:tcPr>
            <w:tcW w:w="28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c>
          <w:tcPr>
            <w:tcW w:w="42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w:t>
            </w:r>
          </w:p>
        </w:tc>
      </w:tr>
      <w:tr>
        <w:trPr>
          <w:trHeight w:val="203"/>
        </w:trPr>
        <w:tc>
          <w:tcPr>
            <w:tcW w:w="4600" w:type="dxa"/>
            <w:vAlign w:val="bottom"/>
          </w:tcPr>
          <w:p>
            <w:pPr>
              <w:spacing w:after="0"/>
              <w:rPr>
                <w:sz w:val="17"/>
                <w:szCs w:val="17"/>
                <w:color w:val="auto"/>
              </w:rPr>
            </w:pPr>
          </w:p>
        </w:tc>
        <w:tc>
          <w:tcPr>
            <w:tcW w:w="7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left="120" w:right="300" w:firstLine="99"/>
        <w:spacing w:after="0" w:line="558" w:lineRule="auto"/>
        <w:tabs>
          <w:tab w:leader="none" w:pos="43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meaningful. The coverage deficiency was $33 million in 1990 and $309 million in 1991. ** Not meaningful. The coverage deficiency was $69 million in 1990 and $343 million in 1991.</w:t>
      </w:r>
    </w:p>
    <w:p>
      <w:pPr>
        <w:sectPr>
          <w:pgSz w:w="11900" w:h="16838" w:orient="portrait"/>
          <w:cols w:equalWidth="0" w:num="1">
            <w:col w:w="10220"/>
          </w:cols>
          <w:pgMar w:left="240" w:top="946" w:right="14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decimal"/>
      <w:start w:val="11"/>
    </w:lvl>
  </w:abstractNum>
  <w:abstractNum w:abstractNumId="3">
    <w:nsid w:val="238E1F29"/>
    <w:multiLevelType w:val="hybridMultilevel"/>
    <w:lvl w:ilvl="0">
      <w:lvlJc w:val="left"/>
      <w:lvlText w:val="(%1)"/>
      <w:numFmt w:val="lowerLetter"/>
      <w:start w:val="2"/>
    </w:lvl>
    <w:lvl w:ilvl="1">
      <w:lvlJc w:val="left"/>
      <w:lvlText w:val="%2"/>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2019-12-13T07:37:49Z</dcterms:created>
  <dcterms:modified xsi:type="dcterms:W3CDTF">2019-12-13T07:37:49Z</dcterms:modified>
</cp:coreProperties>
</file>