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333-262523</w:t>
      </w:r>
    </w:p>
    <w:p>
      <w:pPr>
        <w:spacing w:after="0" w:line="351" w:lineRule="exact"/>
        <w:rPr>
          <w:sz w:val="24"/>
          <w:szCs w:val="24"/>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color w:val="FF4338"/>
        </w:rPr>
        <w:t>The information in this preliminary prospectus supplement is not complete and may be changed. A registration statement relating to these notes has been filed with the Securities and Exchange Commission and is effective. This preliminary prospectus supplement and the accompanying prospectus is not an offer to sell these securities and it is not soliciting an offer to buy these securities in any jurisdiction where the offer or sale is not permitted.</w:t>
      </w:r>
    </w:p>
    <w:p>
      <w:pPr>
        <w:spacing w:after="0" w:line="1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FF4338"/>
        </w:rPr>
        <w:t>SUBJECT TO COMPLETION, DATED MARCH 7, 2023</w:t>
      </w:r>
    </w:p>
    <w:p>
      <w:pPr>
        <w:spacing w:after="0" w:line="1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PRELIMINARY PROSPECTUS SUPPLEMENT</w:t>
      </w:r>
    </w:p>
    <w:p>
      <w:pPr>
        <w:spacing w:after="0" w:line="2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(To Prospectus Dated February 4, 2022)</w:t>
      </w:r>
    </w:p>
    <w:p>
      <w:pPr>
        <w:spacing w:after="0" w:line="16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32"/>
          <w:szCs w:val="3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165100</wp:posOffset>
            </wp:positionV>
            <wp:extent cx="247713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71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ind w:left="5400" w:hanging="1349"/>
        <w:spacing w:after="0"/>
        <w:tabs>
          <w:tab w:leader="none" w:pos="5400" w:val="left"/>
        </w:tabs>
        <w:numPr>
          <w:ilvl w:val="0"/>
          <w:numId w:val="1"/>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 Notes due 20</w:t>
      </w:r>
    </w:p>
    <w:p>
      <w:pPr>
        <w:spacing w:after="0" w:line="114" w:lineRule="exact"/>
        <w:rPr>
          <w:sz w:val="24"/>
          <w:szCs w:val="24"/>
          <w:color w:val="auto"/>
        </w:rPr>
      </w:pPr>
    </w:p>
    <w:p>
      <w:pPr>
        <w:ind w:left="5400" w:hanging="1349"/>
        <w:spacing w:after="0"/>
        <w:tabs>
          <w:tab w:leader="none" w:pos="5400" w:val="left"/>
        </w:tabs>
        <w:numPr>
          <w:ilvl w:val="0"/>
          <w:numId w:val="2"/>
        </w:numPr>
        <w:rPr>
          <w:rFonts w:ascii="Times New Roman" w:cs="Times New Roman" w:eastAsia="Times New Roman" w:hAnsi="Times New Roman"/>
          <w:sz w:val="23"/>
          <w:szCs w:val="23"/>
          <w:b w:val="1"/>
          <w:bCs w:val="1"/>
          <w:color w:val="auto"/>
        </w:rPr>
      </w:pPr>
      <w:r>
        <w:rPr>
          <w:rFonts w:ascii="Times New Roman" w:cs="Times New Roman" w:eastAsia="Times New Roman" w:hAnsi="Times New Roman"/>
          <w:sz w:val="23"/>
          <w:szCs w:val="23"/>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309245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ind w:left="560"/>
        <w:spacing w:after="0"/>
        <w:tabs>
          <w:tab w:leader="none" w:pos="4060" w:val="left"/>
          <w:tab w:leader="none" w:pos="6400" w:val="left"/>
          <w:tab w:leader="none" w:pos="7640" w:val="left"/>
          <w:tab w:leader="none" w:pos="8360" w:val="left"/>
          <w:tab w:leader="none" w:pos="9920" w:val="left"/>
        </w:tabs>
        <w:rPr>
          <w:sz w:val="20"/>
          <w:szCs w:val="20"/>
          <w:color w:val="auto"/>
        </w:rPr>
      </w:pPr>
      <w:r>
        <w:rPr>
          <w:rFonts w:ascii="Times New Roman" w:cs="Times New Roman" w:eastAsia="Times New Roman" w:hAnsi="Times New Roman"/>
          <w:sz w:val="16"/>
          <w:szCs w:val="16"/>
          <w:color w:val="auto"/>
        </w:rPr>
        <w:t>Texas Instruments Incorporated is offering $</w:t>
      </w:r>
      <w:r>
        <w:rPr>
          <w:sz w:val="20"/>
          <w:szCs w:val="20"/>
          <w:color w:val="auto"/>
        </w:rPr>
        <w:tab/>
      </w:r>
      <w:r>
        <w:rPr>
          <w:rFonts w:ascii="Times New Roman" w:cs="Times New Roman" w:eastAsia="Times New Roman" w:hAnsi="Times New Roman"/>
          <w:sz w:val="16"/>
          <w:szCs w:val="16"/>
          <w:color w:val="auto"/>
        </w:rPr>
        <w:t>aggregate principal amount of its</w:t>
        <w:tab/>
        <w:t>% Notes due 20</w:t>
        <w:tab/>
        <w:t>(the “20</w:t>
        <w:tab/>
        <w:t>Notes”) and $</w:t>
      </w:r>
      <w:r>
        <w:rPr>
          <w:sz w:val="20"/>
          <w:szCs w:val="20"/>
          <w:color w:val="auto"/>
        </w:rPr>
        <w:tab/>
      </w:r>
      <w:r>
        <w:rPr>
          <w:rFonts w:ascii="Times New Roman" w:cs="Times New Roman" w:eastAsia="Times New Roman" w:hAnsi="Times New Roman"/>
          <w:sz w:val="15"/>
          <w:szCs w:val="15"/>
          <w:color w:val="auto"/>
        </w:rPr>
        <w:t>aggregate</w:t>
      </w:r>
    </w:p>
    <w:p>
      <w:pPr>
        <w:spacing w:after="0" w:line="26" w:lineRule="exact"/>
        <w:rPr>
          <w:sz w:val="24"/>
          <w:szCs w:val="24"/>
          <w:color w:val="auto"/>
        </w:rPr>
      </w:pPr>
    </w:p>
    <w:p>
      <w:pPr>
        <w:ind w:left="120"/>
        <w:spacing w:after="0"/>
        <w:tabs>
          <w:tab w:leader="none" w:pos="1720" w:val="left"/>
          <w:tab w:leader="none" w:pos="2920" w:val="left"/>
          <w:tab w:leader="none" w:pos="3620" w:val="left"/>
          <w:tab w:leader="none" w:pos="5880" w:val="left"/>
        </w:tabs>
        <w:rPr>
          <w:sz w:val="20"/>
          <w:szCs w:val="20"/>
          <w:color w:val="auto"/>
        </w:rPr>
      </w:pPr>
      <w:r>
        <w:rPr>
          <w:rFonts w:ascii="Times New Roman" w:cs="Times New Roman" w:eastAsia="Times New Roman" w:hAnsi="Times New Roman"/>
          <w:sz w:val="16"/>
          <w:szCs w:val="16"/>
          <w:color w:val="auto"/>
        </w:rPr>
        <w:t>principal amount of its</w:t>
        <w:tab/>
        <w:t>% Notes due 20</w:t>
        <w:tab/>
        <w:t>(the “20</w:t>
        <w:tab/>
        <w:t>Notes” and together with the 20</w:t>
        <w:tab/>
        <w:t>Notes, the “Notes”), which will bear interest at the applicable rate per year for</w:t>
      </w:r>
    </w:p>
    <w:p>
      <w:pPr>
        <w:spacing w:after="0" w:line="19" w:lineRule="exact"/>
        <w:rPr>
          <w:sz w:val="24"/>
          <w:szCs w:val="24"/>
          <w:color w:val="auto"/>
        </w:rPr>
      </w:pPr>
    </w:p>
    <w:p>
      <w:pPr>
        <w:ind w:left="120"/>
        <w:spacing w:after="0"/>
        <w:tabs>
          <w:tab w:leader="none" w:pos="6980" w:val="left"/>
          <w:tab w:leader="none" w:pos="7900" w:val="left"/>
          <w:tab w:leader="none" w:pos="10300" w:val="left"/>
        </w:tabs>
        <w:rPr>
          <w:sz w:val="20"/>
          <w:szCs w:val="20"/>
          <w:color w:val="auto"/>
        </w:rPr>
      </w:pPr>
      <w:r>
        <w:rPr>
          <w:rFonts w:ascii="Times New Roman" w:cs="Times New Roman" w:eastAsia="Times New Roman" w:hAnsi="Times New Roman"/>
          <w:sz w:val="16"/>
          <w:szCs w:val="16"/>
          <w:color w:val="auto"/>
        </w:rPr>
        <w:t>each series as set forth above. Interest on the Notes will be payable semi-annually in arrears on</w:t>
      </w:r>
      <w:r>
        <w:rPr>
          <w:sz w:val="20"/>
          <w:szCs w:val="20"/>
          <w:color w:val="auto"/>
        </w:rPr>
        <w:tab/>
      </w:r>
      <w:r>
        <w:rPr>
          <w:rFonts w:ascii="Times New Roman" w:cs="Times New Roman" w:eastAsia="Times New Roman" w:hAnsi="Times New Roman"/>
          <w:sz w:val="16"/>
          <w:szCs w:val="16"/>
          <w:color w:val="auto"/>
        </w:rPr>
        <w:t>and</w:t>
      </w:r>
      <w:r>
        <w:rPr>
          <w:sz w:val="20"/>
          <w:szCs w:val="20"/>
          <w:color w:val="auto"/>
        </w:rPr>
        <w:tab/>
      </w:r>
      <w:r>
        <w:rPr>
          <w:rFonts w:ascii="Times New Roman" w:cs="Times New Roman" w:eastAsia="Times New Roman" w:hAnsi="Times New Roman"/>
          <w:sz w:val="16"/>
          <w:szCs w:val="16"/>
          <w:color w:val="auto"/>
        </w:rPr>
        <w:t>of each year, beginning on</w:t>
      </w:r>
      <w:r>
        <w:rPr>
          <w:sz w:val="20"/>
          <w:szCs w:val="20"/>
          <w:color w:val="auto"/>
        </w:rPr>
        <w:tab/>
      </w:r>
      <w:r>
        <w:rPr>
          <w:rFonts w:ascii="Times New Roman" w:cs="Times New Roman" w:eastAsia="Times New Roman" w:hAnsi="Times New Roman"/>
          <w:sz w:val="15"/>
          <w:szCs w:val="15"/>
          <w:color w:val="auto"/>
        </w:rPr>
        <w:t>, 2023.</w:t>
      </w:r>
    </w:p>
    <w:p>
      <w:pPr>
        <w:spacing w:after="0" w:line="186" w:lineRule="exact"/>
        <w:rPr>
          <w:sz w:val="24"/>
          <w:szCs w:val="24"/>
          <w:color w:val="auto"/>
        </w:rPr>
      </w:pPr>
    </w:p>
    <w:p>
      <w:pPr>
        <w:ind w:left="560"/>
        <w:spacing w:after="0"/>
        <w:tabs>
          <w:tab w:leader="none" w:pos="1200" w:val="left"/>
          <w:tab w:leader="none" w:pos="3400" w:val="left"/>
          <w:tab w:leader="none" w:pos="3860" w:val="left"/>
          <w:tab w:leader="none" w:pos="4680" w:val="left"/>
          <w:tab w:leader="none" w:pos="6700" w:val="left"/>
          <w:tab w:leader="none" w:pos="7100" w:val="left"/>
        </w:tabs>
        <w:rPr>
          <w:sz w:val="20"/>
          <w:szCs w:val="20"/>
          <w:color w:val="auto"/>
        </w:rPr>
      </w:pPr>
      <w:r>
        <w:rPr>
          <w:rFonts w:ascii="Times New Roman" w:cs="Times New Roman" w:eastAsia="Times New Roman" w:hAnsi="Times New Roman"/>
          <w:sz w:val="16"/>
          <w:szCs w:val="16"/>
          <w:color w:val="auto"/>
        </w:rPr>
        <w:t>The 20</w:t>
        <w:tab/>
        <w:t>Notes will mature on</w:t>
      </w:r>
      <w:r>
        <w:rPr>
          <w:sz w:val="20"/>
          <w:szCs w:val="20"/>
          <w:color w:val="auto"/>
        </w:rPr>
        <w:tab/>
      </w:r>
      <w:r>
        <w:rPr>
          <w:rFonts w:ascii="Times New Roman" w:cs="Times New Roman" w:eastAsia="Times New Roman" w:hAnsi="Times New Roman"/>
          <w:sz w:val="16"/>
          <w:szCs w:val="16"/>
          <w:color w:val="auto"/>
        </w:rPr>
        <w:t>, 20</w:t>
        <w:tab/>
        <w:t>and the 20</w:t>
        <w:tab/>
        <w:t>Notes will mature on</w:t>
      </w:r>
      <w:r>
        <w:rPr>
          <w:sz w:val="20"/>
          <w:szCs w:val="20"/>
          <w:color w:val="auto"/>
        </w:rPr>
        <w:tab/>
      </w:r>
      <w:r>
        <w:rPr>
          <w:rFonts w:ascii="Times New Roman" w:cs="Times New Roman" w:eastAsia="Times New Roman" w:hAnsi="Times New Roman"/>
          <w:sz w:val="16"/>
          <w:szCs w:val="16"/>
          <w:color w:val="auto"/>
        </w:rPr>
        <w:t>, 20</w:t>
        <w:tab/>
        <w:t>.</w:t>
      </w:r>
    </w:p>
    <w:p>
      <w:pPr>
        <w:spacing w:after="0" w:line="208" w:lineRule="exact"/>
        <w:rPr>
          <w:sz w:val="24"/>
          <w:szCs w:val="24"/>
          <w:color w:val="auto"/>
        </w:rPr>
      </w:pPr>
    </w:p>
    <w:p>
      <w:pPr>
        <w:ind w:left="120" w:right="340" w:firstLine="440"/>
        <w:spacing w:after="0" w:line="298" w:lineRule="auto"/>
        <w:rPr>
          <w:sz w:val="20"/>
          <w:szCs w:val="20"/>
          <w:color w:val="auto"/>
        </w:rPr>
      </w:pPr>
      <w:r>
        <w:rPr>
          <w:rFonts w:ascii="Times New Roman" w:cs="Times New Roman" w:eastAsia="Times New Roman" w:hAnsi="Times New Roman"/>
          <w:sz w:val="16"/>
          <w:szCs w:val="16"/>
          <w:color w:val="auto"/>
        </w:rPr>
        <w:t>We may redeem some or all of the Notes at any time and from time to time at the applicable redemption prices indicated under the caption “Description of the Notes—Optional Redemption.”</w:t>
      </w:r>
    </w:p>
    <w:p>
      <w:pPr>
        <w:spacing w:after="0" w:line="124" w:lineRule="exact"/>
        <w:rPr>
          <w:sz w:val="24"/>
          <w:szCs w:val="24"/>
          <w:color w:val="auto"/>
        </w:rPr>
      </w:pPr>
    </w:p>
    <w:p>
      <w:pPr>
        <w:ind w:left="120" w:right="20" w:firstLine="440"/>
        <w:spacing w:after="0" w:line="298" w:lineRule="auto"/>
        <w:rPr>
          <w:sz w:val="20"/>
          <w:szCs w:val="20"/>
          <w:color w:val="auto"/>
        </w:rPr>
      </w:pPr>
      <w:r>
        <w:rPr>
          <w:rFonts w:ascii="Times New Roman" w:cs="Times New Roman" w:eastAsia="Times New Roman" w:hAnsi="Times New Roman"/>
          <w:sz w:val="16"/>
          <w:szCs w:val="16"/>
          <w:color w:val="auto"/>
        </w:rPr>
        <w:t>The Notes will be our unsecured senior obligations and will rank equally with all of our other existing and future unsecured and unsubordinated indebtedness from time to time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Investing in the Notes involves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222250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ind w:left="120" w:right="280"/>
        <w:spacing w:after="0" w:line="298" w:lineRule="auto"/>
        <w:rPr>
          <w:sz w:val="20"/>
          <w:szCs w:val="20"/>
          <w:color w:val="auto"/>
        </w:rPr>
      </w:pPr>
      <w:r>
        <w:rPr>
          <w:rFonts w:ascii="Times New Roman" w:cs="Times New Roman" w:eastAsia="Times New Roman" w:hAnsi="Times New Roman"/>
          <w:sz w:val="16"/>
          <w:szCs w:val="16"/>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  Notes</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173"/>
        </w:trPr>
        <w:tc>
          <w:tcPr>
            <w:tcW w:w="43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  Note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  Note</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6"/>
        </w:trPr>
        <w:tc>
          <w:tcPr>
            <w:tcW w:w="4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2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34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w:t>
            </w:r>
          </w:p>
        </w:tc>
        <w:tc>
          <w:tcPr>
            <w:tcW w:w="2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gridSpan w:val="2"/>
          </w:tcPr>
          <w:p>
            <w:pPr>
              <w:jc w:val="right"/>
              <w:ind w:right="50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460" w:type="dxa"/>
            <w:vAlign w:val="bottom"/>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r>
      <w:tr>
        <w:trPr>
          <w:trHeight w:val="20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us, before expenses</w:t>
            </w:r>
          </w:p>
        </w:tc>
        <w:tc>
          <w:tcPr>
            <w:tcW w:w="2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780" w:type="dxa"/>
            <w:vAlign w:val="bottom"/>
            <w:gridSpan w:val="2"/>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7"/>
                <w:szCs w:val="17"/>
                <w:color w:val="auto"/>
              </w:rPr>
            </w:pPr>
          </w:p>
        </w:tc>
      </w:tr>
      <w:tr>
        <w:trPr>
          <w:trHeight w:val="337"/>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43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Interest on the Notes offered hereby will accrue from</w:t>
            </w:r>
          </w:p>
        </w:tc>
        <w:tc>
          <w:tcPr>
            <w:tcW w:w="302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 2023 to the date of delivery.</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6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The underwriters expect to deliver the Notes to purchasers only in book-entry form through the facilities of The Depository Trust Company and its participants,</w:t>
      </w:r>
    </w:p>
    <w:p>
      <w:pPr>
        <w:spacing w:after="0" w:line="26" w:lineRule="exact"/>
        <w:rPr>
          <w:sz w:val="24"/>
          <w:szCs w:val="24"/>
          <w:color w:val="auto"/>
        </w:rPr>
      </w:pPr>
    </w:p>
    <w:p>
      <w:pPr>
        <w:ind w:left="120" w:right="720"/>
        <w:spacing w:after="0" w:line="288" w:lineRule="auto"/>
        <w:rPr>
          <w:sz w:val="20"/>
          <w:szCs w:val="20"/>
          <w:color w:val="auto"/>
        </w:rPr>
      </w:pPr>
      <w:r>
        <w:rPr>
          <w:rFonts w:ascii="Times New Roman" w:cs="Times New Roman" w:eastAsia="Times New Roman" w:hAnsi="Times New Roman"/>
          <w:sz w:val="16"/>
          <w:szCs w:val="16"/>
          <w:color w:val="auto"/>
        </w:rPr>
        <w:t>including Euroclear Bank S.A./N.V. and Clearstream Banking, S.A., on or about , 2023, which is the business day following the date of this prospectus supplement. See “Underwriting.”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194945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i w:val="1"/>
          <w:iCs w:val="1"/>
          <w:color w:val="auto"/>
        </w:rPr>
        <w:t>Joint Book-Running Managers</w:t>
      </w:r>
    </w:p>
    <w:p>
      <w:pPr>
        <w:spacing w:after="0" w:line="214" w:lineRule="exact"/>
        <w:rPr>
          <w:sz w:val="24"/>
          <w:szCs w:val="24"/>
          <w:color w:val="auto"/>
        </w:rPr>
      </w:pPr>
    </w:p>
    <w:p>
      <w:pPr>
        <w:ind w:left="120"/>
        <w:spacing w:after="0"/>
        <w:tabs>
          <w:tab w:leader="none" w:pos="4840" w:val="left"/>
          <w:tab w:leader="none" w:pos="1024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8"/>
          <w:szCs w:val="28"/>
          <w:b w:val="1"/>
          <w:bCs w:val="1"/>
          <w:color w:val="auto"/>
        </w:rPr>
        <w:t>MUFG</w:t>
      </w:r>
    </w:p>
    <w:p>
      <w:pPr>
        <w:sectPr>
          <w:pgSz w:w="11900" w:h="16838" w:orient="portrait"/>
          <w:cols w:equalWidth="0" w:num="1">
            <w:col w:w="11140"/>
          </w:cols>
          <w:pgMar w:left="320" w:top="226" w:right="439" w:bottom="1440" w:gutter="0" w:footer="0" w:header="0"/>
        </w:sectPr>
      </w:pPr>
    </w:p>
    <w:p>
      <w:pPr>
        <w:spacing w:after="0" w:line="391" w:lineRule="exact"/>
        <w:rPr>
          <w:sz w:val="24"/>
          <w:szCs w:val="24"/>
          <w:color w:val="auto"/>
        </w:rPr>
      </w:pPr>
    </w:p>
    <w:p>
      <w:pPr>
        <w:ind w:left="5740"/>
        <w:spacing w:after="0"/>
        <w:rPr>
          <w:sz w:val="20"/>
          <w:szCs w:val="20"/>
          <w:color w:val="auto"/>
        </w:rPr>
      </w:pPr>
      <w:r>
        <w:rPr>
          <w:rFonts w:ascii="Times New Roman" w:cs="Times New Roman" w:eastAsia="Times New Roman" w:hAnsi="Times New Roman"/>
          <w:sz w:val="16"/>
          <w:szCs w:val="16"/>
          <w:b w:val="1"/>
          <w:bCs w:val="1"/>
          <w:color w:val="auto"/>
        </w:rPr>
        <w:t>, 2023</w:t>
      </w:r>
    </w:p>
    <w:p>
      <w:pPr>
        <w:sectPr>
          <w:pgSz w:w="11900" w:h="16838" w:orient="portrait"/>
          <w:cols w:equalWidth="0" w:num="1">
            <w:col w:w="11140"/>
          </w:cols>
          <w:pgMar w:left="320" w:top="22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We are responsible for the information contained in or incorporated by reference into this prospectus supplement and the accompanying prospectus and any free-writing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supplement or the accompanying prospectus is accurate as of any date other than its date.</w:t>
      </w:r>
    </w:p>
    <w:p>
      <w:pPr>
        <w:spacing w:after="0" w:line="38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453"/>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45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5"/>
        </w:trPr>
        <w:tc>
          <w:tcPr>
            <w:tcW w:w="3520" w:type="dxa"/>
            <w:vAlign w:val="bottom"/>
            <w:gridSpan w:val="19"/>
            <w:vMerge w:val="continue"/>
          </w:tcPr>
          <w:p>
            <w:pPr>
              <w:spacing w:after="0"/>
              <w:rPr>
                <w:sz w:val="15"/>
                <w:szCs w:val="15"/>
                <w:color w:val="auto"/>
              </w:rPr>
            </w:pPr>
          </w:p>
        </w:tc>
        <w:tc>
          <w:tcPr>
            <w:tcW w:w="10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540" w:type="dxa"/>
            <w:vAlign w:val="bottom"/>
            <w:tcBorders>
              <w:top w:val="single" w:sz="8" w:color="0000EE"/>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88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2820" w:type="dxa"/>
            <w:vAlign w:val="bottom"/>
            <w:gridSpan w:val="17"/>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2360" w:type="dxa"/>
            <w:vAlign w:val="bottom"/>
            <w:gridSpan w:val="13"/>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1760" w:type="dxa"/>
            <w:vAlign w:val="bottom"/>
            <w:gridSpan w:val="6"/>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196"/>
        </w:trPr>
        <w:tc>
          <w:tcPr>
            <w:tcW w:w="3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U.S. Federal Income Tax Consequences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S-27</w:t>
            </w:r>
          </w:p>
        </w:tc>
        <w:tc>
          <w:tcPr>
            <w:tcW w:w="0" w:type="dxa"/>
            <w:vAlign w:val="bottom"/>
          </w:tcPr>
          <w:p>
            <w:pPr>
              <w:spacing w:after="0"/>
              <w:rPr>
                <w:sz w:val="1"/>
                <w:szCs w:val="1"/>
                <w:color w:val="auto"/>
              </w:rPr>
            </w:pPr>
          </w:p>
        </w:tc>
      </w:tr>
      <w:tr>
        <w:trPr>
          <w:trHeight w:val="402"/>
        </w:trPr>
        <w:tc>
          <w:tcPr>
            <w:tcW w:w="5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40" w:type="dxa"/>
            <w:vAlign w:val="bottom"/>
            <w:gridSpan w:val="4"/>
          </w:tcPr>
          <w:p>
            <w:pPr>
              <w:jc w:val="center"/>
              <w:ind w:right="452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0" w:type="dxa"/>
            <w:vAlign w:val="bottom"/>
          </w:tcPr>
          <w:p>
            <w:pPr>
              <w:spacing w:after="0"/>
              <w:rPr>
                <w:sz w:val="1"/>
                <w:szCs w:val="1"/>
                <w:color w:val="auto"/>
              </w:rPr>
            </w:pPr>
          </w:p>
        </w:tc>
      </w:tr>
      <w:tr>
        <w:trPr>
          <w:trHeight w:val="401"/>
        </w:trPr>
        <w:tc>
          <w:tcPr>
            <w:tcW w:w="352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74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02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About this Prospectus</w:t>
            </w:r>
          </w:p>
        </w:tc>
        <w:tc>
          <w:tcPr>
            <w:tcW w:w="1940" w:type="dxa"/>
            <w:vAlign w:val="bottom"/>
            <w:gridSpan w:val="8"/>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00" w:type="dxa"/>
            <w:vAlign w:val="bottom"/>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1340" w:type="dxa"/>
            <w:vAlign w:val="bottom"/>
            <w:gridSpan w:val="4"/>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1800" w:type="dxa"/>
            <w:vAlign w:val="bottom"/>
            <w:gridSpan w:val="7"/>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060" w:type="dxa"/>
            <w:vAlign w:val="bottom"/>
            <w:gridSpan w:val="10"/>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140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1420" w:type="dxa"/>
            <w:vAlign w:val="bottom"/>
            <w:gridSpan w:val="8"/>
            <w:shd w:val="clear" w:color="auto" w:fill="0000EE"/>
          </w:tcPr>
          <w:p>
            <w:pPr>
              <w:spacing w:after="0" w:line="20" w:lineRule="exact"/>
              <w:rPr>
                <w:sz w:val="1"/>
                <w:szCs w:val="1"/>
                <w:color w:val="auto"/>
              </w:rPr>
            </w:pPr>
          </w:p>
        </w:tc>
        <w:tc>
          <w:tcPr>
            <w:tcW w:w="2100" w:type="dxa"/>
            <w:vAlign w:val="bottom"/>
            <w:gridSpan w:val="11"/>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000" w:type="dxa"/>
            <w:vAlign w:val="bottom"/>
            <w:gridSpan w:val="9"/>
          </w:tcPr>
          <w:p>
            <w:pPr>
              <w:spacing w:after="0"/>
              <w:rPr>
                <w:sz w:val="17"/>
                <w:szCs w:val="17"/>
                <w:color w:val="auto"/>
              </w:rPr>
            </w:pP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35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460" w:type="dxa"/>
            <w:vAlign w:val="bottom"/>
            <w:gridSpan w:val="5"/>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documents that are incorporated by reference into this prospectus supplement include forward-looking statements intended to qualify for the safe harbor from liability established by the Private Securities Litigation Reform Act of 1995. These forward-looking statements generally can be identified by phrases such as we or our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sz w:val="20"/>
          <w:szCs w:val="20"/>
          <w:color w:val="auto"/>
        </w:rPr>
      </w:pPr>
    </w:p>
    <w:p>
      <w:pPr>
        <w:ind w:left="1080" w:right="6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suppliers and other third parties;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key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Securities and Exchange Commission (the “SEC”). The forward-looking statements contained in this prospectus supplement are made as of the date hereof, and we undertake no obligation to update the forward-looking statements to reflect subsequent events or circumstances.</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This document is in two parts. The first is this prospectus supplement, which describes the specific terms of this offering. This prospectus supplement also incorporates by reference the information described under “Where You Can Find More Information.” The second part is the accompanying prospectus dated February 4, 2022. The accompanying prospectus contains a description of our debt securities and gives more general information, some of which may not apply to this offering.</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description of this offering varies between this prospectus supplement and the accompanying prospectus, you should rely on the information in this prospectus supplement.</w:t>
      </w:r>
    </w:p>
    <w:p>
      <w:pPr>
        <w:spacing w:after="0" w:line="158"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Unless we have indicated otherwise, references in this prospectus supplement to “TI,” “we,” “us” and “our” or similar terms are to Texas Instruments Incorporated and its consolidated subsidiaries; references in this prospectus supplement to “Texas Instruments Incorporated” excludes its consolidated subsidiaries.</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1159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in or incorporated by reference into this prospectus supplement and the accompanying prospectus. It may not contain all of the information that you should consider before investing in the Notes. You should carefully read this entire prospectus supplement, as well as the accompanying prospectus and the documents incorporated by reference herein that are described under “Where You Can Find More Information.”</w:t>
      </w:r>
    </w:p>
    <w:p>
      <w:pPr>
        <w:spacing w:after="0" w:line="3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both"/>
        <w:ind w:left="300" w:firstLine="426"/>
        <w:spacing w:after="0" w:line="266" w:lineRule="auto"/>
        <w:rPr>
          <w:sz w:val="20"/>
          <w:szCs w:val="20"/>
          <w:color w:val="auto"/>
        </w:rPr>
      </w:pPr>
      <w:r>
        <w:rPr>
          <w:rFonts w:ascii="Times New Roman" w:cs="Times New Roman" w:eastAsia="Times New Roman" w:hAnsi="Times New Roman"/>
          <w:sz w:val="18"/>
          <w:szCs w:val="18"/>
          <w:color w:val="auto"/>
        </w:rPr>
        <w:t>We design and manufacture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76"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 supplement or the accompanying prospectus.</w:t>
      </w:r>
    </w:p>
    <w:p>
      <w:pPr>
        <w:spacing w:after="0" w:line="176"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into this prospectus supplement. For instructions on how to find copies of these and our other filings incorporated by reference into this prospectus supplement, see “Where You Can Find More Information.”</w:t>
      </w:r>
    </w:p>
    <w:p>
      <w:pPr>
        <w:spacing w:after="0" w:line="28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58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right="2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Notes. Certain of the terms and conditions described below are subject to important limitations and exceptions. The “Description of the Notes” section of this prospectus supplement and the “Description of Debt Securities” section of the accompanying prospectus contain a more detailed description of the terms and conditions of the Notes.</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580" w:type="dxa"/>
            <w:vAlign w:val="bottom"/>
            <w:gridSpan w:val="4"/>
          </w:tcPr>
          <w:p>
            <w:pPr>
              <w:ind w:left="2120"/>
              <w:spacing w:after="0"/>
              <w:rPr>
                <w:sz w:val="20"/>
                <w:szCs w:val="20"/>
                <w:color w:val="auto"/>
              </w:rPr>
            </w:pPr>
            <w:r>
              <w:rPr>
                <w:rFonts w:ascii="Times New Roman" w:cs="Times New Roman" w:eastAsia="Times New Roman" w:hAnsi="Times New Roman"/>
                <w:sz w:val="18"/>
                <w:szCs w:val="18"/>
                <w:color w:val="auto"/>
              </w:rPr>
              <w:t>Texas Instruments Incorporated.</w:t>
            </w:r>
          </w:p>
        </w:tc>
        <w:tc>
          <w:tcPr>
            <w:tcW w:w="3000" w:type="dxa"/>
            <w:vAlign w:val="bottom"/>
          </w:tcPr>
          <w:p>
            <w:pPr>
              <w:spacing w:after="0"/>
              <w:rPr>
                <w:sz w:val="20"/>
                <w:szCs w:val="20"/>
                <w:color w:val="auto"/>
              </w:rPr>
            </w:pPr>
          </w:p>
        </w:tc>
      </w:tr>
      <w:tr>
        <w:trPr>
          <w:trHeight w:val="47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Securities Offered</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aggregate principal amount of the</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73"/>
        </w:trPr>
        <w:tc>
          <w:tcPr>
            <w:tcW w:w="1920" w:type="dxa"/>
            <w:vAlign w:val="bottom"/>
          </w:tcPr>
          <w:p>
            <w:pPr>
              <w:spacing w:after="0"/>
              <w:rPr>
                <w:sz w:val="24"/>
                <w:szCs w:val="24"/>
                <w:color w:val="auto"/>
              </w:rPr>
            </w:pP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aggregate principal amount of the</w:t>
            </w:r>
          </w:p>
        </w:tc>
        <w:tc>
          <w:tcPr>
            <w:tcW w:w="3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Notes due 20   .</w:t>
            </w:r>
          </w:p>
        </w:tc>
      </w:tr>
      <w:tr>
        <w:trPr>
          <w:trHeight w:val="45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26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20</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the</w:t>
            </w:r>
          </w:p>
        </w:tc>
        <w:tc>
          <w:tcPr>
            <w:tcW w:w="1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Notes due 20  .</w:t>
            </w:r>
          </w:p>
        </w:tc>
        <w:tc>
          <w:tcPr>
            <w:tcW w:w="3000" w:type="dxa"/>
            <w:vAlign w:val="bottom"/>
          </w:tcPr>
          <w:p>
            <w:pPr>
              <w:spacing w:after="0"/>
              <w:rPr>
                <w:sz w:val="24"/>
                <w:szCs w:val="24"/>
                <w:color w:val="auto"/>
              </w:rPr>
            </w:pPr>
          </w:p>
        </w:tc>
      </w:tr>
      <w:tr>
        <w:trPr>
          <w:trHeight w:val="473"/>
        </w:trPr>
        <w:tc>
          <w:tcPr>
            <w:tcW w:w="19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20</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the</w:t>
            </w: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Notes due 20   .</w:t>
            </w:r>
          </w:p>
        </w:tc>
        <w:tc>
          <w:tcPr>
            <w:tcW w:w="3000" w:type="dxa"/>
            <w:vAlign w:val="bottom"/>
          </w:tcPr>
          <w:p>
            <w:pPr>
              <w:spacing w:after="0"/>
              <w:rPr>
                <w:sz w:val="24"/>
                <w:szCs w:val="24"/>
                <w:color w:val="auto"/>
              </w:rPr>
            </w:pPr>
          </w:p>
        </w:tc>
      </w:tr>
      <w:tr>
        <w:trPr>
          <w:trHeight w:val="45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Date</w:t>
            </w:r>
          </w:p>
        </w:tc>
        <w:tc>
          <w:tcPr>
            <w:tcW w:w="266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2023.</w:t>
            </w: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73"/>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318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Fixed rate of</w:t>
            </w:r>
          </w:p>
        </w:tc>
        <w:tc>
          <w:tcPr>
            <w:tcW w:w="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for the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Notes due 20  .</w:t>
            </w:r>
          </w:p>
        </w:tc>
        <w:tc>
          <w:tcPr>
            <w:tcW w:w="3000" w:type="dxa"/>
            <w:vAlign w:val="bottom"/>
          </w:tcPr>
          <w:p>
            <w:pPr>
              <w:spacing w:after="0"/>
              <w:rPr>
                <w:sz w:val="24"/>
                <w:szCs w:val="24"/>
                <w:color w:val="auto"/>
              </w:rPr>
            </w:pPr>
          </w:p>
        </w:tc>
      </w:tr>
      <w:tr>
        <w:trPr>
          <w:trHeight w:val="64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Fixed rate of   % for the</w:t>
            </w:r>
          </w:p>
        </w:tc>
        <w:tc>
          <w:tcPr>
            <w:tcW w:w="2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Notes due 20   .</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648"/>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266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Each</w:t>
            </w:r>
          </w:p>
        </w:tc>
        <w:tc>
          <w:tcPr>
            <w:tcW w:w="520" w:type="dxa"/>
            <w:vAlign w:val="bottom"/>
          </w:tcPr>
          <w:p>
            <w:pPr>
              <w:spacing w:after="0"/>
              <w:rPr>
                <w:sz w:val="24"/>
                <w:szCs w:val="24"/>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w:t>
            </w:r>
          </w:p>
        </w:tc>
        <w:tc>
          <w:tcPr>
            <w:tcW w:w="1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 beginning on</w:t>
            </w:r>
          </w:p>
        </w:tc>
        <w:tc>
          <w:tcPr>
            <w:tcW w:w="30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2023, and on the maturity date.</w:t>
            </w:r>
          </w:p>
        </w:tc>
      </w:tr>
      <w:tr>
        <w:trPr>
          <w:trHeight w:val="45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Ranking</w:t>
            </w:r>
          </w:p>
        </w:tc>
        <w:tc>
          <w:tcPr>
            <w:tcW w:w="8580" w:type="dxa"/>
            <w:vAlign w:val="bottom"/>
            <w:gridSpan w:val="5"/>
          </w:tcPr>
          <w:p>
            <w:pPr>
              <w:ind w:left="2120"/>
              <w:spacing w:after="0"/>
              <w:rPr>
                <w:sz w:val="20"/>
                <w:szCs w:val="20"/>
                <w:color w:val="auto"/>
              </w:rPr>
            </w:pPr>
            <w:r>
              <w:rPr>
                <w:rFonts w:ascii="Times New Roman" w:cs="Times New Roman" w:eastAsia="Times New Roman" w:hAnsi="Times New Roman"/>
                <w:sz w:val="18"/>
                <w:szCs w:val="18"/>
                <w:color w:val="auto"/>
                <w:w w:val="99"/>
              </w:rPr>
              <w:t>The Notes will be the senior unsecured obligations of Texas Instruments Incorporated and</w:t>
            </w:r>
          </w:p>
        </w:tc>
      </w:tr>
      <w:tr>
        <w:trPr>
          <w:trHeight w:val="234"/>
        </w:trPr>
        <w:tc>
          <w:tcPr>
            <w:tcW w:w="1920" w:type="dxa"/>
            <w:vAlign w:val="bottom"/>
          </w:tcPr>
          <w:p>
            <w:pPr>
              <w:spacing w:after="0"/>
              <w:rPr>
                <w:sz w:val="20"/>
                <w:szCs w:val="20"/>
                <w:color w:val="auto"/>
              </w:rPr>
            </w:pPr>
          </w:p>
        </w:tc>
        <w:tc>
          <w:tcPr>
            <w:tcW w:w="8580" w:type="dxa"/>
            <w:vAlign w:val="bottom"/>
            <w:gridSpan w:val="5"/>
          </w:tcPr>
          <w:p>
            <w:pPr>
              <w:ind w:left="2120"/>
              <w:spacing w:after="0"/>
              <w:rPr>
                <w:sz w:val="20"/>
                <w:szCs w:val="20"/>
                <w:color w:val="auto"/>
              </w:rPr>
            </w:pPr>
            <w:r>
              <w:rPr>
                <w:rFonts w:ascii="Times New Roman" w:cs="Times New Roman" w:eastAsia="Times New Roman" w:hAnsi="Times New Roman"/>
                <w:sz w:val="18"/>
                <w:szCs w:val="18"/>
                <w:color w:val="auto"/>
              </w:rPr>
              <w:t>will rank equally with all of its existing and future senior indebtedness from time to time</w:t>
            </w:r>
          </w:p>
        </w:tc>
      </w:tr>
    </w:tbl>
    <w:p>
      <w:pPr>
        <w:ind w:left="4340" w:right="900"/>
        <w:spacing w:after="0" w:line="260" w:lineRule="auto"/>
        <w:rPr>
          <w:sz w:val="20"/>
          <w:szCs w:val="20"/>
          <w:color w:val="auto"/>
        </w:rPr>
      </w:pPr>
      <w:r>
        <w:rPr>
          <w:rFonts w:ascii="Times New Roman" w:cs="Times New Roman" w:eastAsia="Times New Roman" w:hAnsi="Times New Roman"/>
          <w:sz w:val="18"/>
          <w:szCs w:val="18"/>
          <w:color w:val="auto"/>
        </w:rPr>
        <w:t>outstanding. All existing and future liabilities of subsidiaries of Texas Instruments Incorporated will be effectively senior to the Notes.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As of December 31, 2022, Texas Instruments Incorporated had approximately $8.8 billion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principal amount of outstanding indebtedness. As of December 31, 2022, Texas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Instruments Incorporated had approximately $12.6 billion of total liabilities on a</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consolidated basis. Of the $12.6 billion of consolidated total liabilities, approximately</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$1.1 billion of liabilities (including trade payables and excluding intercompany debt) were</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held by subsidiaries of Texas Instruments Incorporated to which the Notes will be</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effectively subordinated.</w:t>
            </w:r>
          </w:p>
        </w:tc>
      </w:tr>
      <w:tr>
        <w:trPr>
          <w:trHeight w:val="441"/>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securities,</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without coupons, in denominations of $2,000 in principal amount and integral multiples of</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$1,000 in excess thereof. These global notes will be deposited with the trustee as custodian</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for, and registered in the name of, a nominee of The Depository Trust Company, or DTC.</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Except in the limited circumstances described under “Description of the Notes—Book-</w:t>
            </w:r>
          </w:p>
        </w:tc>
      </w:tr>
      <w:tr>
        <w:trPr>
          <w:trHeight w:val="216"/>
        </w:trPr>
        <w:tc>
          <w:tcPr>
            <w:tcW w:w="3080" w:type="dxa"/>
            <w:vAlign w:val="bottom"/>
          </w:tcPr>
          <w:p>
            <w:pPr>
              <w:spacing w:after="0"/>
              <w:rPr>
                <w:sz w:val="18"/>
                <w:szCs w:val="18"/>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Entry; Delivery and Form; Global Note,” Notes in certificated form will not be issued or</w:t>
            </w:r>
          </w:p>
        </w:tc>
      </w:tr>
      <w:tr>
        <w:trPr>
          <w:trHeight w:val="234"/>
        </w:trPr>
        <w:tc>
          <w:tcPr>
            <w:tcW w:w="3080" w:type="dxa"/>
            <w:vAlign w:val="bottom"/>
          </w:tcPr>
          <w:p>
            <w:pPr>
              <w:spacing w:after="0"/>
              <w:rPr>
                <w:sz w:val="20"/>
                <w:szCs w:val="20"/>
                <w:color w:val="auto"/>
              </w:rPr>
            </w:pPr>
          </w:p>
        </w:tc>
        <w:tc>
          <w:tcPr>
            <w:tcW w:w="794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exchanged for interests in global securities.</w:t>
            </w:r>
          </w:p>
        </w:tc>
      </w:tr>
      <w:tr>
        <w:trPr>
          <w:trHeight w:val="159"/>
        </w:trPr>
        <w:tc>
          <w:tcPr>
            <w:tcW w:w="308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61"/>
        </w:trPr>
        <w:tc>
          <w:tcPr>
            <w:tcW w:w="3080" w:type="dxa"/>
            <w:vAlign w:val="bottom"/>
          </w:tcPr>
          <w:p>
            <w:pPr>
              <w:spacing w:after="0"/>
              <w:rPr>
                <w:sz w:val="24"/>
                <w:szCs w:val="24"/>
                <w:color w:val="auto"/>
              </w:rPr>
            </w:pPr>
          </w:p>
        </w:tc>
        <w:tc>
          <w:tcPr>
            <w:tcW w:w="79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8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8040" w:type="dxa"/>
            <w:vAlign w:val="bottom"/>
            <w:tcBorders>
              <w:top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The internal laws of the State of New York.</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We expect to use the net proceeds of this offering for general corporate purposes. See “Use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of Proceeds.” In connection with the issuance of the Notes, we may enter into interest rate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swap agreements with financial institutions, which may include one or more of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underwriters or their affiliates.</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Issuances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create and issue further notes of a series ranking</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equally and ratably with the Notes of such series offered by this prospectus supplement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all respects, so that such further notes will be consolidated and form a single series with the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Notes of such series offered by this prospectus supplement.</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Sinking Fund</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None.</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Texas Instruments Incorporated may redeem some or all of each series of the Notes at any</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time and from time to time at the applicable redemption prices indicated under the heading</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“Description of the Notes—Optional Redemption.”</w:t>
            </w:r>
          </w:p>
        </w:tc>
      </w:tr>
      <w:tr>
        <w:trPr>
          <w:trHeight w:val="441"/>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Trading</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Each series of Notes are a new issue of securities with no established trading market. We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do not intend to apply for listing of the Notes on any securities exchange. The underwriters</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have advised us that they intend to make a market in the Notes, but they are not obligated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to do so and may discontinue market-making at any time without notice.</w:t>
            </w:r>
          </w:p>
        </w:tc>
      </w:tr>
      <w:tr>
        <w:trPr>
          <w:trHeight w:val="441"/>
        </w:trPr>
        <w:tc>
          <w:tcPr>
            <w:tcW w:w="2980" w:type="dxa"/>
            <w:vAlign w:val="bottom"/>
            <w:tcBorders>
              <w:left w:val="single" w:sz="8" w:color="auto"/>
            </w:tcBorders>
          </w:tcPr>
          <w:p>
            <w:pPr>
              <w:spacing w:after="0"/>
              <w:rPr>
                <w:sz w:val="24"/>
                <w:szCs w:val="24"/>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See “Underwriting” in this prospectus supplement for more information about possible</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market-making by the underwriters.</w:t>
            </w:r>
          </w:p>
        </w:tc>
      </w:tr>
      <w:tr>
        <w:trPr>
          <w:trHeight w:val="459"/>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U.S. Bank Trust Company, National Association.</w:t>
            </w:r>
          </w:p>
        </w:tc>
      </w:tr>
      <w:tr>
        <w:trPr>
          <w:trHeight w:val="454"/>
        </w:trPr>
        <w:tc>
          <w:tcPr>
            <w:tcW w:w="29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 this prospectus supplement and the</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accompanying prospectus and the documents incorporated herein by reference. In</w:t>
            </w:r>
          </w:p>
        </w:tc>
      </w:tr>
      <w:tr>
        <w:trPr>
          <w:trHeight w:val="216"/>
        </w:trPr>
        <w:tc>
          <w:tcPr>
            <w:tcW w:w="29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particular, you should evaluate the information set forth under “Notice Regarding Forward-</w:t>
            </w:r>
          </w:p>
        </w:tc>
      </w:tr>
      <w:tr>
        <w:trPr>
          <w:trHeight w:val="234"/>
        </w:trPr>
        <w:tc>
          <w:tcPr>
            <w:tcW w:w="2980" w:type="dxa"/>
            <w:vAlign w:val="bottom"/>
            <w:tcBorders>
              <w:left w:val="single" w:sz="8" w:color="auto"/>
            </w:tcBorders>
          </w:tcPr>
          <w:p>
            <w:pPr>
              <w:spacing w:after="0"/>
              <w:rPr>
                <w:sz w:val="20"/>
                <w:szCs w:val="20"/>
                <w:color w:val="auto"/>
              </w:rPr>
            </w:pPr>
          </w:p>
        </w:tc>
        <w:tc>
          <w:tcPr>
            <w:tcW w:w="8040" w:type="dxa"/>
            <w:vAlign w:val="bottom"/>
            <w:tcBorders>
              <w:right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Looking Statements” and “Risk Factors” before deciding whether to invest in the Notes.</w:t>
            </w:r>
          </w:p>
        </w:tc>
      </w:tr>
      <w:tr>
        <w:trPr>
          <w:trHeight w:val="159"/>
        </w:trPr>
        <w:tc>
          <w:tcPr>
            <w:tcW w:w="2980" w:type="dxa"/>
            <w:vAlign w:val="bottom"/>
            <w:tcBorders>
              <w:left w:val="single" w:sz="8" w:color="auto"/>
              <w:bottom w:val="single" w:sz="8" w:color="auto"/>
            </w:tcBorders>
          </w:tcPr>
          <w:p>
            <w:pPr>
              <w:spacing w:after="0"/>
              <w:rPr>
                <w:sz w:val="13"/>
                <w:szCs w:val="13"/>
                <w:color w:val="auto"/>
              </w:rPr>
            </w:pPr>
          </w:p>
        </w:tc>
        <w:tc>
          <w:tcPr>
            <w:tcW w:w="8040" w:type="dxa"/>
            <w:vAlign w:val="bottom"/>
            <w:tcBorders>
              <w:bottom w:val="single" w:sz="8" w:color="auto"/>
              <w:right w:val="single" w:sz="8" w:color="auto"/>
            </w:tcBorders>
          </w:tcPr>
          <w:p>
            <w:pPr>
              <w:spacing w:after="0"/>
              <w:rPr>
                <w:sz w:val="13"/>
                <w:szCs w:val="13"/>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considering whether to purchase the Notes, you should carefully consider all the information contained or incorporated by reference into this prospectus supplement and the accompanying prospectus. In addition, you should carefully consider the risk factors described below, which are not exhaustive.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hereby incorporate by reference risk factors in Item 1A of our Annual Report on Form 10-K for the year ended December 31, 2022.</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Offering</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Active trading markets for each series of Notes may not develop.</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There are currently no public markets for any series of Notes, and we do not currently plan to list any series of Notes on any national securities exchange. In addition, the liquidity of any trading markets in any series of Notes, and the market prices quoted for any series of Notes, may be adversely affected by changes in the overall market for such series of Notes, prevailing interest rates, ratings assigned to such series of Notes, time remaining to the maturity of such series of Notes, outstanding amount of such series of Notes, the markets for similar securities, prospects for other companies in our industry and changes in our consolidated financial condition, results of operations or prospects. Liquid trading markets in any series of Notes may not develop, which could decrease the amounts you would otherwise receive upon a sale or disposition of such series of Notes.</w:t>
      </w:r>
    </w:p>
    <w:p>
      <w:pPr>
        <w:spacing w:after="0" w:line="291" w:lineRule="exact"/>
        <w:rPr>
          <w:sz w:val="20"/>
          <w:szCs w:val="20"/>
          <w:color w:val="auto"/>
        </w:rPr>
      </w:pPr>
    </w:p>
    <w:p>
      <w:pPr>
        <w:ind w:left="34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are the unsecured obligations of Texas Instruments Incorporated and not obligations of its subsidiaries and will be effectively subordinated to the claims of its subsidiaries’ creditors. Structural subordination increases the risk that Texas Instruments Incorporated will be unable to meet its obligations on the Notes when they mature.</w:t>
      </w:r>
    </w:p>
    <w:p>
      <w:pPr>
        <w:spacing w:after="0" w:line="6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are exclusively the obligations of Texas Instruments Incorporated and are not obligations of its subsidiaries. A substantial portion of Texas Instruments Incorporated operations are conducted through its subsidiaries. As a result, Texas Instruments Incorporated’s cash flow and ability to service its debt, including the Notes, depend upon the earnings of its subsidiaries and the distribution to it of earnings, loans or other payments by its subsidiaries.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subsidiaries are separate and distinct legal entities. Its subsidiaries will not guarantee the Notes and are under no obligation to pay any amounts due on the Notes or to provide Texas Instruments Incorporated with funds for its payment obligations, whether by dividends, distributions, loans or other payments. Payments to Texas Instruments Incorporated by its subsidiaries will also be contingent upon such subsidiaries’ earnings and business considerations and may be subject to legal and contractual restrictions. As of December 31, 2022, we had approximately $12.6 billion of total liabilities on a consolidated basis. Of this amount, subsidiaries of Texas Instruments Incorporated had approximately $1.1 billion of liabilities (including trade payables and excluding intercompany debt) to which the Notes will be effectively subordinated.</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Incorporated’s right to receive any assets of any of its subsidiaries upon their liquidation or reorganization, and therefore the right of the holders of the Notes to participate in those assets, will be effectively subordinated to the claims of that subsidiary’s creditors, including senior and subordinated debt holders and bank and trade creditors. The indenture governing the Notes does not limit the amount of additional indebtedness that Texas Instruments Incorporated’s subsidiaries may incur and permits these subsidiaries to incur secured debt without restriction. In addition, even if Texas Instruments Incorporated were a creditor of any of its subsidiaries, its rights as a creditor would be subordinate to any security interest in the assets of its subsidiaries and any indebtedness of its subsidiaries senior to that held by Texas Instruments Incorporated.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subject to the prior claims of any future secured creditors.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are unsecured obligations, ranking effectively junior to any secured indebtedness Texas Instruments Incorporated may incur in the future. The indenture governing the Notes does not limit the amount of additional debt that Texas Instruments Incorporated may incur and permits Texas Instruments Incorporated to incur secured debt under specified circumstances. If Texas Instruments Incorporated incurs secured indebtedness, its assets securing any such indebtedness will be subject to prior claims by its secured creditors. In the event of Texas Instruments Incorporated’s bankruptcy, insolvency, liquidation, reorganization, dissolution or other winding up, or upon any acceleration of the Notes, Texas Instruments Incorporated’s assets that secure other indebtedness will be available to pay obligations on the Notes only after all other such debt secured by those assets has been repaid in full. Any remaining assets will be available to you ratably with all of Texas Instruments Incorporated’s other unsecured and unsubordinated creditors, including trade creditors. If there are not sufficient assets remaining to pay all these creditors, then all or a portion of the Notes then outstanding would remain unpaid.</w:t>
      </w:r>
    </w:p>
    <w:p>
      <w:pPr>
        <w:spacing w:after="0" w:line="292" w:lineRule="exact"/>
        <w:rPr>
          <w:sz w:val="20"/>
          <w:szCs w:val="20"/>
          <w:color w:val="auto"/>
        </w:rPr>
      </w:pPr>
    </w:p>
    <w:p>
      <w:pPr>
        <w:ind w:left="3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contains negative covenants. The limitation on liens and sale/leaseback covenants do not apply to Texas Instruments Incorporated’s subsidiaries and contain exceptions that would allow Texas Instruments Incorporated and its subsidiaries to grant liens or security interests with respect to their assets, rendering the holders of the Notes structurally or contractually subordinated to new lenders. The indenture governing the Notes does not contain any financial covenants.</w:t>
      </w:r>
    </w:p>
    <w:p>
      <w:pPr>
        <w:spacing w:after="0" w:line="7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The limitation on liens and limitation on sale/leaseback covenants apply to Texas Instruments Incorporated, but not to its subsidiaries. As a result, such subsidiaries will not be restricted under the indenture from granting liens or security interests with respect to all or any of their assets without having to provide similar liens or security to the holders of the Notes, or from entering into sale/leaseback transactions. Exceptions within the limitation on liens covenant would allow Texas Instruments Incorporated to borrow substantial additional amounts, and to grant liens or security interests in connection with those borrowings. The indenture governing the Notes does not contain any financial covenants.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leverage may harm our financial condition and results of operations.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2022, Texas Instruments Incorporated would have had</w:t>
      </w:r>
    </w:p>
    <w:p>
      <w:pPr>
        <w:spacing w:after="0" w:line="27"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approximately $ billion principal amount of total long-term indebtedness (including the Notes, but excluding the current portion of long-term indebtedness), all of which would have been unsecured and unsubordinated.</w:t>
      </w:r>
    </w:p>
    <w:p>
      <w:pPr>
        <w:spacing w:after="0" w:line="18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Texas Instruments Incorporated and its subsidiaries may incur additional indebtedness in the future and the Notes do not restrict future incurrence of indebtedness. Any increase in its level of indebtedness will have several important effects on Texas Instruments Incorporated’s future operations, including, without limitation:</w:t>
      </w:r>
    </w:p>
    <w:p>
      <w:pPr>
        <w:spacing w:after="0" w:line="81" w:lineRule="exact"/>
        <w:rPr>
          <w:sz w:val="20"/>
          <w:szCs w:val="20"/>
          <w:color w:val="auto"/>
        </w:rPr>
      </w:pPr>
    </w:p>
    <w:p>
      <w:pPr>
        <w:ind w:left="1080" w:right="5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will have additional cash requirements in order to support the payment of interest on its outstanding indebtedness;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its outstanding indebtedness and leverage will increase its vulnerability to adverse changes in general economic and industry conditions, as well as to competitive pressure;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ability to obtain additional financing for working capital, capital expenditures, general corporate and other purposes may be limited. Texas Instruments Incorporated’s ability to make payments of principal and interest on its indebtedness depends upon its future performance, which will be subject to general economic conditions, industry cycles and financial, business and other factors affecting its consolidated operations, many of which are beyond its control.</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If Texas Instruments Incorporated is unable to generate sufficient cash flow from operations in the future to service its debt, it may be required, among other things:</w:t>
      </w:r>
    </w:p>
    <w:p>
      <w:pPr>
        <w:spacing w:after="0" w:line="67"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seek additional financing in the debt or equity markets;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refinance or restructure all or a portion of its indebtedness, including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sell selected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capital expenditures;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reduce or delay planned operating and investment expenditures.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Texas Instruments Incorporated to service its debt. In addition, any such financing, refinancing or sale of assets might not be available on economically favorable terms.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terms of the Notes will not protect you in the event of highly leveraged transactions or a change of control.</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terms of the Notes will not afford you protection in the event of certain highly leveraged transactions or a change of control that may adversely affect you. As a result, Texas Instruments Incorporated could enter into any such transaction even though the transaction could increase the total amount of its outstanding indebtedness, adversely affect its capital structure or credit rating or otherwise adversely affect the holders of the Notes. If any such transaction were to occur, the value of your Notes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 of the Notes may change and affect the market prices and marketability of the Notes.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Credit ratings are limited in scope, and do not address all material risks relating to an investment in the Notes, but rather reflect only the view of each rating agency at the time the rating is issued. An explanation of the significance of such rating may be obtained from such rating agency. There is no assurance that such credit ratings will remain in effect for any given period of time or that such ratings will not be lowered, suspended or withdrawn entirely by the rating agencies, if, in each rating agency’s judgment, circumstances so warrant. It is also possible that such ratings may be lowered in connection with future events. Holders of Notes will have no recourse against Texas Instruments Incorporated or any other parties in the event of a change in or suspension or withdrawal of such ratings. Any lowering, suspension or withdrawal of such ratings may have an adverse effect on the market prices or marketability of the Notes. In addition, any decline in the ratings of the Notes may make it more difficult for us to raise capital on acceptable terms.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060"/>
          </w:cols>
          <w:pgMar w:left="320" w:top="455" w:right="5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anticipate that we will receive net proceeds of approximately $ million from this offering after underwriting discounts and other estimated expenses. We expect to use the net proceeds of this offering for general corporate purposes. Initially we intend to invest the net proceeds of this offering in certificates of deposit, United States government securities and certain other interest-bearing securities.</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860"/>
          </w:cols>
          <w:pgMar w:left="320" w:top="455"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cash, cash equivalents and short-term investments and our capitalization on an actual and as adjusted basis as of December 31, 2022. Our consolidated capitalization, as adjusted, gives effect to the issuance of the Notes offered by this prospectus supplement. This table should be read in conjunction with our consolidated financial statements and the related notes incorporated by reference into this prospectus supplement and the accompanying prospectus.</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4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40" w:type="dxa"/>
            <w:vAlign w:val="bottom"/>
            <w:tcBorders>
              <w:bottom w:val="single" w:sz="8" w:color="CCEEFF"/>
            </w:tcBorders>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par value)</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9,067</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20</w:t>
            </w:r>
          </w:p>
        </w:tc>
        <w:tc>
          <w:tcPr>
            <w:tcW w:w="5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Notes offered hereby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88"/>
              </w:rPr>
              <w:t>20</w:t>
            </w:r>
          </w:p>
        </w:tc>
        <w:tc>
          <w:tcPr>
            <w:tcW w:w="5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 offered hereby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debt(2)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8,235</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8,235</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Preferred stock, $25 par value. Shares authorized—10; none issued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$1 par value. Shares authorized—2,400; shares issued</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 w:type="dxa"/>
            <w:vAlign w:val="bottom"/>
            <w:shd w:val="clear" w:color="auto" w:fill="CCEEFF"/>
          </w:tcPr>
          <w:p>
            <w:pPr>
              <w:spacing w:after="0"/>
              <w:rPr>
                <w:sz w:val="20"/>
                <w:szCs w:val="20"/>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—1,741</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1,741</w:t>
            </w: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2,951</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50,353</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Treasury common stock at cost (835 shares)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(40,214)</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 (AOCI) `</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(254)</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14,577</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5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capitalization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22,812</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offered hereby are shown at the amount of the public offering price, less offering expenses (including underwriting discounts).</w:t>
      </w:r>
    </w:p>
    <w:p>
      <w:pPr>
        <w:spacing w:after="0" w:line="27" w:lineRule="exact"/>
        <w:rPr>
          <w:rFonts w:ascii="Times New Roman" w:cs="Times New Roman" w:eastAsia="Times New Roman" w:hAnsi="Times New Roman"/>
          <w:sz w:val="18"/>
          <w:szCs w:val="18"/>
          <w:color w:val="auto"/>
        </w:rPr>
      </w:pPr>
    </w:p>
    <w:p>
      <w:pPr>
        <w:ind w:left="540" w:right="240" w:hanging="424"/>
        <w:spacing w:after="0" w:line="260"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$8.8 billion principal amount of our existing outstanding notes less net unamortized discounts, premiums and debt issuance costs of $65 million, less $500.0 million representing the current portion of long-term debt.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summary herein of certain provisions of the indenture does not purport to be complete and is subject to, and is qualified in its entirety by reference to, all of the provisions of the indenture, which has been filed as an exhibit to the registration statement of which this prospectus supplement forms a part. The following description of the particular terms of the Notes supplements the description of the general terms and provisions of the debt securities set forth under “Description of Debt Securities” beginning on page 7 of the accompanying 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ectPr>
          <w:pgSz w:w="11900" w:h="16838" w:orient="portrait"/>
          <w:cols w:equalWidth="0" w:num="1">
            <w:col w:w="11140"/>
          </w:cols>
          <w:pgMar w:left="320" w:top="455" w:right="439" w:bottom="1440" w:gutter="0" w:footer="0" w:header="0"/>
        </w:sectPr>
      </w:pP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 Notes will mature on , 20 and the 20 Notes will mature on , 20 . The Notes will be issued in book-entry form only, in denominations of $2,000 and multiples of $1,000 in excess thereof. Interest on each series of Notes will accrue from , 2023 at the rate per annum shown on the cover of this prospectus supplement. Interest on the Notes will be payable semi-annually on and , commencing on , 2023 to the persons in whose names the Notes are registered at the close of business on the preceding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50" w:lineRule="exact"/>
        <w:rPr>
          <w:sz w:val="20"/>
          <w:szCs w:val="20"/>
          <w:color w:val="auto"/>
        </w:rPr>
      </w:pPr>
    </w:p>
    <w:p>
      <w:pPr>
        <w:sectPr>
          <w:pgSz w:w="11900" w:h="16838" w:orient="portrait"/>
          <w:cols w:equalWidth="0" w:num="2">
            <w:col w:w="11000" w:space="60"/>
            <w:col w:w="80"/>
          </w:cols>
          <w:pgMar w:left="320" w:top="455" w:right="439" w:bottom="1440" w:gutter="0" w:footer="0" w:header="0"/>
          <w:type w:val="continuous"/>
        </w:sect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as the case may be. Interest on the Notes will be paid to but excluding the relevant interest payment date. Interest on the Notes will be calculated on the basis of a 360-day year comprised of twelve 30-day months.</w:t>
      </w:r>
    </w:p>
    <w:p>
      <w:pPr>
        <w:spacing w:after="0" w:line="18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Notes will be issued under the indenture dated May 23, 2011 by and between Texas Instruments Incorporated and U.S. Bank Trust Company, National Association, as successor in interest to U.S. Bank National Association, as may be further supplemented from time to time. U.S. Bank Trust Company, National Association is the trustee for any and all securities issued under the indenture, as amended, including the Notes, and is referred to herein as the “trustee.” Texas Instruments Incorporated will be the sole obligor on the Notes.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does not limit the ability of Texas Instruments Incorporated or its subsidiaries to incur additional unsecured indebtedness. The Notes will be the unsecured and unsubordinated obligations of Texas Instruments Incorporated and will rank pari passu with its other unsecured and unsubordinated indebtedness from time to time outstanding. The Notes will be effectively subordinated to all indebtedness and liabilities (including trade payables and preferred stock obligations) of Texas Instruments Incorporated’s subsidiaries and will be effectively subordinated to its secured indebtedness, if any, and that of its subsidiaries, if any. As of December 31, 2022, Texas Instruments Incorporated had approximately $8.8 billion principal amount of outstanding indebtedness. As of December 31 2022, Texas Instruments Incorporated had approximately $12.6 billion of total liabilities on a consolidated basis. Of the $12.6 billion of consolidated total liabilities, approximately $1.1 billion of liabilities (including trade payables and excluding intercompany debt) were held by subsidiaries of Texas Instruments Incorporated to which the Notes will be effectively subordinated.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an as adjusted basis after giving effect to this offering, as of December 31, 2022:</w:t>
      </w:r>
    </w:p>
    <w:p>
      <w:pPr>
        <w:sectPr>
          <w:pgSz w:w="11900" w:h="16838" w:orient="portrait"/>
          <w:cols w:equalWidth="0" w:num="1">
            <w:col w:w="11140"/>
          </w:cols>
          <w:pgMar w:left="320" w:top="455" w:right="439" w:bottom="1440" w:gutter="0" w:footer="0" w:header="0"/>
          <w:type w:val="continuous"/>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Texas Instruments Incorporated would have had approximately $ billion principal amount of total long-term indebtedness (including the Notes, but excluding the current portion of long-term indebtedness), all of which would constitute senior and unsubordinated indebtedness;</w:t>
      </w:r>
    </w:p>
    <w:p>
      <w:pPr>
        <w:spacing w:after="0" w:line="200" w:lineRule="exact"/>
        <w:rPr>
          <w:sz w:val="20"/>
          <w:szCs w:val="20"/>
          <w:color w:val="auto"/>
        </w:rPr>
      </w:pPr>
    </w:p>
    <w:p>
      <w:pPr>
        <w:sectPr>
          <w:pgSz w:w="11900" w:h="16838" w:orient="portrait"/>
          <w:cols w:equalWidth="0" w:num="2">
            <w:col w:w="720" w:space="360"/>
            <w:col w:w="10060"/>
          </w:cols>
          <w:pgMar w:left="320" w:top="455" w:right="439" w:bottom="1440" w:gutter="0" w:footer="0" w:header="0"/>
          <w:type w:val="continuous"/>
        </w:sectPr>
      </w:pP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Texas Instruments Incorporated would have had approximately $</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billion of total liabilities on a consolidated basis;</w:t>
      </w:r>
    </w:p>
    <w:p>
      <w:pPr>
        <w:spacing w:after="0" w:line="142" w:lineRule="exact"/>
        <w:rPr>
          <w:sz w:val="20"/>
          <w:szCs w:val="20"/>
          <w:color w:val="auto"/>
        </w:rPr>
      </w:pPr>
    </w:p>
    <w:p>
      <w:pPr>
        <w:sectPr>
          <w:pgSz w:w="11900" w:h="16838" w:orient="portrait"/>
          <w:cols w:equalWidth="0" w:num="3">
            <w:col w:w="720" w:space="360"/>
            <w:col w:w="4740" w:space="720"/>
            <w:col w:w="4600"/>
          </w:cols>
          <w:pgMar w:left="320" w:top="455" w:right="439" w:bottom="1440" w:gutter="0" w:footer="0" w:header="0"/>
          <w:type w:val="continuous"/>
        </w:sectPr>
      </w:pPr>
    </w:p>
    <w:p>
      <w:pPr>
        <w:ind w:left="1080" w:right="9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 would not have had any secured indebtedness to which the Notes would have been effectively subordinated; and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subsidiaries would have had approximately $1.1 billion of liabilities (including trade payables but excluding intercompany debt) to which the Notes would have been structurally subordinated.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40"/>
          </w:cols>
          <w:pgMar w:left="320" w:top="455" w:right="4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of Additional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Texas Instruments Incorporated may, without the consent of the holders, increase the principal amount of Notes of any series by issuing additional Notes of such series in the future on the same terms and conditions, except for any differences in the issue date, the issue price and interest accrued prior to the issue date of the additional Notes. The additional Notes will have the same CUSIP number as the Notes of the applicable series; provided that any additional Notes that are not fungible with the Notes of the applicable series for U.S. federal income tax purposes will be issued under a separate CUSIP number. Texas Instruments Incorporated also may, without the consent of the holders, issue other series of debt securities under the indenture in the future on terms and conditions different from the series of Notes offered 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Prior to the Par Call Date (as defined below) for a series of Notes, such Notes will be redeemable, in whole or in part at any time, or from time to time, at Texas Instruments Incorporated’s option, at a “make-whole premium” redemption price calculated by Texas Instruments Incorporated equal to the greater of:</w:t>
      </w:r>
    </w:p>
    <w:p>
      <w:pPr>
        <w:spacing w:after="0" w:line="176" w:lineRule="exact"/>
        <w:rPr>
          <w:sz w:val="20"/>
          <w:szCs w:val="20"/>
          <w:color w:val="auto"/>
        </w:rPr>
      </w:pPr>
    </w:p>
    <w:p>
      <w:pPr>
        <w:ind w:left="120" w:right="480" w:firstLine="436"/>
        <w:spacing w:after="0" w:line="276" w:lineRule="auto"/>
        <w:tabs>
          <w:tab w:leader="none" w:pos="81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w:t>
      </w:r>
    </w:p>
    <w:p>
      <w:pPr>
        <w:spacing w:after="0" w:line="1" w:lineRule="exact"/>
        <w:rPr>
          <w:sz w:val="20"/>
          <w:szCs w:val="20"/>
          <w:color w:val="auto"/>
        </w:rPr>
      </w:pPr>
    </w:p>
    <w:p>
      <w:pPr>
        <w:ind w:left="120"/>
        <w:spacing w:after="0"/>
        <w:tabs>
          <w:tab w:leader="none" w:pos="4360" w:val="left"/>
          <w:tab w:leader="none" w:pos="7020" w:val="left"/>
          <w:tab w:leader="none" w:pos="8560" w:val="left"/>
        </w:tabs>
        <w:rPr>
          <w:sz w:val="20"/>
          <w:szCs w:val="20"/>
          <w:color w:val="auto"/>
        </w:rPr>
      </w:pPr>
      <w:r>
        <w:rPr>
          <w:rFonts w:ascii="Times New Roman" w:cs="Times New Roman" w:eastAsia="Times New Roman" w:hAnsi="Times New Roman"/>
          <w:sz w:val="18"/>
          <w:szCs w:val="18"/>
          <w:color w:val="auto"/>
        </w:rPr>
        <w:t xml:space="preserve">months) at the Treasury Rate (as defined below) </w:t>
      </w:r>
      <w:r>
        <w:rPr>
          <w:rFonts w:ascii="Times New Roman" w:cs="Times New Roman" w:eastAsia="Times New Roman" w:hAnsi="Times New Roman"/>
          <w:sz w:val="18"/>
          <w:szCs w:val="18"/>
          <w:i w:val="1"/>
          <w:iCs w:val="1"/>
          <w:color w:val="auto"/>
        </w:rPr>
        <w:t>plus</w:t>
      </w:r>
      <w:r>
        <w:rPr>
          <w:sz w:val="20"/>
          <w:szCs w:val="20"/>
          <w:color w:val="auto"/>
        </w:rPr>
        <w:tab/>
      </w:r>
      <w:r>
        <w:rPr>
          <w:rFonts w:ascii="Times New Roman" w:cs="Times New Roman" w:eastAsia="Times New Roman" w:hAnsi="Times New Roman"/>
          <w:sz w:val="18"/>
          <w:szCs w:val="18"/>
          <w:color w:val="auto"/>
        </w:rPr>
        <w:t>basis points with respect to the 20</w:t>
        <w:tab/>
        <w:t>Notes and</w:t>
      </w:r>
      <w:r>
        <w:rPr>
          <w:sz w:val="20"/>
          <w:szCs w:val="20"/>
          <w:color w:val="auto"/>
        </w:rPr>
        <w:tab/>
      </w:r>
      <w:r>
        <w:rPr>
          <w:rFonts w:ascii="Times New Roman" w:cs="Times New Roman" w:eastAsia="Times New Roman" w:hAnsi="Times New Roman"/>
          <w:sz w:val="17"/>
          <w:szCs w:val="17"/>
          <w:color w:val="auto"/>
        </w:rPr>
        <w:t>basis points with respect to the</w:t>
      </w:r>
    </w:p>
    <w:p>
      <w:pPr>
        <w:spacing w:after="0" w:line="9" w:lineRule="exact"/>
        <w:rPr>
          <w:sz w:val="20"/>
          <w:szCs w:val="20"/>
          <w:color w:val="auto"/>
        </w:rPr>
      </w:pPr>
    </w:p>
    <w:p>
      <w:pPr>
        <w:ind w:left="520" w:hanging="404"/>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(b) interest accrued to the date of redemption, and</w:t>
      </w:r>
    </w:p>
    <w:p>
      <w:pPr>
        <w:spacing w:after="0" w:line="20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the redemption date.</w:t>
      </w:r>
    </w:p>
    <w:p>
      <w:pPr>
        <w:spacing w:after="0" w:line="22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or after the Par Call Date for a series of Notes, Texas Instruments Incorporated may redeem such Notes, in whole or in part, at any time and from time to time, at a redemption price equal to 100% of the principal amount of the Notes being redeemed plus accrued and unpaid interest thereon to the redemption date.</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236"/>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means</w:t>
            </w: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8"/>
        </w:trPr>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case of the 20</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date that is</w:t>
            </w:r>
          </w:p>
        </w:tc>
        <w:tc>
          <w:tcPr>
            <w:tcW w:w="3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months prior to the maturity date of the 20</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Notes), and</w:t>
            </w:r>
          </w:p>
        </w:tc>
      </w:tr>
      <w:tr>
        <w:trPr>
          <w:trHeight w:val="338"/>
        </w:trPr>
        <w:tc>
          <w:tcPr>
            <w:tcW w:w="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the case of the 20</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20</w:t>
            </w:r>
          </w:p>
        </w:tc>
        <w:tc>
          <w:tcPr>
            <w:tcW w:w="1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date that is</w:t>
            </w:r>
          </w:p>
        </w:tc>
        <w:tc>
          <w:tcPr>
            <w:tcW w:w="3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months prior to the maturity date of the 20</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w:t>
            </w:r>
          </w:p>
        </w:tc>
      </w:tr>
    </w:tbl>
    <w:p>
      <w:pPr>
        <w:spacing w:after="0" w:line="196"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Texas Instruments Incorporated in accordance with the following two paragraphs.</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Texas Instruments Incorporated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 – Treasury constant maturities – Nominal” (or any successor caption or heading) (“H.15 TCM”). In determining the Treasury Rate, Texas Instruments Incorporated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Texas Instruments Incorporated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Texas Instruments Incorporated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Texas Instruments Incorporated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Incorporated’s actions and determinations in determining the redemption price shall be conclusive and binding for all purposes, absent manifest error.</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Notes to be redeemed. Notice of any redemption of Notes may, at Texas Instruments Incorporated’s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8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Unless Texas Instruments Incorporated defaults in payment of the redemption price, on and after the redemption date interest will cease to accrue on the Notes or portions thereof called for redemption. Installments of interest on Notes that are due and payable on interest payment dates falling on or prior to a redemption date will be payable on the interest payment date to the registered holders as of the close of business on the relevant record date as set forth in the Notes and the indenture.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not be entitled to any sinking fund.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 series of Notes is defined under the indenture as being:</w:t>
      </w:r>
    </w:p>
    <w:p>
      <w:pPr>
        <w:spacing w:after="0" w:line="131" w:lineRule="exact"/>
        <w:rPr>
          <w:sz w:val="20"/>
          <w:szCs w:val="20"/>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principal on such series of Notes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payment of interest on such series of Notes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Incorporated’s default in the performance of or breach of any of its other covenants or agreements in the indenture applicable to such series of Notes, other than a covenant the default in performance or breach of which is specifically dealt with elsewhere in the indenture, and that default or breach continues for a period of 90 days after Texas Instruments Incorporated receives written notice from the trustee or from the holders of 25% or more in aggregate principal amount of such series of Notes and any other series of debt securities affected thereby then outstanding;</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36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Texas Instruments Incorporated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4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Texas Instruments Incorporated or for all or substantially all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Texas Instruments Incorporated’s affairs,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37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Texas Instruments Incorporated: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280" w:hanging="439"/>
        <w:spacing w:after="0" w:line="282"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or taking possession by a receiver, liquidator, assignee, custodian, trustee, sequestrator, or similar official of Texas Instruments Incorporated or for any substantial part of its property,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any general assignment for the benefit of creditors.</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default by Texas Instruments Incorporated under any other debt, including any other series of debt securities under the indenture, is not a default with respect to the Notes.</w:t>
      </w:r>
    </w:p>
    <w:p>
      <w:pPr>
        <w:spacing w:after="0" w:line="16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Notes and is continuing under the indenture, then, and in each and every such case, either the trustee or the holders of not less than 25% in aggregate principal amount of the Notes of such series then outstanding under the indenture (each such series voting as a separate class) by written notice to Texas Instruments Incorporated and to the trustee, if such notice is given by the holders, may, and the trustee at the request of such holders shall, declare the principal amount of and accrued interest, if any, on the Notes to be immediately due and payable.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Texas Instruments Incorporated and is continuing, then the entire principal amount of the outstanding debt securities, including the Notes, will automatically become due immediately and payable without any declaration or other act on the part of the trustee or any holder.</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the securities of the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 of each such debt security.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“Description of Debt Securities—Modification and Waiver” in the accompanying prospectus.</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the Notes of a series may direct the time, method, and place of conducting any proceeding for any remedy available to the trustee or exercising any trust or power conferred on the trustee with respect to such series of Notes. However, the trustee may refuse to follow any direction that conflicts with law or the indenture, that may involve the trustee in personal liability, or that the trustee determines in good faith may be unduly prejudicial to the rights of holders of all series of debt securities affected thereby and not joining in the giving of such direction and may take any other action it deems proper that is not inconsistent with any such direction received from holders of debt securities. No holder of Notes may pursue any remedy with respect to the indenture or a series of Notes unless:</w:t>
      </w:r>
    </w:p>
    <w:p>
      <w:pPr>
        <w:spacing w:after="0" w:line="93"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Notes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Notes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Texas Instruments Incorporated’s officers to certify, on or before a fixed date in each year in which any security is outstanding, as to their knowledge of Texas Instruments Incorporated’s compliance with all conditions and covenants under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 Global Note</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of each series sold in the United States will be issued in the form of one or more fully registered global notes without interest coupons which will be deposited with, or on behalf of, The Depository Trust Company (“DTC”), New York, New York, and registered in the name of Cede &amp; Co., as nominee of DTC, for the accounts of participants in DTC. Unless and until exchanged, in whole or in part, for Notes in definitive registered form, a global note may not be transferred except as a whole (i) by the depositary for such global note to a nominee of such depositary, (ii) by a nominee of such depositary to such depositary or another nominee of such depositary or (iii) by such depositary or any such nominee to a successor of such depositary or a nominee of such successor.</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Ownership of beneficial interests in a registered global note will be limited to persons, called participants, that have accounts with the depositary (currently DTC) or persons that may hold interests through participants in DTC. Investors may hold their interests in a global note directly through Euroclear Bank S.A./N.V., as operator of the Euroclear System (“Euroclear”), and Clearstream Banking, société anonyme (“Clearstream”), if they are participants in such systems, or indirectly through organizations that are participants in such systems. Euroclear and Clearstream will hold interests in a global note on behalf of their participants through their respective depositaries, which in turn will hold such interests in the global note in customers’ securities accounts in the depositaries’ names on the books of DTC.</w:t>
      </w:r>
    </w:p>
    <w:p>
      <w:pPr>
        <w:spacing w:after="0" w:line="18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Upon transfer of a definitive note, the definitive note will be exchanged for an interest in a global note, and the transferee will be required to hold its interest through a participant in DTC, Euroclear or Clearstream, as applicable.</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the issuance of a registered global note, the depositary will credit, on its book-entry registration and transfer system, the participants’ accounts with the respective principal or face amounts of the relevant series of Notes beneficially owned by the participants. Any dealers, underwriters or agents participating in the distribution of the Notes will designate the accounts to be credited. Ownership of beneficial interests in a registered global note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3"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registered global note, that depositary or its nominee, as the case may be, will be considered the sole owner or holder of the relevant series of Notes represented by the registered global note for all purposes under the indenture. Except as described below, owners of beneficial interests in a registered global note will not be entitled to have the Notes represented by the registered global note registered in their names, will not receive or be entitled to receive physical delivery of the Notes in definitive form and will not be considered the owners or holders of the Notes under the indenture. Accordingly, each person owning a beneficial interest in a registered global note must rely on the procedures of the depositary for that registered global note and, if that person is not a participant, on the procedures of the participant through which the person owns its interest, to exercise any rights of a holder under the indenture. The laws of some states may require that some purchasers of Notes take physical delivery of these Notes in definitive form. Such laws may impair the ability to transfer beneficial interests in a global note.</w:t>
      </w:r>
    </w:p>
    <w:p>
      <w:pPr>
        <w:spacing w:after="0" w:line="17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Notes deposited by participants with DTC will be registered in the name of DTC’s nominee, Cede &amp; Co. The deposit of the Notes with DTC and their registration in the name of Cede &amp; Co. effect no change in beneficial ownership. DTC will have no knowledge of the actual beneficial owners of the Notes. DTC’s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Texas Instruments Incorporated will make payments due on the Notes to Cede &amp; Co., as nominee of DTC, in immediately available funds. DTC’s practice upon receipt of any payment of principal, premium, interest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other distribution of underlying securities or other property to holders on that registered global note, is to immediately credit participants’ accounts in amounts proportionate to their respective beneficial interests in that registered global note as shown on the records of the depositary. Payments by participants to owners of beneficial interests in a registered global note held through participants will be governed by standing customer instructions and customary practices, as is now the case with the securities held for the accounts of customers in bearer form or registered in “street name,” and will be the responsibility of those participants. Payment to Cede &amp; Co. is the responsibility of Texas Instruments Incorporated. Disbursement of such payments to direct participants is the responsibility of Cede &amp; Co. Disbursement of such payments to the beneficial owners is the responsibility of direct and indirect participants. None of Texas Instruments Incorporated, the trustee or any other agent of ours or any agent of the trustee will have any responsibility or liability for any aspect of the records relating to payments made on account of beneficial ownership interests in the registered global note or for maintaining, supervising or reviewing any records relating to those beneficial ownership interests.</w:t>
      </w:r>
    </w:p>
    <w:p>
      <w:pPr>
        <w:spacing w:after="0" w:line="188"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Transfers between participants in Euroclear and Clearstream will be effected in the ordinary way in accordance with their respective rules and operating procedures. If a holder requires physical delivery of a definitive note for any reason, including to sell Notes to persons in jurisdictions that require such delivery of such Notes or to pledge such Notes, such holder must transfer its interest in the relevant global note in accordance with the normal procedures of DTC and the procedures set forth in the indenture.</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DTC, on the one hand, and directly or indirectly through Euroclear or Clearstream participants, on the other, will be effected by DTC in accordance with DTC rules on behalf of Euroclear or Clearstream, as the case may be, by its respective depositary; however, such cross-market transactions will require delivery of instructions to Euroclear or Clearstream, as the case may be, by the counterparty in such system in accordance with its rules and procedures and within its established deadlines (Brussels time). Euroclear or Clearstream, as the case may be, will, if the transaction meets its settlement requirements, deliver instructions to its respective depositary to take action to effect final settlement on its behalf by delivering or receiving interests in the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the time zone differences, the securities account of a Euroclear or Clearstream participant purchasing an interest in the global note from a DTC participant will be credited during the securities settlement processing day (which must be a business day for Euroclear or Clearstream, as the case may be) immediately following the DTC settlement date, and such credit of any transaction’s interests in the global note settled during such processing day will be reported to the relevant Euroclear or Clearstream participant on such day. Cash received in Euroclear or Clearstream as a result of sales of interests in a global note by or through a Euroclear or Clearstream participant to a DTC participant will be received with value on the DTC settlement date, but will be available in the relevant Euroclear or Clearstream cash account only as of the business day following settlement in DTC.</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Texas Instruments Incorporated expects that DTC will take any action permitted to be taken by a holder of Notes only at the direction of one or more participants to whose account the DTC interests in a global note are credited and only in respect of such portion of the aggregate principal amount of the Notes as to which such participant or participants has or have given such direction. However, if there is an event of default under the Notes, DTC will exchange each global note for definitive notes, which it will distribute to its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Texas Instruments Incorporated expects that DTC, Euroclear and Clearstream will agree to the foregoing procedures in order to facilitate transfers of interests in each global note among participants of DTC, Euroclear and Clearstream, DTC, Euroclear and Clearstream are under no obligation to perform or continue to perform such procedures, and such procedures may be discontinued at any time. Neither Texas Instruments Incorporated nor the trustee will have any responsibility for the performance by DTC, Euroclear or Clearstream or their participants or indirect participants of their respective obligations under the rules and procedures governing their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the depositary for any of the Notes represented by a registered global note is at any time unwilling or unable to continue as depositary or ceases to be a clearing agency registered under the Securities Exchange Act of 1934, as amended (the “Exchange Act”), and a successor depositary registered as a clearing agency under the Exchange Act is not appointed by Texas Instruments Incorporated within 90 days, Texas Instruments Incorporated will issue Notes in definitive form in exchange for the registered global note that had been held by the depositary.</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Any Notes issued in definitive form in exchange for a registered global note will be registered in the name or names that the depositary gives to the trustee. It is expected that the depositary’s instructions will be based upon directions received by the depositary from participants with respect to ownership of beneficial interests in the registered global note that had been held by the depositary. In addition, Texas Instruments Incorporated may at any time determine that the Notes of any series shall no longer be represented by a global note and will issue Notes in definitive form in exchange for such global note pursuant to the procedure described above.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such as transfers and pledges, among its participants in such securities through electronic computerized book-entry changes in accounts of the participants, thereby eliminating the need for physical movement of securities certificates.</w:t>
      </w:r>
    </w:p>
    <w:p>
      <w:pPr>
        <w:spacing w:after="0" w:line="194"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DTC’s participants include securities brokers and dealers, banks, trust companies, clearing corporations and certain other organizations, some of whom own DTC. Access to DTC’s book-entry system is also available to others, such as banks, brokers, dealers and trust companies that clear through or maintain a custodial relationship with a participant, either directly or indirectly. The rules applicable to DTC and its participants are on file with the SEC.</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or Clearstream is also available to others such as banks, brokers, dealers and trust companies that clear through or maintain a custodial relationship with a Euroclear or Clearstream participant, either directly or indirectly.</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as well as information regarding Euroclear and Clearstream, has been obtained from sources that Texas Instruments Incorporated believes to be reliable, but Texas Instruments Incorporated takes no responsibility for its accuracy or completeness. Texas Instruments Incorporated assumes no responsibility for the performance by DTC, Euroclear, Clearstream or their respective participants of their respective obligations, including obligations that they have under the rules and procedures that govern their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each series of the Notes will be made by first class mail, postage prepaid, to the addresses that appear on the security register for such series of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Concerning Our Relationship with the Trustee</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maintain ordinary banking relationships with the trustee and its affiliates and in the future may enter into additional such relationships. An affiliate of the trustee is a lender under our credit facility.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the material U.S. federal income tax consequences of owning and disposing of Notes purchased for cash in this offering at the “issue price,” which we assume will be the applicable public offering price indicated on the cover of this prospectus supplement, and held as capital assets for U.S. federal income tax purposes.</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describe all of the tax consequences that may be relevant to you in light of your particular circumstances, including alternative minimum tax consequences and differing tax consequences that may apply to you if you are, for instance:</w:t>
      </w:r>
    </w:p>
    <w:p>
      <w:pPr>
        <w:spacing w:after="0" w:line="67"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trader in securities that uses a mark-to-market method of tax accounting;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Notes as part of a “straddle” or integrated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for U.S. federal income tax purposes to conform the timing of income accruals with respect to the Notes to its financial statements under Section 451 of the Internal Revenue Code of 1986, as amended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partnership for U.S. federal income tax purposes;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entity.</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are a partnership for U.S. federal income tax purposes, the U.S. federal income tax treatment of each of your partners will generally depend on the status of the partner and your activities.</w:t>
      </w:r>
    </w:p>
    <w:p>
      <w:pPr>
        <w:spacing w:after="0" w:line="162" w:lineRule="exact"/>
        <w:rPr>
          <w:sz w:val="20"/>
          <w:szCs w:val="20"/>
          <w:color w:val="auto"/>
        </w:rPr>
      </w:pPr>
    </w:p>
    <w:p>
      <w:pPr>
        <w:jc w:val="both"/>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This summary is based on the Code, administrative pronouncements, judicial decisions and final, temporary and proposed Treasury Regulations, changes to any of which after the date of this prospectus supplement may affect the tax consequences described herein, possibly on a retroactive basis.</w:t>
      </w:r>
    </w:p>
    <w:p>
      <w:pPr>
        <w:spacing w:after="0" w:line="14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discuss any aspect of state, local, or non-U.S. taxation, any federal taxes other than U.S. federal income taxes, or the potential application of the Medicare contribution tax. If you are considering the purchase of Notes, you should consult your tax adviser with regard to the application of the U.S. federal tax laws to your particular situation, as well as any tax consequences arising under the laws of any state, local or non-U.S. taxing jurisdiction.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section applies to you if you are a U.S. Holder. You are a U.S. Holder if for U.S. federal income tax purposes you are a beneficial owner of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and are:</w:t>
      </w:r>
    </w:p>
    <w:p>
      <w:pPr>
        <w:spacing w:after="0" w:line="112"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or other taxable disposition of a Note, you will recognize taxable gain or loss equal to the difference between the amount realized on the sale or other taxable disposition and your adjusted tax basis in the Note. Your adjusted tax basis in a Note will equal the cost of your Note. For these purposes, the amount realized does not include any amount attributable to accrued but unpaid interest, which is treated as described under “—Payments of Interest” above. Gain or loss realized on the sale or other taxable disposition of a Note will generally be capital gain or loss and will be long-term capital gain or loss if at the time of sale or other taxable disposition you have held the Note for more than one year. Long-term capital gains recognized by non-corporate U.S. Holders may be subject to reduced tax rates. The deductibility of capital losses is subject to limitations.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Information returns are required to be filed with the Internal Revenue Service (“IRS”) in connection with payments on the Notes and the proceeds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Amounts withheld under the backup withholding rules are not additional taxes and may be refunded or credited against your U.S. federal income tax liability, provided the required information is timely furnished to the IRS.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This section applies to you if are a Non-U.S. Holder. You are a Non-U.S. Holder if for U.S. federal income tax purposes you are a beneficial owner of a Note and are:</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estate or trust.</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You are not a Non-U.S. Holder if you are a nonresident alien individual present in the United States for 183 days or more in the taxable year of disposition of a Note, or if you are a former citizen or former resident of the United States, in which case you should consult your tax adviser regarding the U.S. federal income tax consequences of owning and disposing of a Note.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payments of principal and interest on the Notes to you will not be subject to U.S. federal income or withholding tax, provided that, in the case of interest,</w:t>
      </w:r>
    </w:p>
    <w:p>
      <w:pPr>
        <w:spacing w:after="0" w:line="67" w:lineRule="exact"/>
        <w:rPr>
          <w:sz w:val="20"/>
          <w:szCs w:val="20"/>
          <w:color w:val="auto"/>
        </w:rPr>
      </w:pPr>
    </w:p>
    <w:p>
      <w:pPr>
        <w:ind w:left="1080" w:right="2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own, actually or constructively, ten percent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controlled foreign corporation related, directly or indirectly, to us through stock ownership;</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certify on a properly executed IRS Form W-8BEN or W-8BEN-E (or other applicable form), under penalties of perjury, that you are not a United States person or you otherwise satisfy certification requirements applicable to Notes held through certain intermediaries;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effectively connected with your conduct of a trade or business in the United States as described below.</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you cannot satisfy any of the first three requirements described above and interest on the Notes is not subject to net income tax as described below under “—Effectively Connected Income,” payments of interest on the Notes will generally be subject to withholding tax at a rate of 30%, subject to an applicable treaty providing otherwise.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the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you generally will not be subject to U.S. federal income or withholding tax on gain realized on a sale, redemption or other taxable disposition of Notes, unless the gain is effectively connected with your conduct of a trade or business in the United States as described below; provided, however, that any amounts attributable to accrued interest will be treated as described above under “—Payments on the Notes.”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Effectively Connected Income</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interest or gain on a Note is effectively connected with your conduct of a trade or business in the United States (and, if required by an applicable income tax treaty, is attributable to a U.S. permanent establishment or fixed base maintained by you), you will generally be subject to net income tax on such amounts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are urged to consult your tax adviser with respect to other U.S. tax consequences of the ownership and disposition of Notes, including the possible imposition of a branch profits tax at a rate of 30% (or a lower treaty rate) if you are a corporation.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payment of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Compliance with the certification procedures required to claim the exemption from withholding tax on interest described above will satisfy the certification requirements necessary to avoid backup withholding as well. Amounts withheld under the backup withholding rules are not additional taxes and may be refunded or credited against your U.S. federal income tax liability, provided that the required information is timely furnished to the 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interest on the Notes to, as well as of gross proceeds of sales or redemptions of the Notes paid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An intergovernmental agreement between the United States and the non-U.S. entity’s jurisdiction may modify these requirements. In addition, regulations proposed by the U.S. Treasury Department would eliminate the requirement under FATCA of withholding on gross proceeds (other than payments of interest) of the disposition of the Notes. The U.S. Treasury Department has stated that taxpayers may rely on these proposed regulations pending their finalization. If FATCA withholding is imposed, a beneficial owner that is not a foreign financial institution generally will be entitled to a refund of any amounts withheld by filing a U.S. federal income tax return (which may entail significant administrative burden). You should consult your tax adviser regarding the effects of FATCA on your investment in the Notes.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jc w:val="both"/>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Barclays Capital Inc., BofA Securities, Inc. and MUFG Securities Americas Inc. are acting as representatives of the underwriters named below. Subject to the terms and conditions stated in the underwriting agreement dated the date of this prospectus supplement, each underwriter named below has severally agreed to purchase, and we have agreed to sell to that underwriter, the principal amount of the Notes set forth opposite the underwriter’s name.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540" w:type="dxa"/>
            <w:vAlign w:val="bottom"/>
          </w:tcPr>
          <w:p>
            <w:pPr>
              <w:spacing w:after="0"/>
              <w:rPr>
                <w:sz w:val="13"/>
                <w:szCs w:val="13"/>
                <w:color w:val="auto"/>
              </w:rPr>
            </w:pP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Principal</w:t>
            </w:r>
          </w:p>
        </w:tc>
      </w:tr>
      <w:tr>
        <w:trPr>
          <w:trHeight w:val="148"/>
        </w:trPr>
        <w:tc>
          <w:tcPr>
            <w:tcW w:w="5940" w:type="dxa"/>
            <w:vAlign w:val="bottom"/>
          </w:tcPr>
          <w:p>
            <w:pPr>
              <w:spacing w:after="0"/>
              <w:rPr>
                <w:sz w:val="12"/>
                <w:szCs w:val="12"/>
                <w:color w:val="auto"/>
              </w:rPr>
            </w:pPr>
          </w:p>
        </w:tc>
        <w:tc>
          <w:tcPr>
            <w:tcW w:w="9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w:t>
            </w:r>
          </w:p>
        </w:tc>
        <w:tc>
          <w:tcPr>
            <w:tcW w:w="54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Amount of 20</w:t>
            </w:r>
          </w:p>
        </w:tc>
      </w:tr>
      <w:tr>
        <w:trPr>
          <w:trHeight w:val="173"/>
        </w:trPr>
        <w:tc>
          <w:tcPr>
            <w:tcW w:w="594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540" w:type="dxa"/>
            <w:vAlign w:val="bottom"/>
          </w:tcPr>
          <w:p>
            <w:pPr>
              <w:spacing w:after="0"/>
              <w:rPr>
                <w:sz w:val="15"/>
                <w:szCs w:val="15"/>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Notes</w:t>
            </w:r>
          </w:p>
        </w:tc>
      </w:tr>
      <w:tr>
        <w:trPr>
          <w:trHeight w:val="209"/>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9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MUFG Securities Americas Inc.</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705"/>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312" w:lineRule="auto"/>
        <w:rPr>
          <w:sz w:val="20"/>
          <w:szCs w:val="20"/>
          <w:color w:val="auto"/>
        </w:rPr>
      </w:pPr>
      <w:r>
        <w:rPr>
          <w:rFonts w:ascii="Times New Roman" w:cs="Times New Roman" w:eastAsia="Times New Roman" w:hAnsi="Times New Roman"/>
          <w:sz w:val="17"/>
          <w:szCs w:val="17"/>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4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 % per 20 Note and % per 20 Note. Any such securities dealers may resell any Notes purchased from the underwriters to certain other brokers or dealers at a discount from the initial public offering price not to exceed % per 20 Note and % per 20 Note. If all of the Notes are not sold at the initial offering price, the underwriters may change the offering price and the other selling terms.</w:t>
      </w:r>
    </w:p>
    <w:p>
      <w:pPr>
        <w:spacing w:after="0" w:line="183"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4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Paid by</w:t>
            </w:r>
          </w:p>
        </w:tc>
      </w:tr>
      <w:tr>
        <w:trPr>
          <w:trHeight w:val="149"/>
        </w:trPr>
        <w:tc>
          <w:tcPr>
            <w:tcW w:w="1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040" w:type="dxa"/>
            <w:vAlign w:val="bottom"/>
            <w:gridSpan w:val="3"/>
          </w:tcPr>
          <w:p>
            <w:pPr>
              <w:jc w:val="center"/>
              <w:ind w:right="1900"/>
              <w:spacing w:after="0" w:line="149" w:lineRule="exact"/>
              <w:rPr>
                <w:sz w:val="20"/>
                <w:szCs w:val="20"/>
                <w:color w:val="auto"/>
              </w:rPr>
            </w:pPr>
            <w:r>
              <w:rPr>
                <w:rFonts w:ascii="Times New Roman" w:cs="Times New Roman" w:eastAsia="Times New Roman" w:hAnsi="Times New Roman"/>
                <w:sz w:val="14"/>
                <w:szCs w:val="14"/>
                <w:b w:val="1"/>
                <w:bCs w:val="1"/>
                <w:color w:val="auto"/>
              </w:rPr>
              <w:t>Texas Instruments</w:t>
            </w:r>
          </w:p>
        </w:tc>
      </w:tr>
      <w:tr>
        <w:trPr>
          <w:trHeight w:val="173"/>
        </w:trPr>
        <w:tc>
          <w:tcPr>
            <w:tcW w:w="1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3040" w:type="dxa"/>
            <w:vAlign w:val="bottom"/>
            <w:gridSpan w:val="3"/>
          </w:tcPr>
          <w:p>
            <w:pPr>
              <w:jc w:val="center"/>
              <w:ind w:right="1900"/>
              <w:spacing w:after="0"/>
              <w:rPr>
                <w:sz w:val="20"/>
                <w:szCs w:val="20"/>
                <w:color w:val="auto"/>
              </w:rPr>
            </w:pPr>
            <w:r>
              <w:rPr>
                <w:rFonts w:ascii="Times New Roman" w:cs="Times New Roman" w:eastAsia="Times New Roman" w:hAnsi="Times New Roman"/>
                <w:sz w:val="14"/>
                <w:szCs w:val="14"/>
                <w:b w:val="1"/>
                <w:bCs w:val="1"/>
                <w:color w:val="auto"/>
              </w:rPr>
              <w:t>Incorporated</w:t>
            </w:r>
          </w:p>
        </w:tc>
      </w:tr>
      <w:tr>
        <w:trPr>
          <w:trHeight w:val="210"/>
        </w:trPr>
        <w:tc>
          <w:tcPr>
            <w:tcW w:w="1320" w:type="dxa"/>
            <w:vAlign w:val="bottom"/>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20</w:t>
            </w:r>
          </w:p>
        </w:tc>
        <w:tc>
          <w:tcPr>
            <w:tcW w:w="39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1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7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Per 20</w:t>
            </w:r>
          </w:p>
        </w:tc>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w:t>
            </w:r>
          </w:p>
        </w:tc>
        <w:tc>
          <w:tcPr>
            <w:tcW w:w="2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20"/>
                <w:szCs w:val="20"/>
                <w:color w:val="auto"/>
              </w:rPr>
            </w:pPr>
          </w:p>
        </w:tc>
      </w:tr>
      <w:tr>
        <w:trPr>
          <w:trHeight w:val="414"/>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 estimate that our total expenses for this offering will be approximately $</w:t>
            </w:r>
          </w:p>
        </w:tc>
        <w:tc>
          <w:tcPr>
            <w:tcW w:w="466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w w:val="99"/>
              </w:rPr>
              <w:t>million, including underwriting discounts. The underwriters</w:t>
            </w:r>
          </w:p>
        </w:tc>
      </w:tr>
    </w:tbl>
    <w:p>
      <w:pPr>
        <w:ind w:left="120"/>
        <w:spacing w:after="0"/>
        <w:rPr>
          <w:sz w:val="20"/>
          <w:szCs w:val="20"/>
          <w:color w:val="auto"/>
        </w:rPr>
      </w:pPr>
      <w:r>
        <w:rPr>
          <w:rFonts w:ascii="Times New Roman" w:cs="Times New Roman" w:eastAsia="Times New Roman" w:hAnsi="Times New Roman"/>
          <w:sz w:val="18"/>
          <w:szCs w:val="18"/>
          <w:color w:val="auto"/>
        </w:rPr>
        <w:t>have agreed to reimburse us for certain of our expenses in connection with the offering.</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Notes in the open market.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Purchases and sales in the open market may include short sales, purchases to cover short positions and stabilizing purchases.</w:t>
      </w:r>
    </w:p>
    <w:p>
      <w:pPr>
        <w:spacing w:after="0" w:line="131" w:lineRule="exact"/>
        <w:rPr>
          <w:sz w:val="20"/>
          <w:szCs w:val="20"/>
          <w:color w:val="auto"/>
        </w:rPr>
      </w:pPr>
    </w:p>
    <w:p>
      <w:pPr>
        <w:ind w:left="1080" w:right="1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involve secondary market sales by the underwriters of a greater number of the Notes than they are required to purchase in this offering.</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Covering transactions involve purchases of the Notes in the open market after the distribution has been completed in order to cover short positions.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involve bids to purchase the Notes so long as the stabilizing bids do not exceed a specified maximum. Purchases to cover short positions and stabilizing purchases, as well as other purchases by the underwriters for their own accounts, may have the effect of preventing or retarding a decline in the market price of the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w:t>
      </w:r>
    </w:p>
    <w:p>
      <w:pPr>
        <w:spacing w:after="0" w:line="27"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8"/>
          <w:szCs w:val="18"/>
          <w:color w:val="auto"/>
        </w:rPr>
        <w:t>prospectus supplement, which will be the business day following the date of the pricing of the Notes. Under Rule 15c6-1 of the Exchange Act, trades in the secondary market generally are required to settle in two business days, unless the parties to a trade expressly agree otherwise. Accordingly, purchasers who wish to trade Notes prior to the second business day before the delivery of the Notes hereunder will be required, by virtue of the fact that the Notes initially will settle in T+ , to specify alternative settlement arrangements to prevent a failed settlement.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instruments) and financial instruments (which may include bank loans and/or credit default swaps) for their own account and for the accounts of their customers. Such investment and securities activities may involve our securities and instruments. If any of the underwriters or their affiliates has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Affiliates of some of the underwriters are lenders, and in some cases agents or managers for the lenders, under our credit facility.</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or (ii) a customer within the meaning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3"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w:t>
      </w:r>
    </w:p>
    <w:p>
      <w:pPr>
        <w:spacing w:after="0" w:line="2" w:lineRule="exact"/>
        <w:rPr>
          <w:sz w:val="20"/>
          <w:szCs w:val="20"/>
          <w:color w:val="auto"/>
        </w:rPr>
      </w:pPr>
    </w:p>
    <w:p>
      <w:pPr>
        <w:ind w:left="120" w:right="220" w:hanging="4"/>
        <w:spacing w:after="0" w:line="253" w:lineRule="auto"/>
        <w:tabs>
          <w:tab w:leader="none" w:pos="21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document or on the merits of the Notes and any representation to the contrary is an offence.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Canadian investors are advised that this document has been prepared in reliance on section 3A.3 of National Instrument</w:t>
      </w:r>
    </w:p>
    <w:p>
      <w:pPr>
        <w:spacing w:after="0" w:line="31" w:lineRule="exact"/>
        <w:rPr>
          <w:sz w:val="20"/>
          <w:szCs w:val="20"/>
          <w:color w:val="auto"/>
        </w:rPr>
      </w:pPr>
    </w:p>
    <w:p>
      <w:pPr>
        <w:jc w:val="both"/>
        <w:ind w:left="120" w:right="1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33-105 </w:t>
      </w:r>
      <w:r>
        <w:rPr>
          <w:rFonts w:ascii="Times New Roman" w:cs="Times New Roman" w:eastAsia="Times New Roman" w:hAnsi="Times New Roman"/>
          <w:sz w:val="18"/>
          <w:szCs w:val="18"/>
          <w:b w:val="1"/>
          <w:bCs w:val="1"/>
          <w:i w:val="1"/>
          <w:iCs w:val="1"/>
          <w:color w:val="auto"/>
        </w:rPr>
        <w:t>Underwriting Conflicts</w:t>
      </w:r>
      <w:r>
        <w:rPr>
          <w:rFonts w:ascii="Times New Roman" w:cs="Times New Roman" w:eastAsia="Times New Roman" w:hAnsi="Times New Roman"/>
          <w:sz w:val="18"/>
          <w:szCs w:val="18"/>
          <w:b w:val="1"/>
          <w:bCs w:val="1"/>
          <w:color w:val="auto"/>
        </w:rPr>
        <w:t xml:space="preserve">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Resale Restrictions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offer and sale of the Notes in Canada is being made on a private placement basis only and is exempt from the requirement to prepare and file a prospectus under applicable Canadian securities laws. Any resale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of Purchasers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Notes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Taxation and Eligibility for Investment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of Action for Damages or Rescission</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Language of Documents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Upon receipt of this document, each Canadian investor hereby confirms that it has expressly requested that all documents evidencing or relating in any way to the sale of the Notes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France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Notes described in this prospectus supplement has been submitted to the clearance procedures of the Autorité des Marchés Financiers or of the competent authority of another member state of the European Economic Area and notified to the Autorité des Marchés Financiers.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31" w:lineRule="exact"/>
        <w:rPr>
          <w:sz w:val="20"/>
          <w:szCs w:val="20"/>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àl’épargne).</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Notes may be resold directly or indirectly, only in compliance with articles L.411-1, L.411-2, L.412-1 and L.621-8 through L.621-8-3 of the French Code monétaire et financier.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Notes offered in this prospectus supplement have not been registered under the Securities and Exchange Law of Japan. The Notes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85"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 or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Singapore Securities and Futures Act Product Classification</w:t>
      </w:r>
      <w:r>
        <w:rPr>
          <w:rFonts w:ascii="Times New Roman" w:cs="Times New Roman" w:eastAsia="Times New Roman" w:hAnsi="Times New Roman"/>
          <w:sz w:val="18"/>
          <w:szCs w:val="18"/>
          <w:color w:val="auto"/>
        </w:rPr>
        <w:t>—Solely for the purposes of its obligations pursuant to sections 309B(1)(a)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do not constitute an issue prospectus pursuant to Article 652a or Article 1156 of the Swiss Code of Obligations and the Notes will not be listed on the SIX Swiss Exchange. Therefore, this prospectus supplement and the accompanying prospectus may not comply with the disclosure standards of the listing rules (including any additional listing rules or prospectus schemes) of the SIX Swiss Exchange.</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Accordingly, the Notes may not be offered to the public in or from Switzerland, but only to a selected and limited circle of investors who do not subscribe to the Notes with a view to distribution. Any such investors will be individually approached by the underwriters from time to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Taiwan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Notes have not been, and will not be, registered with the Financial Supervisory Commission of Taiwan, the Republic of China (“Taiwan”) pursuant to applicable securities laws and regulations. No person or entity in Taiwan is authorized to distribute or otherwise intermediate the offering of the Notes or the provision of information relating to the offering of the Notes, including, but not limited to, this prospectus supplement and the accompanying prospectus. The Notes may be made available for purchase outside Taiwan by investors residing in Taiwan (either directly or through properly licensed Taiwan intermediaries acting on behalf of such investors), but may not be issued, offered or sold in Taiwan.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Plan Investors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may be purchased and held by or with the assets of (i) “employee benefit plans” within the meaning of Section 3(3) of the Employee Retirement Income Security Act of 1974, as amended (“ERISA”) subject to Title I of ERISA, (ii) plans, individual retirement accounts and other arrangements subject to Section 4975 of the Internal Revenue Code of 1986, as amended (the “Code”), or provisions of any other U.S. or non-U.S. federal, state, local or other laws or regulations that are similar to such provisions of ERISA or the Code (“Similar Laws”) and (iii) entities whose underlying assets are considered to include plan assets of any of the foregoing described in clauses (i) and (ii), pursuant to ERISA or otherwise (each of the foregoing described in clauses (i), (ii) and (iii) referred to herein as a “Plan”). A fiduciary of a Plan subject to Title I of ERISA or Similar Laws must determine that the purchase and holding of a Note is consistent with its fiduciary duties under any applicable provision of ERISA, Section 4975 of the Code or Similar Laws. Each purchaser and subsequent transferee that is a Plan must also determine, and will be deemed to have represented by its purchase and holding of a Note, that such purchase and holding and any subsequent disposition of the Note will not constitute or result in a non-exempt prohibited transaction under Section 406 of ERISA or Section 4975 of the Code, or a violation of any applicable Similar Law. Such purchaser or transferee should consult legal counsel before purchasing the Notes. Nothing in this prospectus supplement, or the accompanying prospectus is, or should be construed as, a representation or advice as to whether an investment in the Notes is appropriate for, or would meet any or all of the relevant legal requirements with respect to investments by, Plans generally or any particular Plan.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legality of the Notes offered hereby will be passed upon for us by Davis Polk &amp; Wardwell LLP, Menlo Park, California. Certain legal matters will be passed upon for the underwriters by Simpson Thacher &amp; Bartlett LLP, New York, New York.</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2022, and the effectiveness of our internal control over financial reporting as of December 31, 2022, as set forth in their reports, which are incorporated by reference in this prospectus supplement and elsewhere in the registration statement. Our financial statements and our management’s assessment of the effectiveness of internal control over financial reporting as of December 31, 2022 are incorporated by reference in reliance on Ernst &amp; Young LLP’s reports, given on their authority as experts in accounting and auditing.</w:t>
      </w:r>
    </w:p>
    <w:p>
      <w:pPr>
        <w:spacing w:after="0" w:line="39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 website at www.sec.gov, from which interested persons can electronically access our SEC filings, including the registration statement of which this prospectus supplement forms a part and the exhibits and schedules thereto.</w:t>
      </w:r>
    </w:p>
    <w:p>
      <w:pPr>
        <w:spacing w:after="0" w:line="176"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our Annual Report on </w:t>
      </w:r>
      <w:hyperlink r:id="rId47">
        <w:r>
          <w:rPr>
            <w:rFonts w:ascii="Times New Roman" w:cs="Times New Roman" w:eastAsia="Times New Roman" w:hAnsi="Times New Roman"/>
            <w:sz w:val="17"/>
            <w:szCs w:val="17"/>
            <w:u w:val="single" w:color="auto"/>
            <w:color w:val="0000EE"/>
          </w:rPr>
          <w:t>Form 10-K</w:t>
        </w:r>
      </w:hyperlink>
      <w:r>
        <w:rPr>
          <w:rFonts w:ascii="Times New Roman" w:cs="Times New Roman" w:eastAsia="Times New Roman" w:hAnsi="Times New Roman"/>
          <w:sz w:val="17"/>
          <w:szCs w:val="17"/>
          <w:color w:val="auto"/>
        </w:rPr>
        <w:t xml:space="preserve"> for the year ended December 31, 2022, filed on February 3, 2023, our Current Report on </w:t>
      </w:r>
      <w:hyperlink r:id="rId48">
        <w:r>
          <w:rPr>
            <w:rFonts w:ascii="Times New Roman" w:cs="Times New Roman" w:eastAsia="Times New Roman" w:hAnsi="Times New Roman"/>
            <w:sz w:val="17"/>
            <w:szCs w:val="17"/>
            <w:u w:val="single" w:color="auto"/>
            <w:color w:val="0000EE"/>
          </w:rPr>
          <w:t>Form 8-K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filed on January 20, 2023 and our Current Report on </w:t>
      </w:r>
      <w:hyperlink r:id="rId49">
        <w:r>
          <w:rPr>
            <w:rFonts w:ascii="Times New Roman" w:cs="Times New Roman" w:eastAsia="Times New Roman" w:hAnsi="Times New Roman"/>
            <w:sz w:val="17"/>
            <w:szCs w:val="17"/>
            <w:u w:val="single" w:color="auto"/>
            <w:color w:val="0000EE"/>
          </w:rPr>
          <w:t>Form 8-K</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filed</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on February 16, 2023 (solely to the extent included in Item 5.02 of such Current Report), and all documents subsequently filed with the</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SEC pursuant to Section 13(a), 13(c), 14, or 15(d) of the Exchange Act (other than those documents or the portions of those documents furnished, including pursuant to Items 2.02 or 7.01 of any Current Report on Form 8-K) prior to the termination of the offering under this prospectus supplement.</w:t>
      </w:r>
    </w:p>
    <w:p>
      <w:pPr>
        <w:spacing w:after="0" w:line="171" w:lineRule="exact"/>
        <w:rPr>
          <w:rFonts w:ascii="Times New Roman" w:cs="Times New Roman" w:eastAsia="Times New Roman" w:hAnsi="Times New Roman"/>
          <w:sz w:val="17"/>
          <w:szCs w:val="17"/>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You may request a copy of these filings at no cost, by writing or telephoning us at: P.O. Box 660199, MS 8657, Dallas, Texas 75266-0199, Attention: Manager of Investor Relations, (214) 479-3773. Information about us, including our SEC filings, is also available at our website at www.ti.com. However, the information on or accessible through our website is not a part of this prospectus supplement or the accompanying prospectus.</w:t>
      </w:r>
    </w:p>
    <w:p>
      <w:pPr>
        <w:spacing w:after="0" w:line="90" w:lineRule="exact"/>
        <w:rPr>
          <w:rFonts w:ascii="Times New Roman" w:cs="Times New Roman" w:eastAsia="Times New Roman" w:hAnsi="Times New Roman"/>
          <w:sz w:val="17"/>
          <w:szCs w:val="17"/>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173990</wp:posOffset>
            </wp:positionV>
            <wp:extent cx="2871470" cy="668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87147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267335</wp:posOffset>
            </wp:positionV>
            <wp:extent cx="1474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types of securities that may be offered and sold by Texas Instruments Incorporated or by selling security holders under this prospectus from time to time: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 Common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1"/>
              </w:rPr>
              <w:t> Warrants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 Preferred stock</w:t>
            </w:r>
          </w:p>
        </w:tc>
        <w:tc>
          <w:tcPr>
            <w:tcW w:w="2420" w:type="dxa"/>
            <w:vAlign w:val="bottom"/>
          </w:tcPr>
          <w:p>
            <w:pPr>
              <w:ind w:left="2260"/>
              <w:spacing w:after="0"/>
              <w:rPr>
                <w:sz w:val="20"/>
                <w:szCs w:val="20"/>
                <w:color w:val="auto"/>
              </w:rPr>
            </w:pPr>
            <w:r>
              <w:rPr>
                <w:rFonts w:ascii="Times New Roman" w:cs="Times New Roman" w:eastAsia="Times New Roman" w:hAnsi="Times New Roman"/>
                <w:sz w:val="13"/>
                <w:szCs w:val="13"/>
                <w:color w:val="auto"/>
                <w:w w:val="79"/>
              </w:rPr>
              <w:t>• </w:t>
            </w: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 Units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 Debt securities</w:t>
            </w:r>
          </w:p>
        </w:tc>
        <w:tc>
          <w:tcPr>
            <w:tcW w:w="2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222885</wp:posOffset>
            </wp:positionV>
            <wp:extent cx="1474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securities may be offered by us or by selling security holders in amounts, at prices and on terms determined at the time of the offering. The securities may be sold directly to you, through agents, or through underwriters and dealers. If agents, underwriters or dealers are used to sell the securities, we will name them and describe their compensation in a prospectus supplement. You should read this prospectus and any prospectus supplement carefully before you invest.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 Maturity</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 Redemption terms</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 Liquidation amount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 Interest rate</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 Listing on a security exchange</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8"/>
              </w:rPr>
              <w:t> Subsidiary guarantees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 Currency of payments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 Amount payable at maturity</w:t>
            </w:r>
          </w:p>
        </w:tc>
        <w:tc>
          <w:tcPr>
            <w:tcW w:w="82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73"/>
              </w:rPr>
              <w:t>• </w:t>
            </w:r>
          </w:p>
        </w:tc>
        <w:tc>
          <w:tcPr>
            <w:tcW w:w="1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 Sinking fund terms</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w w:val="73"/>
              </w:rPr>
              <w:t>• </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 Dividends</w:t>
            </w:r>
          </w:p>
        </w:tc>
        <w:tc>
          <w:tcPr>
            <w:tcW w:w="1300" w:type="dxa"/>
            <w:vAlign w:val="bottom"/>
          </w:tcPr>
          <w:p>
            <w:pPr>
              <w:ind w:left="1120"/>
              <w:spacing w:after="0"/>
              <w:rPr>
                <w:sz w:val="20"/>
                <w:szCs w:val="20"/>
                <w:color w:val="auto"/>
              </w:rPr>
            </w:pPr>
            <w:r>
              <w:rPr>
                <w:rFonts w:ascii="Times New Roman" w:cs="Times New Roman" w:eastAsia="Times New Roman" w:hAnsi="Times New Roman"/>
                <w:sz w:val="16"/>
                <w:szCs w:val="16"/>
                <w:color w:val="auto"/>
                <w:w w:val="73"/>
              </w:rPr>
              <w:t>• </w:t>
            </w:r>
          </w:p>
        </w:tc>
        <w:tc>
          <w:tcPr>
            <w:tcW w:w="2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 Conversion or exchange rights</w:t>
            </w:r>
          </w:p>
        </w:tc>
        <w:tc>
          <w:tcPr>
            <w:tcW w:w="82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pacing w:after="0" w:line="19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Select Market under the ticker symbol TXN. On February 3, 2022, the reported last sale price on The Nasdaq Global Select Market for our common stock was $175.59.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120" w:right="660" w:firstLine="440"/>
        <w:spacing w:after="0" w:line="286" w:lineRule="auto"/>
        <w:rPr>
          <w:sz w:val="20"/>
          <w:szCs w:val="20"/>
          <w:color w:val="auto"/>
        </w:rPr>
      </w:pPr>
      <w:r>
        <w:rPr>
          <w:rFonts w:ascii="Times New Roman" w:cs="Times New Roman" w:eastAsia="Times New Roman" w:hAnsi="Times New Roman"/>
          <w:sz w:val="21"/>
          <w:szCs w:val="21"/>
          <w:b w:val="1"/>
          <w:bCs w:val="1"/>
          <w:color w:val="auto"/>
        </w:rPr>
        <w:t>Investing in these securities involves certain risks. See “Item 1A—Risk Factors” beginning on page 9 of our Annual Report on Form 10-K for the year ended December 31, 2021,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20"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February 4, 2022</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into this prospectus and the applicable prospectus supplement and any free writing prospectus we prepare or authorize. We have not, and the underwriters have not, authorized anyone to provide you with different information, and we take no responsibility for any other information others may give you. We are not, and the underwriters are not, making an offer to sell these securities in any jurisdiction where the offer or sale is not permitted. You should not assume that the information contained or incorporated by reference into this prospectus or the applicable prospectus supplement is accurate as of any date other than its date. The terms “Texas Instruments,” “TI,” “we,” “us” and “our” refer to Texas Instruments Incorporated and its consolidated subsidiaries except where expressly indicated or the context otherwise requires.</w:t>
      </w: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64"/>
        </w:trPr>
        <w:tc>
          <w:tcPr>
            <w:tcW w:w="43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The Company</w:t>
            </w:r>
          </w:p>
        </w:tc>
        <w:tc>
          <w:tcPr>
            <w:tcW w:w="2320" w:type="dxa"/>
            <w:vAlign w:val="bottom"/>
            <w:tcBorders>
              <w:bottom w:val="single" w:sz="8" w:color="auto"/>
            </w:tcBorders>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412"/>
        </w:trPr>
        <w:tc>
          <w:tcPr>
            <w:tcW w:w="4340" w:type="dxa"/>
            <w:vAlign w:val="bottom"/>
            <w:gridSpan w:val="14"/>
            <w:vMerge w:val="continue"/>
          </w:tcPr>
          <w:p>
            <w:pPr>
              <w:spacing w:after="0"/>
              <w:rPr>
                <w:sz w:val="24"/>
                <w:szCs w:val="24"/>
                <w:color w:val="auto"/>
              </w:rPr>
            </w:pPr>
          </w:p>
        </w:tc>
        <w:tc>
          <w:tcPr>
            <w:tcW w:w="23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14"/>
            <w:vMerge w:val="continue"/>
          </w:tcPr>
          <w:p>
            <w:pPr>
              <w:spacing w:after="0"/>
              <w:rPr>
                <w:sz w:val="13"/>
                <w:szCs w:val="13"/>
                <w:color w:val="auto"/>
              </w:rPr>
            </w:pPr>
          </w:p>
        </w:tc>
        <w:tc>
          <w:tcPr>
            <w:tcW w:w="6340" w:type="dxa"/>
            <w:vAlign w:val="bottom"/>
            <w:gridSpan w:val="2"/>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00" w:type="dxa"/>
            <w:vAlign w:val="bottom"/>
            <w:gridSpan w:val="6"/>
          </w:tcPr>
          <w:p>
            <w:pPr>
              <w:spacing w:after="0"/>
              <w:rPr>
                <w:sz w:val="18"/>
                <w:szCs w:val="18"/>
                <w:color w:val="auto"/>
              </w:rPr>
            </w:pPr>
          </w:p>
        </w:tc>
        <w:tc>
          <w:tcPr>
            <w:tcW w:w="6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Notice Regarding Forward-Looking Statements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3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920" w:type="dxa"/>
            <w:vAlign w:val="bottom"/>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160" w:type="dxa"/>
            <w:vAlign w:val="bottom"/>
            <w:gridSpan w:val="3"/>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Warrants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7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gridSpan w:val="5"/>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Forms of Securities</w:t>
            </w:r>
          </w:p>
        </w:tc>
        <w:tc>
          <w:tcPr>
            <w:tcW w:w="2880" w:type="dxa"/>
            <w:vAlign w:val="bottom"/>
            <w:gridSpan w:val="8"/>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20" w:type="dxa"/>
            <w:vAlign w:val="bottom"/>
            <w:gridSpan w:val="7"/>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Validity of Securities</w:t>
            </w:r>
          </w:p>
        </w:tc>
        <w:tc>
          <w:tcPr>
            <w:tcW w:w="2820" w:type="dxa"/>
            <w:vAlign w:val="bottom"/>
            <w:gridSpan w:val="7"/>
          </w:tcPr>
          <w:p>
            <w:pPr>
              <w:spacing w:after="0"/>
              <w:rPr>
                <w:sz w:val="17"/>
                <w:szCs w:val="17"/>
                <w:color w:val="auto"/>
              </w:rPr>
            </w:pP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43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40" w:type="dxa"/>
            <w:vAlign w:val="bottom"/>
            <w:gridSpan w:val="4"/>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w:t>
      </w:r>
    </w:p>
    <w:p>
      <w:pPr>
        <w:spacing w:after="0" w:line="162"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12500 TI Boulevard, Dallas, Texas 75243, and our telephone number is (214) 479-3773. We maintain a website at www.ti.com where general information about us is available. We are not incorporating the contents of the website into this prospectus.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Securities and Exchange Commission (the “SEC”) incorporated by reference into this prospectus. For instructions on how to find copies of these and our other filings incorporated by reference into this prospectus, see “Where You Can Find More Information.”</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 utilizing a “shelf” registration process. Under this shelf process, we or selling security holders may sell any combination of the securities described in this prospectus in one or more offerings. This prospectus provides you with a general description of the securities we or selling security holders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“Where You Can Find More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on the SEC’s website www.sec.gov.</w:t>
      </w:r>
    </w:p>
    <w:p>
      <w:pPr>
        <w:spacing w:after="0" w:line="162" w:lineRule="exact"/>
        <w:rPr>
          <w:sz w:val="20"/>
          <w:szCs w:val="20"/>
          <w:color w:val="auto"/>
        </w:rPr>
      </w:pPr>
    </w:p>
    <w:p>
      <w:pPr>
        <w:ind w:left="120" w:right="40" w:firstLine="44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Annual Report on </w:t>
      </w:r>
      <w:hyperlink r:id="rId59">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year ended December 31, 2021, filed on February 4, 2022, the Current Report on </w:t>
      </w:r>
      <w:hyperlink r:id="rId60">
        <w:r>
          <w:rPr>
            <w:rFonts w:ascii="Times New Roman" w:cs="Times New Roman" w:eastAsia="Times New Roman" w:hAnsi="Times New Roman"/>
            <w:sz w:val="17"/>
            <w:szCs w:val="17"/>
            <w:u w:val="single" w:color="auto"/>
            <w:color w:val="0000EE"/>
          </w:rPr>
          <w:t>Form 8-K</w:t>
        </w:r>
      </w:hyperlink>
      <w:r>
        <w:rPr>
          <w:rFonts w:ascii="Times New Roman" w:cs="Times New Roman" w:eastAsia="Times New Roman" w:hAnsi="Times New Roman"/>
          <w:sz w:val="17"/>
          <w:szCs w:val="17"/>
          <w:color w:val="auto"/>
        </w:rPr>
        <w:t xml:space="preserve">, filed on January 26, 2022, the description of our common stock contained in our registration statement on </w:t>
      </w:r>
      <w:hyperlink r:id="rId61">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filed on December 15, 2011 under Section 12 of the Exchange Act, including any amendments or reports filed for the purpose of updating such description, and all documents subsequently filed with the SEC pursuant to Section 13(a), 13(c), 14, or 15(d) of the Securities Exchange Act of 1934, as amended (the “Exchange Act”) prior to the termination of the offering under this prospectus.</w:t>
      </w:r>
    </w:p>
    <w:p>
      <w:pPr>
        <w:spacing w:after="0" w:line="171" w:lineRule="exact"/>
        <w:rPr>
          <w:rFonts w:ascii="Times New Roman" w:cs="Times New Roman" w:eastAsia="Times New Roman" w:hAnsi="Times New Roman"/>
          <w:sz w:val="17"/>
          <w:szCs w:val="17"/>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176" w:lineRule="exact"/>
        <w:rPr>
          <w:rFonts w:ascii="Times New Roman" w:cs="Times New Roman" w:eastAsia="Times New Roman" w:hAnsi="Times New Roman"/>
          <w:sz w:val="17"/>
          <w:szCs w:val="17"/>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Texas Instruments Incorporated, P.O. Box 660199, MS 8657, Dallas, Texas 75266-0199, Attention: Investor Relations, (214) 479-3773. Information about us, including our SEC filings, is also available at our website at www.ti.com. However, the information on or accessible through our website is not a part of this prospectus or any prospectus supplement that we file.</w:t>
      </w:r>
    </w:p>
    <w:p>
      <w:pPr>
        <w:spacing w:after="0" w:line="392"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REGARDING FORWARD-LOOKING STATEMENTS</w:t>
      </w:r>
    </w:p>
    <w:p>
      <w:pPr>
        <w:spacing w:after="0" w:line="229" w:lineRule="exact"/>
        <w:rPr>
          <w:rFonts w:ascii="Times New Roman" w:cs="Times New Roman" w:eastAsia="Times New Roman" w:hAnsi="Times New Roman"/>
          <w:sz w:val="17"/>
          <w:szCs w:val="17"/>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documents that are incorporated by reference into this prospectus include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7" w:lineRule="exact"/>
        <w:rPr>
          <w:rFonts w:ascii="Times New Roman" w:cs="Times New Roman" w:eastAsia="Times New Roman" w:hAnsi="Times New Roman"/>
          <w:sz w:val="17"/>
          <w:szCs w:val="17"/>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urge you to carefully consider the following important factors that could cause actual results to differ materially from the expectations of our company or our management:</w:t>
      </w:r>
    </w:p>
    <w:p>
      <w:pPr>
        <w:spacing w:after="0" w:line="67" w:lineRule="exact"/>
        <w:rPr>
          <w:rFonts w:ascii="Times New Roman" w:cs="Times New Roman" w:eastAsia="Times New Roman" w:hAnsi="Times New Roman"/>
          <w:sz w:val="17"/>
          <w:szCs w:val="17"/>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and political conditions, and natural events in the countries in which we, our customers or our suppliers operate, including global trade policies;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semiconductors, particularly in the industrial and automotive markets, and customer demand that differs from forecasts;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products and prices in an intensely competitive industry;</w:t>
      </w:r>
    </w:p>
    <w:p>
      <w:pPr>
        <w:spacing w:after="0" w:line="158" w:lineRule="exact"/>
        <w:rPr>
          <w:rFonts w:ascii="Times New Roman" w:cs="Times New Roman" w:eastAsia="Times New Roman" w:hAnsi="Times New Roman"/>
          <w:sz w:val="17"/>
          <w:szCs w:val="17"/>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cybersecurity and other threats relating to our information technology systems or those of our customers, vendors and other third parties ;</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and realize opportunities from acquisitions and other strategic, business and organizational changes, or our ability to realize our expectations regarding the amount and timing of associated restructuring charges and cost savings;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81" w:lineRule="exact"/>
        <w:rPr>
          <w:rFonts w:ascii="Times New Roman" w:cs="Times New Roman" w:eastAsia="Times New Roman" w:hAnsi="Times New Roman"/>
          <w:sz w:val="18"/>
          <w:szCs w:val="18"/>
          <w:color w:val="auto"/>
        </w:rPr>
      </w:pPr>
    </w:p>
    <w:p>
      <w:pPr>
        <w:ind w:left="1080" w:right="8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raw materials, utilities, manufacturing equipment, third-party manufacturing services and manufacturing technology;</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warranty or other claims relating to our products, software, manufacturing, delivery, services, design or communications, or recalls by our customers for a product containing one of our parts;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difficulties of our distributors or semiconductor distributors’ promotion of competing product lines to our detriment; or disputes with current or former distributors;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or curtailments of purchases from key customers or the timing and amount of customer inventory adjustments;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credit and financial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skilled personnel, and effectively manage key employee succession;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our non-financial assets.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these factors, see our periodic filings with the SEC. The forward-looking statements included in this prospectus are made only as of the date hereof,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for working capital and general corporate purposes including, but not limited to, funding our operations, purchasing capital equipment, funding potential acquisitions, repaying debt, paying dividends and repurchasing shares of our common stock.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320" w:top="455" w:right="6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of our capital stock is based upon our restated certificate of incorporation, as amended (“Restated Certificate of Incorporation”), our by-laws, as amended (“By-Laws”), and applicable provisions of law. We have summarized certain portions of the Restated Certificate of Incorporation and By-Laws below. The summary is not complete. The Restated Certificate of Incorporation and By-Laws are incorporated by reference as exhibits to the registration statement of which this prospectus forms a part. You should read the Restated Certificate of Incorporation and By-Laws for the provisions that are important to you.</w:t>
      </w:r>
    </w:p>
    <w:p>
      <w:pPr>
        <w:spacing w:after="0" w:line="183" w:lineRule="exact"/>
        <w:rPr>
          <w:sz w:val="20"/>
          <w:szCs w:val="20"/>
          <w:color w:val="auto"/>
        </w:rPr>
      </w:pPr>
    </w:p>
    <w:p>
      <w:pPr>
        <w:jc w:val="both"/>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Certain provisions of the Delaware General Corporation Law (“DGCL”), the Restated Certificate of Incorporation and By-Laws summarized in the following paragraphs may have an anti-takeover effect. This may delay, defer or prevent a tender offer or takeover attempt that a stockholder might consider in its best interests, including those attempts that might result in a premium over the market price for the shares held by such stockholder.</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of Incorporation authorizes us to issue 2,400,000,000 shares of common stock, $1.00 par value per share, and 10,000,000 shares of preferred stock, $25.00 par value per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of January 25, 2022, there were 923,547,062 shares of common stock outstanding which were held of record by 12,134 stockholders. We are authorized to issue additional shares of common stock without further stockholder approval, except as may be required by applicable law or stock exchange regulations. The holders of shares of our common stock, subject to the preferential rights of the holders of any shares of our preferred stock, are entitled to dividends when and as declared by our board of directors. The holders of our common stock have one vote per share on all matters submitted to a vote of the stockholders, and the right to share pro rata in the net assets of TI in liquidation after payment of any amounts due to creditors and in respect of any preferred stock. Holders of shares of our common stock are not entitled as a matter of right to any preemptive or subscription rights and are not entitled to cumulative voting for directors. All outstanding shares of common stock are, and the shares of common stock issued upon any conversion or exchange of any debt securities or preferred stock providing for such conversion or exchange will be, fully paid and nonassessable. Our common stock is listed on The Nasdaq Global Select Market. The transfer agent and registrar for our common stock is Computershare Trust Company, N.A., 33 N. LaSalle Street, Suite 1100, Chicago, Illinois 60602.</w:t>
      </w:r>
    </w:p>
    <w:p>
      <w:pPr>
        <w:spacing w:after="0" w:line="19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Our By-Laws provide that the annual meeting of stockholders shall be held on a date as may be fixed by our board of directors and as stated in a written notice, which must be mailed or delivered to each stockholder at least 10 days prior to any stockholder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As of January 25, 2022, there were no shares of our preferred stock outstanding. We are authorized to issue up to 10,000,000 shares of preferred stock, in one or more series, with such designations and such relative voting, dividend, liquidation, conversion, and other rights, preferences and limitations as are stated in the Restated Certificate of Incorporation, or any certificate of designation establishing such series adopted by our board of directors. The 10,000,000 authorized but unissued shares of preferred stock may be issued pursuant to resolution of our board of directors without the vote of the holders of our capital stock. If preferred stock is offered pursuant to this prospectus, we will describe the restrictions, if any, on the repurchase or redemption of the preferred stock by us in a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Provisions of Texas Instruments’ Certificate of Incorporation and By-Laws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Restated Certificate of Incorporation states that action may be taken by stockholders only at annual or special meetings of stockholders, and that stockholders may not act by written consent. The By-Laws vest the power to call special meetings of stockholders in our chairman of the board, our president, or a majority of our board of directors. Special meetings of stockholders may also be requested by a stockholder or stockholders who own, individually or in the aggregate, at least 25% of our outstanding common stock, subject to the written notice requirements and exceptions set forth in the By-Laws.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To be properly brought before an annual meeting of stockholders, any stockholder proposal or nomination for the board of directors must be delivered to or mailed and received at our principal executive offices not less than 90 days prior to the first anniversary of the previous year’s annual meeting; provided that in the event that the date of the annual meeting is advanced by more than 30 days, or delayed by more than 70 days, from such anniversary date, notice by the stockholder to be timely must be so delivered not later than the close of business on the later of the 90th day prior to such annual meeting or the 10th day following the day on which public announcement of the date of the meeting is first made.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Effects of Delaware Law</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Section 203 of the DGCL (“Section 203”). In general, Section 203 prohibits a publicly held Delaware corporation from engaging in various “business combination” transactions with any interested stockholder for a period of three years following the date of the transactions in which the person became an interested stockholder, unless:</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date the interested stockholder obtained such status;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or</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such date the business combination is approved by the board and authorized at an annual or special meeting of stockholders by the affirmative vote of at least 66 2/3% of the outstanding voting stock which is not owned by the interested stockholder. A “business combination” is defined to include mergers, asset sales, and other transactions resulting in financial benefit to a stockholder. In general, an “interested stockholder” is a person who, together with affiliates and associates, owns (or within three years, did own) 15% or more of a corporation’s voting stock. The statute could prohibit or delay mergers or other takeover or change in control attempts with respect to our company and, accordingly, may discourage attempts to acquire our company even though such a transaction may offer our stockholders the opportunity to sell their stock at a price above the prevailing market price.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debt securities, consisting of notes, debentures or other evidences of indebtedness, may be issued from time to time in one or more series pursuant to an indenture entered into between us and U.S. Bank National Association, as trustee. The terms of our debt securities will include those set forth in the indenture and those made a part of the indenture by the Trust Indenture Act of 1939.</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is only a summary of selected provisions of the indenture and the debt securities and therefore does not contain all information that may be important to you. This summary is qualified in its entirety by reference to the base indenture and any supplemental indenture thereto or officers’ certificate or board resolution related thereto. We urge you to read the indenture because the indenture, not this description, defines the rights of the holders of the debt securities. The indenture is included as an exhibit to the registration statement of which this prospectus is a part.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used in this section of the prospectus and under the captions “Description of Capital Stock,” “Description of Warrants” and “Description of Units,” the terms “we,” “us” and “our” refer only to Texas Instruments Incorporated and not to any existing or future subsidiaries of Texas Instruments Incorporated.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constitute unsecured and unsubordinated obligations of ours and will rank pari passu with our other unsecured and unsubordinated obligations.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conduct some of our operations through subsidiaries. Consequently, our ability to pay our obligations, including our obligation to pay principal or interest on the debt securities, to pay the debt securities at maturity or upon redemption or to buy the debt securities may depend upon our subsidiaries repaying investments and advances we have made to them, and upon our subsidiaries’ earnings and their distributing those earnings to us. The debt securities will be effectively subordinated to all obligations (including trade payables and preferred stock obligations) of our subsidiaries. Our subsidiaries are separate and distinct legal entities and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The indenture will not limit our subsidiaries’ ability to enter into other agreements that prohibit or restrict dividends or other payments or advances to us.</w:t>
      </w:r>
    </w:p>
    <w:p>
      <w:pPr>
        <w:spacing w:after="0" w:line="192"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debt securities will be our unsecured obligations. Our secured debt and other secured obligations will be effectively senior to the debt securities to the extent of the value of the assets securing such debt or other obligations.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You should look in the prospectus supplement for any additional or different terms of the debt securities being offered, including the following terms:</w:t>
      </w:r>
    </w:p>
    <w:p>
      <w:pPr>
        <w:spacing w:after="0" w:line="67"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designation;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their principal amount (i.e., price) at which the debt securities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debt securities will mature and the right, if any, to extend such date or 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if any, per year, at which the debt securities will bear interest, or the method of determining such rate or rates;</w:t>
      </w:r>
    </w:p>
    <w:p>
      <w:pPr>
        <w:spacing w:after="0" w:line="1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that extension;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paying principal and interest and the place or places where principal and interest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if any, within which, the price or prices at which, and the terms and conditions upon which the debt securities may be redeemed, in whole or in part, at our option or at your option;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debt securities;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payment of additional amounts for taxes and any provision for redemption, if we must pay such additional amounts in respect of any debt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we may have to repay the debt securities early at your option;</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pursuant to which the debt securities may be exchanged for the cash value of other securities issued by us or by a third party;</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conversion or exchange price or rate and any adjustments thereto, the period or periods within which, and the other terms and conditions upon which conversion or exchange of the debt securities may be effected;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may be defeased;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of default or covenants in addition to or in lieu of those set forth in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electronic issuance of debt securities or for debt securities in uncertificated form;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including any terms which may be required by or advisable under applicable laws or regulations or advisable in connection with the marketing of the debt securities.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the payment of interest accruing prior to the issue date of such further debt securities or except for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Debt securities will bear interest at a fixed rate or a floating rate. Debt securities bearing no interest or interest at a rate that at the time of issuance is below the prevailing market rate (original issue discount securities)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Terms of the Debt Securities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Covenants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Definitions</w:t>
      </w:r>
      <w:r>
        <w:rPr>
          <w:rFonts w:ascii="Times New Roman" w:cs="Times New Roman" w:eastAsia="Times New Roman" w:hAnsi="Times New Roman"/>
          <w:sz w:val="18"/>
          <w:szCs w:val="18"/>
          <w:color w:val="auto"/>
        </w:rPr>
        <w:t>. The term “attributable debt” in respect of a sale and leaseback transaction means, at the time of determination, the lesser of</w:t>
      </w:r>
    </w:p>
    <w:p>
      <w:pPr>
        <w:spacing w:after="0" w:line="29" w:lineRule="exact"/>
        <w:rPr>
          <w:sz w:val="20"/>
          <w:szCs w:val="20"/>
          <w:color w:val="auto"/>
        </w:rPr>
      </w:pPr>
    </w:p>
    <w:p>
      <w:pPr>
        <w:ind w:left="120" w:right="120" w:hanging="4"/>
        <w:spacing w:after="0" w:line="255"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by our board of directors, and (2) the present value (discounted at the interest rate implicit in the lease or, if it is not practicable to determine such rate, then at our incremental borrowing rate determined in accordance with generally accepted accounting principles) of the obligation of the lessee for net rental payments during the remaining term of any lease.</w:t>
      </w:r>
    </w:p>
    <w:p>
      <w:pPr>
        <w:spacing w:after="0" w:line="18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term “consolidated net tangible assets” means, at any date, the total assets appearing on our most recent consolidated balance sheet, prepared in accordance with generally accepted accounting principles, less all current liabilities as shown on such balance sheet, and intangible assets.</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term “intangible assets” means the value (net of applicable reserves), as shown on or reflected in our most recent consolidated balance sheet, of (i) all trade names, trademarks, licenses, patents, copyrights and goodwill; (ii) organizational and development costs; (iii) deferred charges (other than prepaid items such as insurance, taxes, interest, commissions, rents and similar items and tangible assets being amortized); and (iv) unamortized debt discount and expenses, less unamortized premium; but in no event shall the term “intangible assets” include computer programs and related products.</w:t>
      </w:r>
    </w:p>
    <w:p>
      <w:pPr>
        <w:spacing w:after="0" w:line="164"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 “net rental payments” under any lease for any period shall mean the sum of rental and other payments required to be paid by such lessee thereunder, not including, however, amounts payable by the lessee for maintenance and repairs, insurance, taxes, assessments and similar charges and for contingent rents (such as those based on sales).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term “principal manufacturing property” means each of our manufacturing or processing plants or facilities located in the United States of America (other than territories and possessions of the United States) or Puerto Rico, except any such manufacturing or processing plant or facility that the board of directors by resolution determines not to be of material importance to the total business conducted by us and our consolidated subsidiaries, taken as a whole.</w:t>
      </w:r>
    </w:p>
    <w:p>
      <w:pPr>
        <w:spacing w:after="0" w:line="178" w:lineRule="exact"/>
        <w:rPr>
          <w:sz w:val="20"/>
          <w:szCs w:val="20"/>
          <w:color w:val="auto"/>
        </w:rPr>
      </w:pPr>
    </w:p>
    <w:p>
      <w:pPr>
        <w:ind w:left="120" w:right="3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Restrictions on Liens</w:t>
      </w:r>
      <w:r>
        <w:rPr>
          <w:rFonts w:ascii="Times New Roman" w:cs="Times New Roman" w:eastAsia="Times New Roman" w:hAnsi="Times New Roman"/>
          <w:sz w:val="17"/>
          <w:szCs w:val="17"/>
          <w:color w:val="auto"/>
        </w:rPr>
        <w:t>. The indenture provides that, unless as may otherwise be indicated by resolution of our board of directors, officers’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certificate, or supplemental indenture, we will not issue or assume any debt for money borrowed (which, including guarantees of debt for borrowed money, we refer to as “debt”), if the debt is secured by a mortgage, pledge, lien or other encumbrance (which we refer to as a “mortgage”) upon any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principal manufacturing property (whether such principal manufacturing property is now owned or subsequently acquired) without in any such case effectively providing that the debt securities (together with any other debt security ranking equally with the debt securities) shall be secured equally and ratably with the debt until such time as such debt is no longer secured by such mortgage. The foregoing restrictions shall not apply to:</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existing as of the closing date of the offering of the relevant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existing at the time of or within 120 days after acquisition of the property and certain purchase money mortgages;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on property of an entity existing at the time that entity is merged into or consolidated with us or substantially all the assets of which are acquired by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in favor of the United States or any political subdivision or any instrumentality thereof, or in favor of any other country or any political subdivision or instrumentality thereof, to secure certain payments pursuant to any contract or statute or to secure any indebtedness incurred or guaranteed for the purpose of financing all or any part of the purchase price or the cost of construction of the property subject to the mortgages;</w:t>
      </w:r>
    </w:p>
    <w:p>
      <w:pPr>
        <w:spacing w:after="0" w:line="85"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for taxes, assessments or other governmental charges not yet due or payable or subject to penalties for non-payment or which we are contesting in good faith by appropriate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to secure the performance of bids, trade contracts, leases, statutory obligations, surety and appeal bonds, performance bonds and other obligations of a like nature, in each case in the ordinary course of business;</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imposed by law, such as carrier’s, warehousemen’s and mechanic’s liens and other similar liens, in each case for sums not yet overdue by more than 30 calendar days or being contested in good faith by appropriate proceedings, or other liens arising out of judgments or awards against us with respect to which we shall then be proceeding with an appeal or other proceedings for review and liens arising solely by virtue of any statutory or common law provision relating to banker’s liens, rights of set-off or similar rights and remedies as to deposit accounts or other funds maintained with a creditor depository institution;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mortgage referred to in the bullet points above.</w:t>
      </w:r>
    </w:p>
    <w:p>
      <w:pPr>
        <w:spacing w:after="0" w:line="160"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on Sale and Leaseback Transactions</w:t>
      </w:r>
      <w:r>
        <w:rPr>
          <w:rFonts w:ascii="Times New Roman" w:cs="Times New Roman" w:eastAsia="Times New Roman" w:hAnsi="Times New Roman"/>
          <w:sz w:val="18"/>
          <w:szCs w:val="18"/>
          <w:color w:val="auto"/>
        </w:rPr>
        <w:t>. The indenture provides that, unless as may otherwise be indicated by resolution of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officers’ certificate, or supplemental indenture, we will not enter into any lease longer than three years covering any principal manufacturing property that is sold to any person (other than any then-existing subsidiary) in connection with such lease unless the proceeds from such sale or transfer shall be at least equal to the fair value of such property as determined by resolution by our board of directors and either:</w:t>
      </w:r>
    </w:p>
    <w:p>
      <w:pPr>
        <w:spacing w:after="0" w:line="87" w:lineRule="exact"/>
        <w:rPr>
          <w:sz w:val="20"/>
          <w:szCs w:val="20"/>
          <w:color w:val="auto"/>
        </w:rPr>
      </w:pPr>
    </w:p>
    <w:p>
      <w:pPr>
        <w:ind w:left="10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pursuant to the “Restrictions on Liens” covenant described above, to incur debt secured by a mortgage on the principal manufacturing property involved in an amount at least equal to the attributable debt in respect of such principal manufacturing property without equally and ratably securing the debt securities, provided, that such attributable debt shall thereupon be deemed to be debt subject to the provisions of such restrictions on liens; or</w:t>
      </w:r>
    </w:p>
    <w:p>
      <w:pPr>
        <w:spacing w:after="0" w:line="85" w:lineRule="exact"/>
        <w:rPr>
          <w:rFonts w:ascii="Times New Roman" w:cs="Times New Roman" w:eastAsia="Times New Roman" w:hAnsi="Times New Roman"/>
          <w:sz w:val="18"/>
          <w:szCs w:val="18"/>
          <w:color w:val="auto"/>
        </w:rPr>
      </w:pPr>
    </w:p>
    <w:p>
      <w:pPr>
        <w:ind w:left="1080" w:right="320" w:hanging="424"/>
        <w:spacing w:after="0" w:line="312" w:lineRule="auto"/>
        <w:tabs>
          <w:tab w:leader="none" w:pos="10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a period commencing twelve months prior to the consummation of the sale and leaseback transaction and ending twelve months after consummation of such transaction, we have expended or will expend for principal manufacturing property an amount equal to:</w:t>
      </w:r>
    </w:p>
    <w:p>
      <w:pPr>
        <w:spacing w:after="0" w:line="45"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sale and leaseback transaction and we elect to designate such amount as a credit against such transaction, or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540" w:right="720" w:hanging="331"/>
        <w:spacing w:after="0" w:line="282" w:lineRule="auto"/>
        <w:tabs>
          <w:tab w:leader="none" w:pos="15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the proceeds of such sale and leaseback transaction and we elect to designate such amount as a credit against such transaction and treat an amount equal to the remainder of the proceeds as provided in the clause directly below; or</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attributable debt (less any amount elected under the clause directly above) is applied within 120 days after the transaction to the retirement of funded debt, or is considered to be attributable debt for purposes of the calculation of exempted debt and, after giving effect to the exempted debt, the exempted debt does not exceed 15% of consolidated net tangible assets.</w:t>
      </w:r>
    </w:p>
    <w:p>
      <w:pPr>
        <w:spacing w:after="0" w:line="174"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Exempted Debt</w:t>
      </w:r>
      <w:r>
        <w:rPr>
          <w:rFonts w:ascii="Times New Roman" w:cs="Times New Roman" w:eastAsia="Times New Roman" w:hAnsi="Times New Roman"/>
          <w:sz w:val="18"/>
          <w:szCs w:val="18"/>
          <w:color w:val="auto"/>
        </w:rPr>
        <w:t>. The indenture provides that, notwithstanding the restrictions on mortgages and sale and leaseback transactions described above,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may, in addition to amounts permitted under such restrictions, create, extend, renew or replace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 plus attributable debt resulting from such sale and leaseback transactions (“exempted debt”) does not exceed 15% of consolidated net tangible assets.</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Consolidation, Merger and Sale or Conveyance</w:t>
      </w:r>
      <w:r>
        <w:rPr>
          <w:rFonts w:ascii="Times New Roman" w:cs="Times New Roman" w:eastAsia="Times New Roman" w:hAnsi="Times New Roman"/>
          <w:sz w:val="18"/>
          <w:szCs w:val="18"/>
          <w:color w:val="auto"/>
        </w:rPr>
        <w:t>. We may not consolidate with, merge with or into, or sell, or convey (including by way of lease)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or substantially all of our assets to any person or permit any person to merge with or into us unless:</w:t>
      </w:r>
    </w:p>
    <w:p>
      <w:pPr>
        <w:spacing w:after="0" w:line="112" w:lineRule="exact"/>
        <w:rPr>
          <w:sz w:val="20"/>
          <w:szCs w:val="20"/>
          <w:color w:val="auto"/>
        </w:rPr>
      </w:pPr>
    </w:p>
    <w:p>
      <w:pPr>
        <w:ind w:left="1080" w:right="16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continuing person or the person formed by such consolidation or into which we are merged or that acquired or leased our property and assets shall be a corporation or entity organized under the laws of the United States of America or any state thereof (or, any entity not organized under such laws which agrees, in a form satisfactory to the trustee, to submit to the jurisdiction of the United States district court for the Southern District of New York, and to indemnify and hold harmless the holders of the debt securities against certain taxes and expenses) and shall expressly assume, by a supplemental indenture, executed and delivered to the trustee, all of our obligations on all of the debt securities and under the indenture;</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default or event of default shall have occurred and be continuing;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9"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an officers’ certificate and opinion of counsel, in each case stating that such consolidation, merger, or conveyance and such supplemental indenture complies with this provision and that all conditions precedent provided for in the indenture and the debt securities relating to such transaction have been complied with. The restrictions in the bullets above shall not be applicable to:</w:t>
      </w:r>
    </w:p>
    <w:p>
      <w:pPr>
        <w:spacing w:after="0" w:line="63" w:lineRule="exact"/>
        <w:rPr>
          <w:rFonts w:ascii="Times New Roman" w:cs="Times New Roman" w:eastAsia="Times New Roman" w:hAnsi="Times New Roman"/>
          <w:sz w:val="17"/>
          <w:szCs w:val="17"/>
          <w:color w:val="auto"/>
        </w:rPr>
      </w:pPr>
    </w:p>
    <w:p>
      <w:pPr>
        <w:ind w:left="1080" w:right="580" w:hanging="424"/>
        <w:spacing w:after="0" w:line="282"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or consolidation of us with an affiliate of ours if our board of directors determines in good faith that the purpose of such transaction is principally to change our state of incorporation or convert our form of organization to another form;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of us with or into a single direct or indirect wholly owned subsidiary of ours pursuant to Section 251(g) (or any successor provision) of the General Corporation Law of the State of Delaware. If any consolidation or merger or any sale, assignment, conveyance, lease, transfer or other disposition of all or substantially all of our assets occurs in accordance with the indenture, the successor corporation will succeed to, and be substituted for us and may exercise every right and power under the indenture with the same effect as if such successor corporation had been named in our place in the indenture, and we will (except in the case of a lease) be discharged from all obligations and covenants under the indenture and the debt securities.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event of default for any series of debt securities is defined under the indenture as being:</w:t>
      </w:r>
    </w:p>
    <w:p>
      <w:pPr>
        <w:spacing w:after="0" w:line="131" w:lineRule="exact"/>
        <w:rPr>
          <w:sz w:val="20"/>
          <w:szCs w:val="20"/>
          <w:color w:val="auto"/>
        </w:rPr>
      </w:pPr>
    </w:p>
    <w:p>
      <w:pPr>
        <w:ind w:left="1080" w:right="2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principal on the debt securities of such series when due and payable whether at maturity, upon redemption, by declaration or otherwise, but, in the case of technical or administrative difficulties, only if that default continues for a period of two days;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payment of interest on any debt securities of such series when due and payable, if that default continues for a period of 30 days;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the performance of or breach of any of our other covenants or agreements in the indenture applicable to debt securities of such series, other than a covenant breach of which is specifically dealt with elsewhere in the indenture, and that default or breach continues for a period of 90 days after we receive written notice from the trustee or from the holders of 25% or more in aggregate principal amount of the debt securities of such series then outstanding;</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for in such series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having jurisdiction enters a decree or order for:</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in respect of us in an involuntary case under any applicable bankruptcy, insolvency, or other similar law now or hereafter in effect;</w:t>
      </w:r>
    </w:p>
    <w:p>
      <w:pPr>
        <w:spacing w:after="0" w:line="67"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receiver, liquidator, assignee, custodian, trustee, sequestrator, or similar official of us or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winding up or liquidation of our affairs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such decree or order shall remain unstayed and in effect for a period of 60 consecutive days; or</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voluntary case under any applicable bankruptcy, insolvency, or other similar law now or hereafter in effect;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entry of an order for relief in an involuntary case under any such law;</w:t>
      </w:r>
    </w:p>
    <w:p>
      <w:pPr>
        <w:spacing w:after="0" w:line="130"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to the appointment of or taking possession by a receiver, liquidator, assignee, custodian, trustee, sequestrator, or similar official of us for all or substantially all of our property; or</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general assignment for the benefit of creditors. The default by us under any other debt, including any other series of debt securities, is not a default under the indenture.</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last two bullet points above occurs with respect to a series of debt securities and is continuing under the indenture, then, and in each and every such case, either the trustee or the holders of not less than 25% in aggregate principal amount of such series then outstanding under the indenture (each such series voting as a separate class) by written notice to us and to the trustee, if such notice is given by the holders, may, and the trustee at the request of such holders shall, declare the principal amount of and accrued interest, if any, on such debt securities to be immediately due and payable.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specified in the last two bullet points above occurs with respect to us and is continuing, then the entire principal amount of the debt securities of all series then outstanding will automatically become due immediately and payable without any declaration or other act on the part of the trustee or any holder.</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Upon a declaration of acceleration, the principal amount of and accrued interest, if any, on such debt securities shall be immediately due and payable. Unless otherwise specified in the prospectus supplement relating to a series of debt securities originally issued at a discount, the amount due upon acceleration shall include only the original issue price of the debt securities, the amount of original issue discount accrued to the date of acceleration and accrued interest, if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Upon certain conditions declarations of acceleration may be rescinded and annulled and past defaults may be waived by the holders of a majority in aggregate principal amount of all the securities of such series affected by the default, each series voting as a separate class (or, of all the debt securities, as the case may be, voting as a single class). Furthermore, subject to various provisions in the indenture, the holders of at least a majority in aggregate principal amount of a series of debt securities by notice to the trustee, may waive an existing default or event of default with respect to such debt securities and its consequences, except a default in the payment of principal of or interest on such debt securities or in respect of a covenant or provision of the indenture which cannot be modified or amended without the consent of the holders of each such debt securities. Upon any such waiver, such default shall cease to exist, and any event of default with respect to such debt securities shall be deemed to have been cured, for every purpose of the indenture; but no such waiver shall extend to any subsequent or other default or event of default or impair any right consequent thereto. For information as to the waiver of defaults, see “Modification and Waiver.”</w:t>
      </w:r>
    </w:p>
    <w:p>
      <w:pPr>
        <w:spacing w:after="0" w:line="188"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holders of at least a majority in aggregate principal amount of a series of debt securities may direct the time, method, and place of conducting any proceeding for any remedy available to the trustee or exercising any trust or power conferred on the trustee with respect to such debt securities. However, the trustee may refuse to follow any direction that conflicts with law or the indenture, that may involve the trustee in personal liability, or that the trustee determines in good faith may be unduly prejudicial to the rights of holders of such issue of debt securities not joining in the giving of such direction and may take any other action it deems proper that is not inconsistent with any such direction received from holders of such issue of debt securities. A holder may not pursue any remedy with respect to the indenture or any series of debt securities unless:</w:t>
      </w:r>
    </w:p>
    <w:p>
      <w:pPr>
        <w:spacing w:after="0" w:line="93"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such series of debt securities make a written request to the trustee to pursue the remedy in respect of such event of default;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requesting holder or holders offer the trustee indemnity satisfactory to the trustee against any costs, liability, or expense;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such series of debt securities do not give the trustee a direction that is inconsistent with the request.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These limitations, however, do not apply to the right of any holder of a debt security to receive payment of the principal of or interest, if any, on such debt security, or to bring suit for the enforcement of any such payment, on or after the due date for the debt securities, which right shall not be impaired or affected without the consent of the holder.</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requires certain of our officers to certify, on or before a fixed date in each year in which any security is outstanding, as to their knowledge of our compliance with all conditions and covenants under the indenture.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Discharge and Defeasance</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unless the terms of any series of debt securities provide otherwise, we may discharge our obligations with respect to an issue of debt securities and the indenture with respect to such series of debt securities if:</w:t>
      </w:r>
    </w:p>
    <w:p>
      <w:pPr>
        <w:spacing w:after="0" w:line="67"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pay or cause to be paid, as and when due and payable, the principal of and any interest on all securities of such series outstanding under the indenture, and we also pay all other sums payable by us under the indenture;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3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 securities of such series previously authenticated and delivered have been delivered to the trustee for cancellation, and we have paid all sums payable by us under the indenture; or</w:t>
      </w:r>
    </w:p>
    <w:p>
      <w:pPr>
        <w:spacing w:after="0" w:line="67"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of such series mature within one year or all of them are to be called for redemption within one year under arrangements satisfactory to the trustee for giving the notice of redemption, and we irrevocably deposit in trust with the trustee, as trust funds solely for the benefit of the holders of the debt securities of such series, for that purpose, the entire amount in cash or, in the case of any series of debt securities payments on which may only be made in U.S. dollars, U.S. government obligations, maturing as to principal and interest in such amounts and at such times as will insure the availability of cash sufficient to pay principal of and interest on the debt securities of such series to maturity or redemption, as the case may be, and to pay all other sums payable by us under the indenture.</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first and second bullet points, only our obligations to compensate and indemnify the trustee and our right to recover unclaimed money held by the trustee under the indenture shall survive. With respect to the third bullet point, certain additional rights and obligations under the indenture shall survive until such debt securities are no longer outstanding. Thereafter, only our obligations to compensate and indemnify the trustee and our right to recover unclaimed money held by the trustee shall survive.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the terms of any series of debt securities provide otherwise, on the 121st day after the date of deposit of trust funds with the trustee, we will be deemed to have paid and will be discharged from any and all obligations in respect of the series of debt securities provided for in the funds, and the provisions of the indenture will no longer be in effect with respect to such debt securities (“legal defeasance”) except as to certain rights and obligations under the indenture; provided that the following conditions shall have been satisfied:</w:t>
      </w:r>
    </w:p>
    <w:p>
      <w:pPr>
        <w:spacing w:after="0" w:line="85" w:lineRule="exact"/>
        <w:rPr>
          <w:sz w:val="20"/>
          <w:szCs w:val="20"/>
          <w:color w:val="auto"/>
        </w:rPr>
      </w:pPr>
    </w:p>
    <w:p>
      <w:pPr>
        <w:ind w:left="1080" w:right="40" w:hanging="424"/>
        <w:spacing w:after="0" w:line="254"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in trust with the trustee as trust funds solely for the benefit of the holders of the debt securities of such series, for payment of the principal of and interest on the debt securities of such series, cash in an amount or, in the case of any series of debt securities payments on which can only be made in U.S. dollars, U.S. government obligations (maturing as to principal and interest at such times and in such amounts as will insure the availability of cash) or a combination thereof sufficient (in the opinion of a nationally recognized firm of independent public accountants expressed in a written certification thereof delivered to the trustee), after payment of all federal, state and local taxes or other charges and assessments in respect thereof payable by the trustee, to pay and discharge the principal of and accrued interest on the debt securities of such series to maturity or earlier redemption, as the case may be, and any mandatory sinking fund payments on the day on which such payments are due and payable in accordance with the terms of the indenture and the debt securities of such series;</w:t>
      </w:r>
    </w:p>
    <w:p>
      <w:pPr>
        <w:spacing w:after="0" w:line="93"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or instrument to which we are a party or by which we are bound;</w:t>
      </w:r>
    </w:p>
    <w:p>
      <w:pPr>
        <w:spacing w:after="0" w:line="67"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an opinion of counsel to the effect that we have received from, or there has been published by, the Internal Revenue Service a ruling to the effect that the holders of the debt securities of such series will not recognize income, gain or loss for federal income tax purposes as a result of our exercising our option under this provision of the indenture and will be subject to federal income tax on the same amount and in the same manner and at the same times as would have been the case if such deposit and defeasance had not occurred; and</w:t>
      </w:r>
    </w:p>
    <w:p>
      <w:pPr>
        <w:spacing w:after="0" w:line="88"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in each case stating that all conditions precedent provided for in the indenture relating to the contemplated defeasance of the debt securities of such series have been complied with, and the opinion of counsel shall also state that such deposit does not violate applicable law.</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Subsequent to the legal defeasance above, after such debt securities are no longer outstanding, only our obligations to compensate and indemnify the trustee and our right to recover unclaimed money held by the trustee shall survive.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trustee may amend or supplement the indenture or the debt securities without the consent of any holder:</w:t>
      </w:r>
    </w:p>
    <w:p>
      <w:pPr>
        <w:spacing w:after="0" w:line="131"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mortgage or pledge any assets as security for the securities of one or more series;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of another corporation to us, and the assumption by such successor corporation of our covenants, agreements and obligations under the indenture;</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in the indenture or in any supplemental indenture or to conform the indenture or the debt securities to the description of debt securities of such series set forth in this prospectus or a prospectus supplement;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under “Certain Covenants—Consolidation, Merger and Sale or Conveyance”;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 to make such changes as shall be necessary to provide for or facilitate the administration of the trusts in the indenture by more than one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establish the form or forms or terms of the debt securities as permitted by the indenture;</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is necessary or desirable provided that such change shall not adversely affect the interests of the holders of the debt securities of any series in any material respect;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to the debt securities of any series so long as no debt securities of such series are outstanding.</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amendments and modifications of the indenture or the debt securities issued may be made, and our compliance with any provision of the indenture with respect to any series of debt securities may be waived, with the consent of the holders of not less than a majority of the aggregate principal amount of the outstanding debt securities of all series affected by the amendment or modification (voting as one class); provided, however, that each affected holder must consent to any modification, amendment or waiver that,</w:t>
      </w:r>
    </w:p>
    <w:p>
      <w:pPr>
        <w:spacing w:after="0" w:line="85"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stated maturity of the principal of, or the time of payment of any installment of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principal amount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the place or currency of payment of principal of, or interest on, any debt securities of such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impairs the right of holders to institute suit for the enforcement of any payment of any debt securities of such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above-stated percentage of outstanding debt securities of such series the consent of whose holders is necessary to modify or amend or to waive certain provisions of or defaults under the indenture;</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modifies any of the provisions of the preceding bullets, except to increase any required percentage or to provide that certain other provisions cannot be modified or waived without the consent of the holder of each debt security of such series affected by the modification; or</w:t>
      </w:r>
    </w:p>
    <w:p>
      <w:pPr>
        <w:spacing w:after="0" w:line="81" w:lineRule="exact"/>
        <w:rPr>
          <w:rFonts w:ascii="Times New Roman" w:cs="Times New Roman" w:eastAsia="Times New Roman" w:hAnsi="Times New Roman"/>
          <w:sz w:val="18"/>
          <w:szCs w:val="18"/>
          <w:color w:val="auto"/>
        </w:rPr>
      </w:pPr>
    </w:p>
    <w:p>
      <w:pPr>
        <w:ind w:left="5540" w:right="180" w:hanging="4884"/>
        <w:spacing w:after="0" w:line="454" w:lineRule="auto"/>
        <w:tabs>
          <w:tab w:leader="none" w:pos="10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 default in respect of a covenant or provision which cannot be modified or amended without the consent of each affected holder. 15</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It shall not be necessary for the consent of the holders under this section to approve the particular form of any proposed amendment, supplement, or waiver, but it shall be sufficient if such consent approves the substance thereof. After an amendment, supplement, or waiver under this section becomes effective, the trustee must give to the holders affected thereby certain notice briefly describing the amendment, supplement, or waiver. We will mail supplemental indentures to holders upon request. Any failure by the trustee to give such notice, or any defect therein, shall not, however, in any way impair or affect the validity of any such supplemental indenture or waiver.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 Personal Liability of Incorporators, Stockholders, Officers, Directors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no recourse shall be had under or upon any obligation, covenant, or agreement of ours in the indenture or any supplemental indenture, or in any of the debt securities or because of any indebtedness represented thereby, against any incorporator, stockholder, officer or director of ours or of any successor person thereof under any law, statute or constitutional provision or by the enforcement of any assessment or by any legal or equitable proceeding or otherwise. Each holder, by accepting the debt securities, waives and releases all such liability.</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 default, the trustee will not be liable, except for the performance of such duties as are specifically set forth in the indenture. If an event of default has occurred and is continuing, the trustee will exercise such rights and powers vested in it under the indenture and will use the same degree of care and skill in its exercise as a prudent person would exercise under the circumstances in the conduct of such person’s own affairs.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debt securities will be governed by, and construed in accordance with, the internal laws of the State of New York.</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Trustee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have normal banking relationships with the trustee under the indenture in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39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one or more warrants, debt securities, shares of preferred stock, shares of common stock or any combination of such securities.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FORMS OF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Registered Global Securities</w:t>
      </w:r>
      <w:r>
        <w:rPr>
          <w:rFonts w:ascii="Times New Roman" w:cs="Times New Roman" w:eastAsia="Times New Roman" w:hAnsi="Times New Roman"/>
          <w:sz w:val="18"/>
          <w:szCs w:val="18"/>
          <w:color w:val="auto"/>
        </w:rPr>
        <w:t>. We may issue the registered debt securities, warrants and units in the form of one or more fully registered global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8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Texas Instruments, the trustee, any warrant agent, unit agent or any other agent of Texas Instruments, agent of the trustee or agent of such warrant agent or unit agent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or selling security holders may sell the securities being offered hereby in the following manner or any manner specified in a prospectus supplement:</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underwriters;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w:t>
      </w:r>
    </w:p>
    <w:p>
      <w:pPr>
        <w:spacing w:after="0" w:line="225" w:lineRule="exact"/>
        <w:rPr>
          <w:sz w:val="20"/>
          <w:szCs w:val="20"/>
          <w:color w:val="auto"/>
        </w:rPr>
      </w:pPr>
    </w:p>
    <w:p>
      <w:pPr>
        <w:jc w:val="both"/>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If any securities are sold pursuant to this prospectus by any persons other than us, we will, in a prospectus supplement, name the selling security holders, indicate the nature of any relationship such holders have had to us or any of our affiliates during the three years preceding such offering, state the amount of securities of the class owned by such security holder prior to the offering and the amount to be offered for the security holder’s account, and state the amount and (if one percent or more) the percentage of the class to be owned by such security holder after completion of the offering.</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or any selling security holder may directly solicit offers to purchase securities, or agents may be designated to solicit such offers. We will, in the prospectus supplement relating to such offering, name any agent that could be viewed as an underwriter under the Securities Act of 1933, as amended (the “Securities Act”), and describe any commissions that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83"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any underwriters or agents are utilized in the sale of the securities in respect of which this prospectus is delivered, we and, if applicable, any selling security holder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Remarketing firms, agents, underwriters and dealers may be entitled under agreements which they may enter into with us to indemnification by us and by any selling security holder against certain civil liabilities, including liabilities under the Securities Act, and may be customers of, engage in transactions with or perform services for us in the ordinary course of business.</w:t>
      </w:r>
    </w:p>
    <w:p>
      <w:pPr>
        <w:spacing w:after="0" w:line="176"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VALIDITY OF SECURITIES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securities in respect of which this prospectus is being delivered will be passed on for us by Davis Polk &amp; Wardwell LLP.</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consolidated financial statements included in our Annual Report on Form 10-K for the year ended December 31, 2021, and the effectiveness of our internal control over financial reporting as of December 31, 2021, as set forth in their reports, which are incorporated by reference into this prospectus and elsewhere in the registration statement. Our financial statements and our management’s assessment of the effectiveness of internal control over financial reporting as of December 31, 2021, are incorporated by reference in reliance on Ernst &amp; Young LLP’s reports, given on their authority as experts in accounting and auditing.</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40"/>
          </w:cols>
          <w:pgMar w:left="320" w:top="455" w:right="5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636905</wp:posOffset>
            </wp:positionV>
            <wp:extent cx="2880360" cy="677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880360"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380" w:hanging="1449"/>
        <w:spacing w:after="0"/>
        <w:tabs>
          <w:tab w:leader="none" w:pos="5380" w:val="left"/>
        </w:tabs>
        <w:numPr>
          <w:ilvl w:val="0"/>
          <w:numId w:val="43"/>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26" w:lineRule="exact"/>
        <w:rPr>
          <w:sz w:val="20"/>
          <w:szCs w:val="20"/>
          <w:color w:val="auto"/>
        </w:rPr>
      </w:pPr>
    </w:p>
    <w:p>
      <w:pPr>
        <w:ind w:left="5380" w:hanging="1449"/>
        <w:spacing w:after="0"/>
        <w:tabs>
          <w:tab w:leader="none" w:pos="5380" w:val="left"/>
        </w:tabs>
        <w:numPr>
          <w:ilvl w:val="0"/>
          <w:numId w:val="44"/>
        </w:numPr>
        <w:rPr>
          <w:rFonts w:ascii="Times New Roman" w:cs="Times New Roman" w:eastAsia="Times New Roman" w:hAnsi="Times New Roman"/>
          <w:sz w:val="25"/>
          <w:szCs w:val="25"/>
          <w:b w:val="1"/>
          <w:bCs w:val="1"/>
          <w:color w:val="auto"/>
        </w:rPr>
      </w:pPr>
      <w:r>
        <w:rPr>
          <w:rFonts w:ascii="Times New Roman" w:cs="Times New Roman" w:eastAsia="Times New Roman" w:hAnsi="Times New Roman"/>
          <w:sz w:val="25"/>
          <w:szCs w:val="25"/>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1035685</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p>
      <w:pPr>
        <w:spacing w:after="0" w:line="228" w:lineRule="exact"/>
        <w:rPr>
          <w:sz w:val="20"/>
          <w:szCs w:val="20"/>
          <w:color w:val="auto"/>
        </w:rPr>
      </w:pPr>
    </w:p>
    <w:p>
      <w:pPr>
        <w:ind w:left="120"/>
        <w:spacing w:after="0"/>
        <w:tabs>
          <w:tab w:leader="none" w:pos="4840" w:val="left"/>
          <w:tab w:leader="none" w:pos="10240" w:val="left"/>
        </w:tabs>
        <w:rPr>
          <w:sz w:val="20"/>
          <w:szCs w:val="20"/>
          <w:color w:val="auto"/>
        </w:rPr>
      </w:pPr>
      <w:r>
        <w:rPr>
          <w:rFonts w:ascii="Times New Roman" w:cs="Times New Roman" w:eastAsia="Times New Roman" w:hAnsi="Times New Roman"/>
          <w:sz w:val="29"/>
          <w:szCs w:val="29"/>
          <w:b w:val="1"/>
          <w:bCs w:val="1"/>
          <w:color w:val="auto"/>
        </w:rPr>
        <w:t>Barclays</w:t>
      </w:r>
      <w:r>
        <w:rPr>
          <w:sz w:val="20"/>
          <w:szCs w:val="20"/>
          <w:color w:val="auto"/>
        </w:rPr>
        <w:tab/>
      </w:r>
      <w:r>
        <w:rPr>
          <w:rFonts w:ascii="Times New Roman" w:cs="Times New Roman" w:eastAsia="Times New Roman" w:hAnsi="Times New Roman"/>
          <w:sz w:val="29"/>
          <w:szCs w:val="29"/>
          <w:b w:val="1"/>
          <w:bCs w:val="1"/>
          <w:color w:val="auto"/>
        </w:rPr>
        <w:t>BofA Securities</w:t>
      </w:r>
      <w:r>
        <w:rPr>
          <w:sz w:val="20"/>
          <w:szCs w:val="20"/>
          <w:color w:val="auto"/>
        </w:rPr>
        <w:tab/>
      </w:r>
      <w:r>
        <w:rPr>
          <w:rFonts w:ascii="Times New Roman" w:cs="Times New Roman" w:eastAsia="Times New Roman" w:hAnsi="Times New Roman"/>
          <w:sz w:val="28"/>
          <w:szCs w:val="28"/>
          <w:b w:val="1"/>
          <w:bCs w:val="1"/>
          <w:color w:val="auto"/>
        </w:rPr>
        <w:t>MUFG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1355725</wp:posOffset>
            </wp:positionV>
            <wp:extent cx="147447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20"/>
    </w:lvl>
    <w:lvl w:ilvl="1">
      <w:lvlJc w:val="left"/>
      <w:lvlText w:val="(%2)"/>
      <w:numFmt w:val="decimal"/>
      <w:start w:val="2"/>
    </w:lvl>
  </w:abstractNum>
  <w:abstractNum w:abstractNumId="11">
    <w:nsid w:val="2CA88611"/>
    <w:multiLevelType w:val="hybridMultilevel"/>
    <w:lvl w:ilvl="0">
      <w:lvlJc w:val="left"/>
      <w:lvlText w:val="•"/>
      <w:numFmt w:val="bullet"/>
      <w:start w:val="1"/>
    </w:lvl>
    <w:lvl w:ilvl="1">
      <w:lvlJc w:val="left"/>
      <w:lvlText w:val="(%2)"/>
      <w:numFmt w:val="decimal"/>
      <w:start w:val="1"/>
    </w:lvl>
  </w:abstractNum>
  <w:abstractNum w:abstractNumId="12">
    <w:nsid w:val="836C40E"/>
    <w:multiLevelType w:val="hybridMultilevel"/>
    <w:lvl w:ilvl="0">
      <w:lvlJc w:val="left"/>
      <w:lvlText w:val="•"/>
      <w:numFmt w:val="bullet"/>
      <w:start w:val="1"/>
    </w:lvl>
    <w:lvl w:ilvl="1">
      <w:lvlJc w:val="left"/>
      <w:lvlText w:val="(%2)"/>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lvl w:ilvl="1">
      <w:lvlJc w:val="left"/>
      <w:lvlText w:val="•"/>
      <w:numFmt w:val="bullet"/>
      <w:start w:val="1"/>
    </w:lvl>
  </w:abstractNum>
  <w:abstractNum w:abstractNumId="31">
    <w:nsid w:val="5C482A97"/>
    <w:multiLevelType w:val="hybridMultilevel"/>
    <w:lvl w:ilvl="0">
      <w:lvlJc w:val="left"/>
      <w:lvlText w:val="•"/>
      <w:numFmt w:val="bullet"/>
      <w:start w:val="1"/>
    </w:lvl>
    <w:lvl w:ilvl="1">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lvl w:ilvl="1">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jpe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jpe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47" Type="http://schemas.openxmlformats.org/officeDocument/2006/relationships/hyperlink" Target="http://www.sec.gov/ix?doc=/Archives/edgar/data/97476/000009747623000007/txn-20221231.htm" TargetMode="External"/><Relationship Id="rId48" Type="http://schemas.openxmlformats.org/officeDocument/2006/relationships/hyperlink" Target="http://www.sec.gov/ix?doc=/Archives/edgar/data/97476/000119312523011991/d398525d8k.htm" TargetMode="External"/><Relationship Id="rId49" Type="http://schemas.openxmlformats.org/officeDocument/2006/relationships/hyperlink" Target="http://www.sec.gov/ix?doc=/Archives/edgar/data/97476/000119312523041080/d457016d8k.htm" TargetMode="External"/><Relationship Id="rId59" Type="http://schemas.openxmlformats.org/officeDocument/2006/relationships/hyperlink" Target="http://www.sec.gov/ix?doc=/Archives/edgar/data/0000097476/000009747622000009/txn-20211231.htm" TargetMode="External"/><Relationship Id="rId60" Type="http://schemas.openxmlformats.org/officeDocument/2006/relationships/hyperlink" Target="http://www.sec.gov/ix?doc=/Archives/edgar/data/97476/000119312522018409/d252810d8k.htm" TargetMode="External"/><Relationship Id="rId61" Type="http://schemas.openxmlformats.org/officeDocument/2006/relationships/hyperlink" Target="http://www.sec.gov/Archives/edgar/data/97476/00000974761100006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2023-03-07T08:22:30Z</dcterms:created>
  <dcterms:modified xsi:type="dcterms:W3CDTF">2023-03-07T08:22:30Z</dcterms:modified>
</cp:coreProperties>
</file>