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891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891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DELAGI R GREGORY</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12500 TI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TEXAS INSTRUMENTS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TXN</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01/31/2012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023"/>
        <w:spacing w:after="0"/>
        <w:rPr>
          <w:sz w:val="20"/>
          <w:szCs w:val="20"/>
          <w:color w:val="auto"/>
        </w:rPr>
      </w:pPr>
      <w:r>
        <w:rPr>
          <w:rFonts w:ascii="Arial" w:cs="Arial" w:eastAsia="Arial" w:hAnsi="Arial"/>
          <w:sz w:val="18"/>
          <w:szCs w:val="18"/>
          <w:color w:val="0000FF"/>
        </w:rPr>
        <w:t>Sr. Vice President</w:t>
      </w:r>
    </w:p>
    <w:p>
      <w:pPr>
        <w:spacing w:after="0" w:line="315" w:lineRule="exact"/>
        <w:rPr>
          <w:sz w:val="24"/>
          <w:szCs w:val="24"/>
          <w:color w:val="auto"/>
        </w:rPr>
      </w:pPr>
    </w:p>
    <w:p>
      <w:pPr>
        <w:sectPr>
          <w:pgSz w:w="11900" w:h="16838" w:orient="portrait"/>
          <w:cols w:equalWidth="0" w:num="3">
            <w:col w:w="3360" w:space="720"/>
            <w:col w:w="3340" w:space="637"/>
            <w:col w:w="3363"/>
          </w:cols>
          <w:pgMar w:left="240" w:top="226" w:right="239" w:bottom="1440" w:gutter="0" w:footer="0" w:header="0"/>
          <w:type w:val="continuous"/>
        </w:sectPr>
      </w:pPr>
    </w:p>
    <w:p>
      <w:pPr>
        <w:spacing w:after="0" w:line="17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4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12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00" w:type="dxa"/>
            <w:vAlign w:val="bottom"/>
          </w:tcPr>
          <w:p>
            <w:pPr>
              <w:spacing w:after="0"/>
              <w:rPr>
                <w:sz w:val="20"/>
                <w:szCs w:val="20"/>
                <w:color w:val="auto"/>
              </w:rPr>
            </w:pPr>
            <w:r>
              <w:rPr>
                <w:rFonts w:ascii="Arial" w:cs="Arial" w:eastAsia="Arial" w:hAnsi="Arial"/>
                <w:sz w:val="18"/>
                <w:szCs w:val="18"/>
                <w:color w:val="0000FF"/>
              </w:rPr>
              <w:t>DALLAS</w:t>
            </w:r>
          </w:p>
        </w:tc>
        <w:tc>
          <w:tcPr>
            <w:tcW w:w="1120" w:type="dxa"/>
            <w:vAlign w:val="bottom"/>
          </w:tcPr>
          <w:p>
            <w:pPr>
              <w:ind w:left="280"/>
              <w:spacing w:after="0"/>
              <w:rPr>
                <w:sz w:val="20"/>
                <w:szCs w:val="20"/>
                <w:color w:val="auto"/>
              </w:rPr>
            </w:pPr>
            <w:r>
              <w:rPr>
                <w:rFonts w:ascii="Arial" w:cs="Arial" w:eastAsia="Arial" w:hAnsi="Arial"/>
                <w:sz w:val="18"/>
                <w:szCs w:val="18"/>
                <w:color w:val="0000FF"/>
              </w:rPr>
              <w:t>TX</w:t>
            </w:r>
          </w:p>
        </w:tc>
        <w:tc>
          <w:tcPr>
            <w:tcW w:w="1680" w:type="dxa"/>
            <w:vAlign w:val="bottom"/>
          </w:tcPr>
          <w:p>
            <w:pPr>
              <w:ind w:left="420"/>
              <w:spacing w:after="0"/>
              <w:rPr>
                <w:sz w:val="20"/>
                <w:szCs w:val="20"/>
                <w:color w:val="auto"/>
              </w:rPr>
            </w:pPr>
            <w:r>
              <w:rPr>
                <w:rFonts w:ascii="Arial" w:cs="Arial" w:eastAsia="Arial" w:hAnsi="Arial"/>
                <w:sz w:val="18"/>
                <w:szCs w:val="18"/>
                <w:color w:val="0000FF"/>
              </w:rPr>
              <w:t>75243</w:t>
            </w:r>
          </w:p>
        </w:tc>
      </w:tr>
      <w:tr>
        <w:trPr>
          <w:trHeight w:val="158"/>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4"/>
                <w:szCs w:val="14"/>
                <w:color w:val="auto"/>
              </w:rPr>
              <w:t>(City)</w:t>
            </w:r>
          </w:p>
        </w:tc>
        <w:tc>
          <w:tcPr>
            <w:tcW w:w="1120" w:type="dxa"/>
            <w:vAlign w:val="bottom"/>
          </w:tcPr>
          <w:p>
            <w:pPr>
              <w:ind w:left="28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ind w:left="3980"/>
        <w:spacing w:after="0"/>
        <w:rPr>
          <w:sz w:val="20"/>
          <w:szCs w:val="20"/>
          <w:color w:val="auto"/>
        </w:rPr>
      </w:pPr>
      <w:r>
        <w:rPr>
          <w:rFonts w:ascii="Arial" w:cs="Arial" w:eastAsia="Arial" w:hAnsi="Arial"/>
          <w:sz w:val="14"/>
          <w:szCs w:val="14"/>
          <w:color w:val="auto"/>
        </w:rPr>
        <w:t>Line)</w:t>
      </w:r>
    </w:p>
    <w:p>
      <w:pPr>
        <w:ind w:left="4180"/>
        <w:spacing w:after="0" w:line="211"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ind w:left="4540"/>
        <w:spacing w:after="0"/>
        <w:rPr>
          <w:sz w:val="20"/>
          <w:szCs w:val="20"/>
          <w:color w:val="auto"/>
        </w:rPr>
      </w:pPr>
      <w:r>
        <w:rPr>
          <w:rFonts w:ascii="Arial" w:cs="Arial" w:eastAsia="Arial" w:hAnsi="Arial"/>
          <w:sz w:val="14"/>
          <w:szCs w:val="14"/>
          <w:color w:val="auto"/>
        </w:rPr>
        <w:t>Person</w:t>
      </w:r>
    </w:p>
    <w:p>
      <w:pPr>
        <w:spacing w:after="0" w:line="307" w:lineRule="exact"/>
        <w:rPr>
          <w:sz w:val="24"/>
          <w:szCs w:val="24"/>
          <w:color w:val="auto"/>
        </w:rPr>
      </w:pPr>
    </w:p>
    <w:p>
      <w:pPr>
        <w:sectPr>
          <w:pgSz w:w="11900" w:h="16838" w:orient="portrait"/>
          <w:cols w:equalWidth="0" w:num="2">
            <w:col w:w="3920" w:space="160"/>
            <w:col w:w="7340"/>
          </w:cols>
          <w:pgMar w:left="240" w:top="226" w:right="23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6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0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(A) or</w:t>
            </w:r>
          </w:p>
        </w:tc>
        <w:tc>
          <w:tcPr>
            <w:tcW w:w="700" w:type="dxa"/>
            <w:vAlign w:val="bottom"/>
            <w:vMerge w:val="restart"/>
          </w:tcPr>
          <w:p>
            <w:pPr>
              <w:jc w:val="right"/>
              <w:ind w:right="226"/>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0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6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0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6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jc w:val="right"/>
              <w:ind w:right="92"/>
              <w:spacing w:after="0"/>
              <w:rPr>
                <w:sz w:val="20"/>
                <w:szCs w:val="20"/>
                <w:color w:val="auto"/>
              </w:rPr>
            </w:pPr>
            <w:r>
              <w:rPr>
                <w:rFonts w:ascii="Arial" w:cs="Arial" w:eastAsia="Arial" w:hAnsi="Arial"/>
                <w:sz w:val="18"/>
                <w:szCs w:val="18"/>
                <w:color w:val="0000FF"/>
              </w:rPr>
              <w:t>01/31/2012</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7"/>
                <w:szCs w:val="27"/>
                <w:color w:val="0000FF"/>
                <w:vertAlign w:val="subscript"/>
              </w:rPr>
              <w:t>S</w:t>
            </w:r>
            <w:r>
              <w:rPr>
                <w:rFonts w:ascii="Arial" w:cs="Arial" w:eastAsia="Arial" w:hAnsi="Arial"/>
                <w:sz w:val="11"/>
                <w:szCs w:val="11"/>
                <w:color w:val="008000"/>
              </w:rPr>
              <w:t>(1)</w:t>
            </w:r>
          </w:p>
        </w:tc>
        <w:tc>
          <w:tcPr>
            <w:tcW w:w="800" w:type="dxa"/>
            <w:vAlign w:val="bottom"/>
            <w:tcBorders>
              <w:bottom w:val="single" w:sz="8" w:color="2C2C2C"/>
            </w:tcBorders>
          </w:tcPr>
          <w:p>
            <w:pPr>
              <w:ind w:left="180"/>
              <w:spacing w:after="0"/>
              <w:rPr>
                <w:sz w:val="20"/>
                <w:szCs w:val="20"/>
                <w:color w:val="auto"/>
              </w:rPr>
            </w:pPr>
            <w:r>
              <w:rPr>
                <w:rFonts w:ascii="Arial" w:cs="Arial" w:eastAsia="Arial" w:hAnsi="Arial"/>
                <w:sz w:val="18"/>
                <w:szCs w:val="18"/>
                <w:color w:val="0000FF"/>
              </w:rPr>
              <w:t>40,000</w:t>
            </w:r>
          </w:p>
        </w:tc>
        <w:tc>
          <w:tcPr>
            <w:tcW w:w="540" w:type="dxa"/>
            <w:vAlign w:val="bottom"/>
            <w:tcBorders>
              <w:bottom w:val="single" w:sz="8" w:color="2C2C2C"/>
            </w:tcBorders>
          </w:tcPr>
          <w:p>
            <w:pPr>
              <w:ind w:left="240"/>
              <w:spacing w:after="0"/>
              <w:rPr>
                <w:sz w:val="20"/>
                <w:szCs w:val="20"/>
                <w:color w:val="auto"/>
              </w:rPr>
            </w:pPr>
            <w:r>
              <w:rPr>
                <w:rFonts w:ascii="Arial" w:cs="Arial" w:eastAsia="Arial" w:hAnsi="Arial"/>
                <w:sz w:val="18"/>
                <w:szCs w:val="18"/>
                <w:color w:val="0000FF"/>
              </w:rPr>
              <w:t>D</w:t>
            </w:r>
          </w:p>
        </w:tc>
        <w:tc>
          <w:tcPr>
            <w:tcW w:w="700" w:type="dxa"/>
            <w:vAlign w:val="bottom"/>
            <w:tcBorders>
              <w:bottom w:val="single" w:sz="8" w:color="2C2C2C"/>
            </w:tcBorders>
          </w:tcPr>
          <w:p>
            <w:pPr>
              <w:jc w:val="right"/>
              <w:ind w:right="6"/>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32.32</w:t>
            </w:r>
          </w:p>
        </w:tc>
        <w:tc>
          <w:tcPr>
            <w:tcW w:w="1160" w:type="dxa"/>
            <w:vAlign w:val="bottom"/>
            <w:tcBorders>
              <w:bottom w:val="single" w:sz="8" w:color="2C2C2C"/>
            </w:tcBorders>
          </w:tcPr>
          <w:p>
            <w:pPr>
              <w:jc w:val="center"/>
              <w:spacing w:after="0"/>
              <w:rPr>
                <w:sz w:val="20"/>
                <w:szCs w:val="20"/>
                <w:color w:val="auto"/>
              </w:rPr>
            </w:pPr>
            <w:r>
              <w:rPr>
                <w:rFonts w:ascii="Arial" w:cs="Arial" w:eastAsia="Arial" w:hAnsi="Arial"/>
                <w:sz w:val="18"/>
                <w:szCs w:val="18"/>
                <w:color w:val="0000FF"/>
                <w:w w:val="88"/>
              </w:rPr>
              <w:t>248,715.48</w:t>
            </w:r>
          </w:p>
        </w:tc>
        <w:tc>
          <w:tcPr>
            <w:tcW w:w="980" w:type="dxa"/>
            <w:vAlign w:val="bottom"/>
            <w:tcBorders>
              <w:bottom w:val="single" w:sz="8" w:color="2C2C2C"/>
            </w:tcBorders>
          </w:tcPr>
          <w:p>
            <w:pPr>
              <w:ind w:left="44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600" w:type="dxa"/>
            <w:vAlign w:val="bottom"/>
            <w:tcBorders>
              <w:bottom w:val="single" w:sz="8" w:color="2C2C2C"/>
            </w:tcBorders>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jc w:val="center"/>
              <w:spacing w:after="0" w:line="324" w:lineRule="exact"/>
              <w:rPr>
                <w:sz w:val="20"/>
                <w:szCs w:val="20"/>
                <w:color w:val="auto"/>
              </w:rPr>
            </w:pPr>
            <w:r>
              <w:rPr>
                <w:rFonts w:ascii="Arial" w:cs="Arial" w:eastAsia="Arial" w:hAnsi="Arial"/>
                <w:sz w:val="35"/>
                <w:szCs w:val="35"/>
                <w:color w:val="0000FF"/>
                <w:w w:val="83"/>
                <w:vertAlign w:val="subscript"/>
              </w:rPr>
              <w:t>8</w:t>
            </w:r>
            <w:r>
              <w:rPr>
                <w:rFonts w:ascii="Arial" w:cs="Arial" w:eastAsia="Arial" w:hAnsi="Arial"/>
                <w:sz w:val="11"/>
                <w:szCs w:val="11"/>
                <w:color w:val="008000"/>
                <w:w w:val="83"/>
              </w:rPr>
              <w:t>(2)</w:t>
            </w:r>
          </w:p>
        </w:tc>
        <w:tc>
          <w:tcPr>
            <w:tcW w:w="980" w:type="dxa"/>
            <w:vAlign w:val="bottom"/>
            <w:tcBorders>
              <w:bottom w:val="single" w:sz="8" w:color="2C2C2C"/>
            </w:tcBorders>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Borders>
              <w:bottom w:val="single" w:sz="8" w:color="2C2C2C"/>
            </w:tcBorders>
          </w:tcPr>
          <w:p>
            <w:pPr>
              <w:ind w:left="80"/>
              <w:spacing w:after="0"/>
              <w:rPr>
                <w:sz w:val="20"/>
                <w:szCs w:val="20"/>
                <w:color w:val="auto"/>
              </w:rPr>
            </w:pPr>
            <w:r>
              <w:rPr>
                <w:rFonts w:ascii="Arial" w:cs="Arial" w:eastAsia="Arial" w:hAnsi="Arial"/>
                <w:sz w:val="18"/>
                <w:szCs w:val="18"/>
                <w:color w:val="0000FF"/>
              </w:rPr>
              <w:t>By Son</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7,214.84</w:t>
            </w:r>
            <w:r>
              <w:rPr>
                <w:rFonts w:ascii="Arial" w:cs="Arial" w:eastAsia="Arial" w:hAnsi="Arial"/>
                <w:sz w:val="22"/>
                <w:szCs w:val="22"/>
                <w:color w:val="008000"/>
                <w:w w:val="84"/>
                <w:vertAlign w:val="superscript"/>
              </w:rPr>
              <w:t>(3)</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-401(k)</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186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By</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18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160" w:type="dxa"/>
            <w:vAlign w:val="bottom"/>
          </w:tcPr>
          <w:p>
            <w:pPr>
              <w:jc w:val="center"/>
              <w:spacing w:after="0" w:line="217" w:lineRule="exact"/>
              <w:rPr>
                <w:sz w:val="20"/>
                <w:szCs w:val="20"/>
                <w:color w:val="auto"/>
              </w:rPr>
            </w:pPr>
            <w:r>
              <w:rPr>
                <w:rFonts w:ascii="Arial" w:cs="Arial" w:eastAsia="Arial" w:hAnsi="Arial"/>
                <w:sz w:val="18"/>
                <w:szCs w:val="18"/>
                <w:color w:val="0000FF"/>
                <w:w w:val="84"/>
              </w:rPr>
              <w:t>3,978.08</w:t>
            </w:r>
            <w:r>
              <w:rPr>
                <w:rFonts w:ascii="Arial" w:cs="Arial" w:eastAsia="Arial" w:hAnsi="Arial"/>
                <w:sz w:val="22"/>
                <w:szCs w:val="22"/>
                <w:color w:val="008000"/>
                <w:w w:val="84"/>
                <w:vertAlign w:val="superscript"/>
              </w:rPr>
              <w:t>(4)</w:t>
            </w:r>
          </w:p>
        </w:tc>
        <w:tc>
          <w:tcPr>
            <w:tcW w:w="980" w:type="dxa"/>
            <w:vAlign w:val="bottom"/>
          </w:tcPr>
          <w:p>
            <w:pPr>
              <w:ind w:left="480"/>
              <w:spacing w:after="0"/>
              <w:rPr>
                <w:sz w:val="20"/>
                <w:szCs w:val="20"/>
                <w:color w:val="auto"/>
              </w:rPr>
            </w:pPr>
            <w:r>
              <w:rPr>
                <w:rFonts w:ascii="Arial" w:cs="Arial" w:eastAsia="Arial" w:hAnsi="Arial"/>
                <w:sz w:val="18"/>
                <w:szCs w:val="18"/>
                <w:color w:val="0000FF"/>
              </w:rPr>
              <w:t>I</w:t>
            </w:r>
          </w:p>
        </w:tc>
        <w:tc>
          <w:tcPr>
            <w:tcW w:w="800" w:type="dxa"/>
            <w:vAlign w:val="bottom"/>
          </w:tcPr>
          <w:p>
            <w:pPr>
              <w:ind w:left="80"/>
              <w:spacing w:after="0"/>
              <w:rPr>
                <w:sz w:val="20"/>
                <w:szCs w:val="20"/>
                <w:color w:val="auto"/>
              </w:rPr>
            </w:pPr>
            <w:r>
              <w:rPr>
                <w:rFonts w:ascii="Arial" w:cs="Arial" w:eastAsia="Arial" w:hAnsi="Arial"/>
                <w:sz w:val="18"/>
                <w:szCs w:val="18"/>
                <w:color w:val="0000FF"/>
              </w:rPr>
              <w:t>Trust--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0000FF"/>
              </w:rPr>
              <w:t>PS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tcPr>
          <w:p>
            <w:pPr>
              <w:spacing w:after="0"/>
              <w:rPr>
                <w:sz w:val="7"/>
                <w:szCs w:val="7"/>
                <w:color w:val="auto"/>
              </w:rPr>
            </w:pPr>
          </w:p>
        </w:tc>
        <w:tc>
          <w:tcPr>
            <w:tcW w:w="1860" w:type="dxa"/>
            <w:vAlign w:val="bottom"/>
            <w:tcBorders>
              <w:bottom w:val="single" w:sz="8" w:color="2C2C2C"/>
            </w:tcBorders>
          </w:tcPr>
          <w:p>
            <w:pPr>
              <w:spacing w:after="0"/>
              <w:rPr>
                <w:sz w:val="7"/>
                <w:szCs w:val="7"/>
                <w:color w:val="auto"/>
              </w:rPr>
            </w:pPr>
          </w:p>
        </w:tc>
        <w:tc>
          <w:tcPr>
            <w:tcW w:w="11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160" w:type="dxa"/>
            <w:vAlign w:val="bottom"/>
            <w:tcBorders>
              <w:bottom w:val="single" w:sz="8" w:color="2C2C2C"/>
            </w:tcBorders>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6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9"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8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r>
      <w:tr>
        <w:trPr>
          <w:trHeight w:val="135"/>
        </w:trPr>
        <w:tc>
          <w:tcPr>
            <w:tcW w:w="680" w:type="dxa"/>
            <w:vAlign w:val="bottom"/>
          </w:tcPr>
          <w:p>
            <w:pPr>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Ownership</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r>
      <w:tr>
        <w:trPr>
          <w:trHeight w:val="135"/>
        </w:trPr>
        <w:tc>
          <w:tcPr>
            <w:tcW w:w="6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2"/>
        </w:trPr>
        <w:tc>
          <w:tcPr>
            <w:tcW w:w="6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3"/>
        </w:trPr>
        <w:tc>
          <w:tcPr>
            <w:tcW w:w="6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6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0"/>
        </w:trPr>
        <w:tc>
          <w:tcPr>
            <w:tcW w:w="6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40"/>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8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The price in Table 1 is a weighted average sale price. The sales were at prices ranging from $32.2350 to $32.3900. The Issuer undertakes to provide upon request a detailed breakout of the sale prices and the number of shares sold at each price.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Beneficial ownership by reporting person disclaimed.</w:t>
      </w:r>
    </w:p>
    <w:p>
      <w:pPr>
        <w:spacing w:after="0" w:line="41" w:lineRule="exact"/>
        <w:rPr>
          <w:rFonts w:ascii="Arial" w:cs="Arial" w:eastAsia="Arial" w:hAnsi="Arial"/>
          <w:sz w:val="14"/>
          <w:szCs w:val="14"/>
          <w:color w:val="008000"/>
        </w:rPr>
      </w:pPr>
    </w:p>
    <w:p>
      <w:pPr>
        <w:ind w:left="40" w:right="2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Estimated shares attributable to TI 401(k) Account as of 12-31-2011. (Interests in this account are denominated in units. Consequently, share amount shown is an estimate.) This statement does not include changes in beneficial ownership of shares held in this account occurring after 12-31-2011 that are eligible for deferred reporting on Form 5.</w:t>
      </w:r>
    </w:p>
    <w:p>
      <w:pPr>
        <w:spacing w:after="0" w:line="30" w:lineRule="exact"/>
        <w:rPr>
          <w:rFonts w:ascii="Arial" w:cs="Arial" w:eastAsia="Arial" w:hAnsi="Arial"/>
          <w:sz w:val="14"/>
          <w:szCs w:val="14"/>
          <w:color w:val="008000"/>
        </w:rPr>
      </w:pPr>
    </w:p>
    <w:p>
      <w:pPr>
        <w:ind w:left="40" w:right="180" w:firstLine="9"/>
        <w:spacing w:after="0" w:line="318"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Estimated shares attributable to TI Universal Profit Sharing Account as of 12-31-2011. (Interests in this account are denominated in units. Consequently, share amount shown is an estimate.) This statement does not include changes in beneficial ownership of shares held in such account occurring after 12-31-2011 that are eligible for deferred reporting on Form 5.</w:t>
      </w:r>
    </w:p>
    <w:tbl>
      <w:tblPr>
        <w:tblLayout w:type="fixed"/>
        <w:tblInd w:w="6860" w:type="dxa"/>
        <w:tblCellMar>
          <w:top w:w="0" w:type="dxa"/>
          <w:left w:w="0" w:type="dxa"/>
          <w:bottom w:w="0" w:type="dxa"/>
          <w:right w:w="0" w:type="dxa"/>
        </w:tblCellMar>
      </w:tblPr>
      <w:tr>
        <w:trPr>
          <w:trHeight w:val="199"/>
        </w:trPr>
        <w:tc>
          <w:tcPr>
            <w:tcW w:w="2100" w:type="dxa"/>
            <w:vAlign w:val="bottom"/>
            <w:tcBorders>
              <w:bottom w:val="single" w:sz="8" w:color="auto"/>
            </w:tcBorders>
            <w:gridSpan w:val="2"/>
          </w:tcPr>
          <w:p>
            <w:pPr>
              <w:spacing w:after="0" w:line="199" w:lineRule="exact"/>
              <w:rPr>
                <w:sz w:val="20"/>
                <w:szCs w:val="20"/>
                <w:color w:val="auto"/>
              </w:rPr>
            </w:pPr>
            <w:r>
              <w:rPr>
                <w:rFonts w:ascii="Arial" w:cs="Arial" w:eastAsia="Arial" w:hAnsi="Arial"/>
                <w:sz w:val="18"/>
                <w:szCs w:val="18"/>
                <w:color w:val="0000FF"/>
                <w:w w:val="91"/>
              </w:rPr>
              <w:t>/s/ Daniel M. Drory, Attorney</w:t>
            </w:r>
          </w:p>
        </w:tc>
        <w:tc>
          <w:tcPr>
            <w:tcW w:w="10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6"/>
              </w:rPr>
              <w:t>02/02/2012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In Fact</w:t>
            </w: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7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86556" TargetMode="External"/><Relationship Id="rId13" Type="http://schemas.openxmlformats.org/officeDocument/2006/relationships/hyperlink" Target="http://www.sec.gov/cgi-bin/browse-edgar?action=getcompany&amp;CIK=00000974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2019-12-17T00:08:04Z</dcterms:created>
  <dcterms:modified xsi:type="dcterms:W3CDTF">2019-12-17T00:08:04Z</dcterms:modified>
</cp:coreProperties>
</file>