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DATE OF REPORT (DATE OF EARLIEST EVENT REPORTED): October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2600" w:type="dxa"/>
            <w:vAlign w:val="bottom"/>
          </w:tcPr>
          <w:p>
            <w:pPr>
              <w:spacing w:after="0"/>
              <w:rPr>
                <w:sz w:val="20"/>
                <w:szCs w:val="20"/>
                <w:color w:val="auto"/>
              </w:rPr>
            </w:pPr>
          </w:p>
        </w:tc>
      </w:tr>
      <w:tr>
        <w:trPr>
          <w:trHeight w:val="345"/>
        </w:trPr>
        <w:tc>
          <w:tcPr>
            <w:tcW w:w="3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57"/>
        </w:trPr>
        <w:tc>
          <w:tcPr>
            <w:tcW w:w="3000" w:type="dxa"/>
            <w:vAlign w:val="bottom"/>
          </w:tcPr>
          <w:p>
            <w:pPr>
              <w:jc w:val="center"/>
              <w:ind w:right="179"/>
              <w:spacing w:after="0"/>
              <w:rPr>
                <w:sz w:val="20"/>
                <w:szCs w:val="20"/>
                <w:color w:val="auto"/>
              </w:rPr>
            </w:pPr>
            <w:r>
              <w:rPr>
                <w:rFonts w:ascii="Arial" w:cs="Arial" w:eastAsia="Arial" w:hAnsi="Arial"/>
                <w:sz w:val="18"/>
                <w:szCs w:val="18"/>
                <w:b w:val="1"/>
                <w:bCs w:val="1"/>
                <w:color w:val="auto"/>
                <w:w w:val="98"/>
              </w:rPr>
              <w:t>DELAWARE</w:t>
            </w:r>
          </w:p>
        </w:tc>
        <w:tc>
          <w:tcPr>
            <w:tcW w:w="3320" w:type="dxa"/>
            <w:vAlign w:val="bottom"/>
            <w:gridSpan w:val="2"/>
          </w:tcPr>
          <w:p>
            <w:pPr>
              <w:jc w:val="right"/>
              <w:ind w:right="577"/>
              <w:spacing w:after="0"/>
              <w:rPr>
                <w:sz w:val="20"/>
                <w:szCs w:val="20"/>
                <w:color w:val="auto"/>
              </w:rPr>
            </w:pPr>
            <w:r>
              <w:rPr>
                <w:rFonts w:ascii="Arial" w:cs="Arial" w:eastAsia="Arial" w:hAnsi="Arial"/>
                <w:sz w:val="18"/>
                <w:szCs w:val="18"/>
                <w:b w:val="1"/>
                <w:bCs w:val="1"/>
                <w:color w:val="auto"/>
              </w:rPr>
              <w:t>001-03761</w:t>
            </w:r>
          </w:p>
        </w:tc>
        <w:tc>
          <w:tcPr>
            <w:tcW w:w="1160" w:type="dxa"/>
            <w:vAlign w:val="bottom"/>
          </w:tcPr>
          <w:p>
            <w:pPr>
              <w:spacing w:after="0"/>
              <w:rPr>
                <w:sz w:val="24"/>
                <w:szCs w:val="24"/>
                <w:color w:val="auto"/>
              </w:rPr>
            </w:pPr>
          </w:p>
        </w:tc>
        <w:tc>
          <w:tcPr>
            <w:tcW w:w="2600" w:type="dxa"/>
            <w:vAlign w:val="bottom"/>
          </w:tcPr>
          <w:p>
            <w:pPr>
              <w:jc w:val="right"/>
              <w:ind w:right="53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300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940" w:type="dxa"/>
            <w:vAlign w:val="bottom"/>
          </w:tcPr>
          <w:p>
            <w:pPr>
              <w:spacing w:after="0"/>
              <w:rPr>
                <w:sz w:val="16"/>
                <w:szCs w:val="16"/>
                <w:color w:val="auto"/>
              </w:rPr>
            </w:pPr>
          </w:p>
        </w:tc>
        <w:tc>
          <w:tcPr>
            <w:tcW w:w="35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(Commission file number)</w:t>
            </w:r>
          </w:p>
        </w:tc>
        <w:tc>
          <w:tcPr>
            <w:tcW w:w="2600" w:type="dxa"/>
            <w:vAlign w:val="bottom"/>
          </w:tcPr>
          <w:p>
            <w:pPr>
              <w:jc w:val="center"/>
              <w:ind w:left="399"/>
              <w:spacing w:after="0"/>
              <w:rPr>
                <w:sz w:val="20"/>
                <w:szCs w:val="20"/>
                <w:color w:val="auto"/>
              </w:rPr>
            </w:pPr>
            <w:r>
              <w:rPr>
                <w:rFonts w:ascii="Arial" w:cs="Arial" w:eastAsia="Arial" w:hAnsi="Arial"/>
                <w:sz w:val="14"/>
                <w:szCs w:val="14"/>
                <w:b w:val="1"/>
                <w:bCs w:val="1"/>
                <w:color w:val="auto"/>
                <w:w w:val="93"/>
              </w:rPr>
              <w:t>(I.R.S. employer identification no.)</w:t>
            </w:r>
          </w:p>
        </w:tc>
      </w:tr>
      <w:tr>
        <w:trPr>
          <w:trHeight w:val="399"/>
        </w:trPr>
        <w:tc>
          <w:tcPr>
            <w:tcW w:w="3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7"/>
              </w:rPr>
              <w:t>12500 TI BOULEVARD</w:t>
            </w:r>
          </w:p>
        </w:tc>
        <w:tc>
          <w:tcPr>
            <w:tcW w:w="260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4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2"/>
              </w:rPr>
              <w:t>P.O. BOX 660199</w:t>
            </w:r>
          </w:p>
        </w:tc>
        <w:tc>
          <w:tcPr>
            <w:tcW w:w="2600" w:type="dxa"/>
            <w:vAlign w:val="bottom"/>
          </w:tcPr>
          <w:p>
            <w:pPr>
              <w:spacing w:after="0"/>
              <w:rPr>
                <w:sz w:val="18"/>
                <w:szCs w:val="18"/>
                <w:color w:val="auto"/>
              </w:rPr>
            </w:pPr>
          </w:p>
        </w:tc>
      </w:tr>
      <w:tr>
        <w:trPr>
          <w:trHeight w:val="212"/>
        </w:trPr>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4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5"/>
              </w:rPr>
              <w:t>DALLAS, TEXAS 75266-0199</w:t>
            </w:r>
          </w:p>
        </w:tc>
        <w:tc>
          <w:tcPr>
            <w:tcW w:w="2600" w:type="dxa"/>
            <w:vAlign w:val="bottom"/>
          </w:tcPr>
          <w:p>
            <w:pPr>
              <w:spacing w:after="0"/>
              <w:rPr>
                <w:sz w:val="18"/>
                <w:szCs w:val="18"/>
                <w:color w:val="auto"/>
              </w:rPr>
            </w:pPr>
          </w:p>
        </w:tc>
      </w:tr>
      <w:tr>
        <w:trPr>
          <w:trHeight w:val="186"/>
        </w:trPr>
        <w:tc>
          <w:tcPr>
            <w:tcW w:w="3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00" w:type="dxa"/>
            <w:vAlign w:val="bottom"/>
          </w:tcPr>
          <w:p>
            <w:pPr>
              <w:spacing w:after="0"/>
              <w:rPr>
                <w:sz w:val="16"/>
                <w:szCs w:val="16"/>
                <w:color w:val="auto"/>
              </w:rPr>
            </w:pP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Registrant’s news release dated October 20, 2014, regarding its third-quarter 2014 results of operations and financial condition is attached hereto as Exhibit 99.</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auto"/>
              </w:rPr>
              <w:t>Designation</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49"/>
        </w:trPr>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of Exhibit in</w:t>
            </w: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67"/>
        </w:trPr>
        <w:tc>
          <w:tcPr>
            <w:tcW w:w="1220" w:type="dxa"/>
            <w:vAlign w:val="bottom"/>
            <w:gridSpan w:val="2"/>
          </w:tcPr>
          <w:p>
            <w:pPr>
              <w:spacing w:after="0"/>
              <w:rPr>
                <w:sz w:val="20"/>
                <w:szCs w:val="20"/>
                <w:color w:val="auto"/>
              </w:rPr>
            </w:pPr>
            <w:r>
              <w:rPr>
                <w:rFonts w:ascii="Arial" w:cs="Arial" w:eastAsia="Arial" w:hAnsi="Arial"/>
                <w:sz w:val="14"/>
                <w:szCs w:val="14"/>
                <w:color w:val="auto"/>
              </w:rPr>
              <w:t>this Report</w:t>
            </w:r>
          </w:p>
        </w:tc>
        <w:tc>
          <w:tcPr>
            <w:tcW w:w="4660" w:type="dxa"/>
            <w:vAlign w:val="bottom"/>
            <w:gridSpan w:val="3"/>
          </w:tcPr>
          <w:p>
            <w:pPr>
              <w:ind w:left="500"/>
              <w:spacing w:after="0"/>
              <w:rPr>
                <w:sz w:val="20"/>
                <w:szCs w:val="20"/>
                <w:color w:val="auto"/>
              </w:rPr>
            </w:pPr>
            <w:r>
              <w:rPr>
                <w:rFonts w:ascii="Arial" w:cs="Arial" w:eastAsia="Arial" w:hAnsi="Arial"/>
                <w:sz w:val="14"/>
                <w:szCs w:val="14"/>
                <w:color w:val="auto"/>
              </w:rPr>
              <w:t>Description of Exhibit</w:t>
            </w:r>
          </w:p>
        </w:tc>
      </w:tr>
      <w:tr>
        <w:trPr>
          <w:trHeight w:val="20"/>
        </w:trPr>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3"/>
        </w:trPr>
        <w:tc>
          <w:tcPr>
            <w:tcW w:w="640" w:type="dxa"/>
            <w:vAlign w:val="bottom"/>
          </w:tcPr>
          <w:p>
            <w:pPr>
              <w:jc w:val="right"/>
              <w:ind w:right="144"/>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60" w:type="dxa"/>
            <w:vAlign w:val="bottom"/>
            <w:gridSpan w:val="3"/>
          </w:tcPr>
          <w:p>
            <w:pPr>
              <w:ind w:left="500"/>
              <w:spacing w:after="0"/>
              <w:rPr>
                <w:sz w:val="20"/>
                <w:szCs w:val="20"/>
                <w:color w:val="auto"/>
              </w:rPr>
            </w:pPr>
            <w:r>
              <w:rPr>
                <w:rFonts w:ascii="Arial" w:cs="Arial" w:eastAsia="Arial" w:hAnsi="Arial"/>
                <w:sz w:val="18"/>
                <w:szCs w:val="18"/>
                <w:color w:val="auto"/>
                <w:w w:val="90"/>
              </w:rPr>
              <w:t>Dated October 20, 2014 (furnished pursuant to Item 2.02)</w:t>
            </w:r>
          </w:p>
        </w:tc>
      </w:tr>
    </w:tbl>
    <w:p>
      <w:pPr>
        <w:sectPr>
          <w:pgSz w:w="11900" w:h="16838" w:orient="portrait"/>
          <w:cols w:equalWidth="0" w:num="1">
            <w:col w:w="11200"/>
          </w:cols>
          <w:pgMar w:left="240" w:top="274" w:right="4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October 20, 2014</w:t>
      </w:r>
      <w:r>
        <w:rPr>
          <w:sz w:val="20"/>
          <w:szCs w:val="20"/>
          <w:color w:val="auto"/>
        </w:rPr>
        <w:tab/>
      </w:r>
      <w:r>
        <w:rPr>
          <w:rFonts w:ascii="Arial" w:cs="Arial" w:eastAsia="Arial" w:hAnsi="Arial"/>
          <w:sz w:val="16"/>
          <w:szCs w:val="16"/>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3Q14 financial results and shareholder returns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DALLAS (Oct. 20, 2014) – Texas Instruments Incorporated (TI) (NASDAQ: TXN) today reported third-quarter revenue of $3.50 billion, net income of $826 million and earnings per share of 76 cents.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42" w:lineRule="exact"/>
        <w:rPr>
          <w:sz w:val="20"/>
          <w:szCs w:val="20"/>
          <w:color w:val="auto"/>
        </w:rPr>
      </w:pPr>
    </w:p>
    <w:p>
      <w:pPr>
        <w:ind w:left="440" w:hanging="324"/>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for the quarter was solidly in the upper half of our expected range and earnings were at the top of the range, marking another quarter of strong progress and execution.</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delivered 8 percent year-over-year revenue growth. Analog and Embedded Processing comprised 82 percent of third-quarter revenue.</w:t>
      </w:r>
    </w:p>
    <w:p>
      <w:pPr>
        <w:spacing w:after="0" w:line="142" w:lineRule="exact"/>
        <w:rPr>
          <w:rFonts w:ascii="Arial" w:cs="Arial" w:eastAsia="Arial" w:hAnsi="Arial"/>
          <w:sz w:val="17"/>
          <w:szCs w:val="17"/>
          <w:color w:val="auto"/>
        </w:rPr>
      </w:pPr>
    </w:p>
    <w:p>
      <w:pPr>
        <w:ind w:left="440" w:right="40" w:hanging="324"/>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of 58.4 percent, a new record, reflects the quality of our portfolio of Analog and Embedded Processing products as well as the efficiency of our manufacturing strategy.</w:t>
      </w:r>
    </w:p>
    <w:p>
      <w:pPr>
        <w:spacing w:after="0" w:line="75" w:lineRule="exact"/>
        <w:rPr>
          <w:rFonts w:ascii="Arial" w:cs="Arial" w:eastAsia="Arial" w:hAnsi="Arial"/>
          <w:sz w:val="18"/>
          <w:szCs w:val="18"/>
          <w:color w:val="auto"/>
        </w:rPr>
      </w:pPr>
    </w:p>
    <w:p>
      <w:pPr>
        <w:ind w:left="440" w:right="220" w:hanging="324"/>
        <w:spacing w:after="0" w:line="264"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cash flow from operations once again reflects the strength of our business model. Free cash flow for the trailing twelve-month period was up 20 percent from a year ago to $3.5 billion or 27 percent of revenue. This represents an improvement of 3 percentage points from a year ago and is consistent with our targeted range of 20-30 percent of revenue.</w:t>
      </w:r>
    </w:p>
    <w:p>
      <w:pPr>
        <w:spacing w:after="0" w:line="86" w:lineRule="exact"/>
        <w:rPr>
          <w:rFonts w:ascii="Arial" w:cs="Arial" w:eastAsia="Arial" w:hAnsi="Arial"/>
          <w:sz w:val="18"/>
          <w:szCs w:val="18"/>
          <w:color w:val="auto"/>
        </w:rPr>
      </w:pPr>
    </w:p>
    <w:p>
      <w:pPr>
        <w:ind w:left="440" w:right="480" w:hanging="324"/>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returned $4.2 billion to shareholders in the past twelve months through stock repurchases and dividends paid. In the quarter, we announced a dividend increase of 13 percent, resulting in an annualized rate of $1.36 per share.</w:t>
      </w:r>
    </w:p>
    <w:p>
      <w:pPr>
        <w:spacing w:after="0" w:line="75" w:lineRule="exact"/>
        <w:rPr>
          <w:rFonts w:ascii="Arial" w:cs="Arial" w:eastAsia="Arial" w:hAnsi="Arial"/>
          <w:sz w:val="18"/>
          <w:szCs w:val="18"/>
          <w:color w:val="auto"/>
        </w:rPr>
      </w:pPr>
    </w:p>
    <w:p>
      <w:pPr>
        <w:ind w:left="440" w:right="940" w:hanging="324"/>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strategy to return to shareholders all free cash flow not needed for net debt retirement, and to return proceeds from exercises of equity compensation, reflects our confidence in the long-term sustainability of our business model.</w:t>
      </w:r>
    </w:p>
    <w:p>
      <w:pPr>
        <w:sectPr>
          <w:pgSz w:w="11900" w:h="16838" w:orient="portrait"/>
          <w:cols w:equalWidth="0" w:num="1">
            <w:col w:w="11420"/>
          </w:cols>
          <w:pgMar w:left="240" w:top="121" w:right="239" w:bottom="1440" w:gutter="0" w:footer="0" w:header="0"/>
        </w:sectPr>
      </w:pPr>
    </w:p>
    <w:bookmarkStart w:id="4" w:name="page5"/>
    <w:bookmarkEnd w:id="4"/>
    <w:p>
      <w:pPr>
        <w:ind w:left="44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balance sheet remains strong, with $3.2 billion of cash and short-term investments at the end of the quarter, 81 percent of which was owned by the company’s U.S. entities. Inventory days were 108, consistent with our model of 105-115 days.</w:t>
      </w:r>
    </w:p>
    <w:p>
      <w:pPr>
        <w:spacing w:after="0" w:line="75" w:lineRule="exact"/>
        <w:rPr>
          <w:rFonts w:ascii="Arial" w:cs="Arial" w:eastAsia="Arial" w:hAnsi="Arial"/>
          <w:sz w:val="18"/>
          <w:szCs w:val="18"/>
          <w:color w:val="auto"/>
        </w:rPr>
      </w:pPr>
    </w:p>
    <w:p>
      <w:pPr>
        <w:jc w:val="both"/>
        <w:ind w:left="440" w:hanging="324"/>
        <w:spacing w:after="0" w:line="26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outlook for the fourth quarter of 2014 is for revenue in the range of $3.13 billion to $3.39 billion and earnings per share between $0.64 and $0.74. At the midpoint of our range, revenue would increase 8 percent from the year-ago quarter. The annual effective tax rate for 2014 is expected to be about 28 percent, unchanged from our previous guidance.”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3Q14</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87"/>
              </w:rPr>
              <w:t>3Q13</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5"/>
              </w:rPr>
              <w:t>Change</w:t>
            </w:r>
          </w:p>
        </w:tc>
        <w:tc>
          <w:tcPr>
            <w:tcW w:w="200" w:type="dxa"/>
            <w:vAlign w:val="bottom"/>
            <w:tcBorders>
              <w:bottom w:val="single" w:sz="8" w:color="CCEEFF"/>
            </w:tcBorders>
            <w:gridSpan w:val="2"/>
          </w:tcPr>
          <w:p>
            <w:pPr>
              <w:spacing w:after="0"/>
              <w:rPr>
                <w:sz w:val="14"/>
                <w:szCs w:val="14"/>
                <w:color w:val="auto"/>
              </w:rPr>
            </w:pP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$3,501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$3,244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580" w:type="dxa"/>
            <w:vAlign w:val="bottom"/>
            <w:gridSpan w:val="6"/>
          </w:tcPr>
          <w:p>
            <w:pPr>
              <w:jc w:val="right"/>
              <w:ind w:right="240"/>
              <w:spacing w:after="0"/>
              <w:rPr>
                <w:sz w:val="20"/>
                <w:szCs w:val="20"/>
                <w:color w:val="auto"/>
              </w:rPr>
            </w:pPr>
            <w:r>
              <w:rPr>
                <w:rFonts w:ascii="Arial" w:cs="Arial" w:eastAsia="Arial" w:hAnsi="Arial"/>
                <w:sz w:val="18"/>
                <w:szCs w:val="18"/>
                <w:color w:val="auto"/>
              </w:rPr>
              <w:t>$1,175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9"/>
              </w:rPr>
              <w:t>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0.76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9"/>
              </w:rPr>
              <w:t>36%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96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3Q14</w:t>
            </w:r>
          </w:p>
        </w:tc>
        <w:tc>
          <w:tcPr>
            <w:tcW w:w="20" w:type="dxa"/>
            <w:vAlign w:val="bottom"/>
            <w:vMerge w:val="restart"/>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9"/>
          </w:tcPr>
          <w:p>
            <w:pPr>
              <w:ind w:left="180"/>
              <w:spacing w:after="0"/>
              <w:rPr>
                <w:sz w:val="20"/>
                <w:szCs w:val="20"/>
                <w:color w:val="auto"/>
              </w:rPr>
            </w:pPr>
            <w:r>
              <w:rPr>
                <w:rFonts w:ascii="Arial" w:cs="Arial" w:eastAsia="Arial" w:hAnsi="Arial"/>
                <w:sz w:val="14"/>
                <w:szCs w:val="14"/>
                <w:color w:val="auto"/>
              </w:rPr>
              <w:t>Trailing 12 Months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2"/>
            <w:vMerge w:val="restart"/>
          </w:tcPr>
          <w:p>
            <w:pPr>
              <w:spacing w:after="0"/>
              <w:rPr>
                <w:sz w:val="20"/>
                <w:szCs w:val="20"/>
                <w:color w:val="auto"/>
              </w:rPr>
            </w:pPr>
            <w:r>
              <w:rPr>
                <w:rFonts w:ascii="Arial" w:cs="Arial" w:eastAsia="Arial" w:hAnsi="Arial"/>
                <w:sz w:val="14"/>
                <w:szCs w:val="14"/>
                <w:color w:val="auto"/>
                <w:w w:val="85"/>
              </w:rPr>
              <w:t>Change</w:t>
            </w: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3Q14</w:t>
            </w:r>
          </w:p>
        </w:tc>
        <w:tc>
          <w:tcPr>
            <w:tcW w:w="480" w:type="dxa"/>
            <w:vAlign w:val="bottom"/>
            <w:tcBorders>
              <w:top w:val="single" w:sz="8" w:color="auto"/>
              <w:bottom w:val="single" w:sz="8" w:color="CCEEFF"/>
            </w:tcBorders>
            <w:gridSpan w:val="2"/>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color w:val="auto"/>
                <w:w w:val="87"/>
              </w:rPr>
              <w:t>3Q13</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2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$1,383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$3,819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3,270</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2940" w:type="dxa"/>
            <w:vAlign w:val="bottom"/>
            <w:gridSpan w:val="4"/>
          </w:tcPr>
          <w:p>
            <w:pPr>
              <w:jc w:val="right"/>
              <w:ind w:right="20"/>
              <w:spacing w:after="0"/>
              <w:rPr>
                <w:sz w:val="20"/>
                <w:szCs w:val="20"/>
                <w:color w:val="auto"/>
              </w:rPr>
            </w:pPr>
            <w:r>
              <w:rPr>
                <w:rFonts w:ascii="Arial" w:cs="Arial" w:eastAsia="Arial" w:hAnsi="Arial"/>
                <w:sz w:val="18"/>
                <w:szCs w:val="18"/>
                <w:color w:val="auto"/>
              </w:rPr>
              <w:t>$  103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8"/>
                <w:szCs w:val="18"/>
                <w:color w:val="auto"/>
                <w:w w:val="95"/>
              </w:rPr>
              <w:t>$  367</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402</w:t>
            </w: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$1,280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7"/>
              </w:rPr>
              <w:t>$3,452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2,868</w:t>
            </w:r>
          </w:p>
        </w:tc>
        <w:tc>
          <w:tcPr>
            <w:tcW w:w="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Free cash flow % of revenue</w:t>
            </w:r>
          </w:p>
        </w:tc>
        <w:tc>
          <w:tcPr>
            <w:tcW w:w="3340" w:type="dxa"/>
            <w:vAlign w:val="bottom"/>
            <w:gridSpan w:val="5"/>
          </w:tcPr>
          <w:p>
            <w:pPr>
              <w:jc w:val="right"/>
              <w:ind w:right="176"/>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4"/>
          </w:tcPr>
          <w:p>
            <w:pPr>
              <w:jc w:val="right"/>
              <w:ind w:right="5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past twelve months were 3 percent of revenue. Our long-term goal is about 4 percent.</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93"/>
              </w:rPr>
              <w:t>3Q14</w:t>
            </w:r>
          </w:p>
        </w:tc>
        <w:tc>
          <w:tcPr>
            <w:tcW w:w="660" w:type="dxa"/>
            <w:vAlign w:val="bottom"/>
          </w:tcPr>
          <w:p>
            <w:pPr>
              <w:spacing w:after="0"/>
              <w:rPr>
                <w:sz w:val="14"/>
                <w:szCs w:val="14"/>
                <w:color w:val="auto"/>
              </w:rPr>
            </w:pPr>
          </w:p>
        </w:tc>
        <w:tc>
          <w:tcPr>
            <w:tcW w:w="14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Trailing 12 Months</w:t>
            </w:r>
          </w:p>
        </w:tc>
        <w:tc>
          <w:tcPr>
            <w:tcW w:w="180" w:type="dxa"/>
            <w:vAlign w:val="bottom"/>
            <w:vMerge w:val="restart"/>
          </w:tcPr>
          <w:p>
            <w:pPr>
              <w:spacing w:after="0"/>
              <w:rPr>
                <w:sz w:val="14"/>
                <w:szCs w:val="14"/>
                <w:color w:val="auto"/>
              </w:rPr>
            </w:pPr>
          </w:p>
        </w:tc>
        <w:tc>
          <w:tcPr>
            <w:tcW w:w="460" w:type="dxa"/>
            <w:vAlign w:val="bottom"/>
            <w:vMerge w:val="restart"/>
          </w:tcPr>
          <w:p>
            <w:pPr>
              <w:spacing w:after="0"/>
              <w:rPr>
                <w:sz w:val="20"/>
                <w:szCs w:val="20"/>
                <w:color w:val="auto"/>
              </w:rPr>
            </w:pPr>
            <w:r>
              <w:rPr>
                <w:rFonts w:ascii="Arial" w:cs="Arial" w:eastAsia="Arial" w:hAnsi="Arial"/>
                <w:sz w:val="14"/>
                <w:szCs w:val="14"/>
                <w:color w:val="auto"/>
                <w:w w:val="89"/>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3Q14</w:t>
            </w:r>
          </w:p>
        </w:tc>
        <w:tc>
          <w:tcPr>
            <w:tcW w:w="4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3Q13</w:t>
            </w:r>
          </w:p>
        </w:tc>
        <w:tc>
          <w:tcPr>
            <w:tcW w:w="18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$1,293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$1,084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Stock repurchases</w:t>
            </w:r>
          </w:p>
        </w:tc>
        <w:tc>
          <w:tcPr>
            <w:tcW w:w="1880" w:type="dxa"/>
            <w:vAlign w:val="bottom"/>
            <w:gridSpan w:val="2"/>
          </w:tcPr>
          <w:p>
            <w:pPr>
              <w:jc w:val="center"/>
              <w:ind w:left="1430"/>
              <w:spacing w:after="0"/>
              <w:rPr>
                <w:sz w:val="20"/>
                <w:szCs w:val="20"/>
                <w:color w:val="auto"/>
              </w:rPr>
            </w:pPr>
            <w:r>
              <w:rPr>
                <w:rFonts w:ascii="Arial" w:cs="Arial" w:eastAsia="Arial" w:hAnsi="Arial"/>
                <w:sz w:val="18"/>
                <w:szCs w:val="18"/>
                <w:color w:val="auto"/>
                <w:w w:val="89"/>
              </w:rPr>
              <w:t>$670</w:t>
            </w:r>
          </w:p>
        </w:tc>
        <w:tc>
          <w:tcPr>
            <w:tcW w:w="116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$2,867</w:t>
            </w:r>
          </w:p>
        </w:tc>
        <w:tc>
          <w:tcPr>
            <w:tcW w:w="98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$2,734</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cash returned</w:t>
            </w:r>
          </w:p>
        </w:tc>
        <w:tc>
          <w:tcPr>
            <w:tcW w:w="188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89"/>
              </w:rPr>
              <w:t>$989</w:t>
            </w:r>
          </w:p>
        </w:tc>
        <w:tc>
          <w:tcPr>
            <w:tcW w:w="116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$4,160</w:t>
            </w:r>
          </w:p>
        </w:tc>
        <w:tc>
          <w:tcPr>
            <w:tcW w:w="9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$3,818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targeted cash return is free cash flow plus proceeds from exercises of equity compensation minus net debt retirement.</w:t>
      </w:r>
    </w:p>
    <w:p>
      <w:pPr>
        <w:sectPr>
          <w:pgSz w:w="11900" w:h="16838" w:orient="portrait"/>
          <w:cols w:equalWidth="0" w:num="1">
            <w:col w:w="10219"/>
          </w:cols>
          <w:pgMar w:left="240" w:top="27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29"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For Three Months Ended</w:t>
      </w:r>
    </w:p>
    <w:p>
      <w:pPr>
        <w:jc w:val="center"/>
        <w:ind w:left="9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4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3,501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Cost of revenue (COR)</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1,457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2,044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Acquisition charges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1,175</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 (OI&amp;E)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1,155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1,060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1,074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share of common stock</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R&amp;D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SG&amp;A</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As required by accounting rule ASC 260, net income allocated to unvested restricted stock units (RSUs), on which we pay dividend equivalents, is excluded from the calculation of EPS. The amount excluded is $13 million and $11 million for the quarters ending September 30, 2014 and 2013.</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1,880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 of ($15) and ($29)</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Raw materials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Work in process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905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Finished goods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749</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1,751</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964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7,756</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Accumulated depreciation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(3,463)</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2,930</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1,982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8"/>
              </w:rPr>
              <w:t>17,900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1,002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613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2,643</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222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450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471</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7,429</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$25 par value. Authorized – 10,000,000 shares.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Participating cumulative preferred. None issued.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$1 par value. Authorized – 2,400,000,000 shares.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Shares issued – 1,740,815,939</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29,189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common stock at cost.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Shares: September 30, 2014 – 684,515,992; September 30, 2013 – 646,252,825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(21,305)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 net of taxes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(468)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10,471</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8"/>
              </w:rPr>
              <w:t>17,900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financial statement have been reclassified to conform to the current presentation.</w:t>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29"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For Three Months Ended</w:t>
      </w:r>
    </w:p>
    <w:p>
      <w:pPr>
        <w:jc w:val="center"/>
        <w:ind w:left="94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Net income: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acquisition-related intangibles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9580" w:type="dxa"/>
            <w:vAlign w:val="bottom"/>
          </w:tcPr>
          <w:p>
            <w:pPr>
              <w:ind w:left="700"/>
              <w:spacing w:after="0"/>
              <w:rPr>
                <w:sz w:val="20"/>
                <w:szCs w:val="20"/>
                <w:color w:val="auto"/>
              </w:rPr>
            </w:pPr>
            <w:r>
              <w:rPr>
                <w:rFonts w:ascii="Arial" w:cs="Arial" w:eastAsia="Arial" w:hAnsi="Arial"/>
                <w:sz w:val="18"/>
                <w:szCs w:val="18"/>
                <w:color w:val="auto"/>
              </w:rPr>
              <w:t>Amortization of capitalized software</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9580" w:type="dxa"/>
            <w:vAlign w:val="bottom"/>
          </w:tcPr>
          <w:p>
            <w:pPr>
              <w:ind w:left="700"/>
              <w:spacing w:after="0"/>
              <w:rPr>
                <w:sz w:val="20"/>
                <w:szCs w:val="20"/>
                <w:color w:val="auto"/>
              </w:rPr>
            </w:pPr>
            <w:r>
              <w:rPr>
                <w:rFonts w:ascii="Arial" w:cs="Arial" w:eastAsia="Arial" w:hAnsi="Arial"/>
                <w:sz w:val="18"/>
                <w:szCs w:val="18"/>
                <w:color w:val="auto"/>
              </w:rPr>
              <w:t>Gains on sales of assets</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Increase (decrease) from changes in:</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958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958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958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funded status of retirement plans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r>
      <w:tr>
        <w:trPr>
          <w:trHeight w:val="223"/>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Proceeds from asset sales</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Proceeds from short-term investments</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repurchases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Proceeds from common stock transactions</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share-based payments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23"/>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financial statement have been reclassified to conform to the current presentation.</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3Q14 segment results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color w:val="auto"/>
                <w:w w:val="87"/>
              </w:rPr>
              <w:t>3Q14</w:t>
            </w:r>
          </w:p>
        </w:tc>
        <w:tc>
          <w:tcPr>
            <w:tcW w:w="10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w w:val="87"/>
              </w:rPr>
              <w:t>3Q13</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Change</w:t>
            </w:r>
          </w:p>
        </w:tc>
      </w:tr>
      <w:tr>
        <w:trPr>
          <w:trHeight w:val="196"/>
        </w:trPr>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1,931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Embedded Processing: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5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641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645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bl>
    <w:p>
      <w:pPr>
        <w:spacing w:after="0" w:line="229"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135"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in all product lines, led by Power Management.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Processors, Microcontrollers and Connectivity)</w:t>
      </w:r>
    </w:p>
    <w:p>
      <w:pPr>
        <w:spacing w:after="0" w:line="135"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increased in all product lines, each of which grew by about the same amount.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due to higher gross profit and lower operating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15"/>
          <w:szCs w:val="15"/>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royalties and legacy wireless products)</w:t>
      </w:r>
    </w:p>
    <w:p>
      <w:pPr>
        <w:spacing w:after="0" w:line="135"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was about even as a decline in legacy wireless products was mostly offset by growth in DLP products.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increased due to higher gross profit, lower Restructuring charges/other and lower operating expenses.</w:t>
      </w:r>
    </w:p>
    <w:p>
      <w:pPr>
        <w:sectPr>
          <w:pgSz w:w="11900" w:h="16838" w:orient="portrait"/>
          <w:cols w:equalWidth="0" w:num="1">
            <w:col w:w="10500"/>
          </w:cols>
          <w:pgMar w:left="240" w:top="270" w:right="11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 and associated ratios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release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investors, as well as insight into its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9"/>
              </w:rPr>
              <w:t>For Three</w:t>
            </w:r>
          </w:p>
        </w:tc>
        <w:tc>
          <w:tcPr>
            <w:tcW w:w="2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234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w w:val="94"/>
              </w:rPr>
              <w:t>For Twelve Months Ended</w:t>
            </w: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 Ended</w:t>
            </w:r>
          </w:p>
        </w:tc>
        <w:tc>
          <w:tcPr>
            <w:tcW w:w="20" w:type="dxa"/>
            <w:vAlign w:val="bottom"/>
            <w:shd w:val="clear" w:color="auto" w:fill="000000"/>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shd w:val="clear" w:color="auto" w:fill="000000"/>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2013</w:t>
            </w:r>
          </w:p>
        </w:tc>
        <w:tc>
          <w:tcPr>
            <w:tcW w:w="5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(GAAP)</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1,383</w:t>
            </w:r>
          </w:p>
        </w:tc>
        <w:tc>
          <w:tcPr>
            <w:tcW w:w="6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(103)</w:t>
            </w: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(402)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1,280</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3,452</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2,868</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3,501</w:t>
            </w:r>
          </w:p>
        </w:tc>
        <w:tc>
          <w:tcPr>
            <w:tcW w:w="64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12,804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12,155</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40%</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12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37%</w:t>
            </w: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200"/>
          </w:cols>
          <w:pgMar w:left="240" w:top="270"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76"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 demand for semiconductors, particularly in markets such as personal electronics, especially the mobile phone sector, and industrial;</w:t>
      </w:r>
    </w:p>
    <w:p>
      <w:pPr>
        <w:spacing w:after="0" w:line="142" w:lineRule="exact"/>
        <w:rPr>
          <w:rFonts w:ascii="Arial" w:cs="Arial" w:eastAsia="Arial" w:hAnsi="Arial"/>
          <w:sz w:val="17"/>
          <w:szCs w:val="17"/>
          <w:color w:val="auto"/>
        </w:rPr>
      </w:pPr>
    </w:p>
    <w:p>
      <w:pPr>
        <w:ind w:left="440" w:right="56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30" w:lineRule="exact"/>
        <w:rPr>
          <w:rFonts w:ascii="Arial" w:cs="Arial" w:eastAsia="Arial" w:hAnsi="Arial"/>
          <w:sz w:val="18"/>
          <w:szCs w:val="18"/>
          <w:color w:val="auto"/>
        </w:rPr>
      </w:pPr>
    </w:p>
    <w:p>
      <w:pPr>
        <w:ind w:left="440" w:right="220" w:hanging="324"/>
        <w:spacing w:after="0" w:line="286"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0" w:lineRule="exact"/>
        <w:rPr>
          <w:rFonts w:ascii="Arial" w:cs="Arial" w:eastAsia="Arial" w:hAnsi="Arial"/>
          <w:sz w:val="17"/>
          <w:szCs w:val="17"/>
          <w:color w:val="auto"/>
        </w:rPr>
      </w:pPr>
    </w:p>
    <w:p>
      <w:pPr>
        <w:ind w:left="440" w:hanging="324"/>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Natural events such as health epidemics, severe weather and earthquakes in the locations in which TI, its customers or its suppliers operate;</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42" w:lineRule="exact"/>
        <w:rPr>
          <w:rFonts w:ascii="Arial" w:cs="Arial" w:eastAsia="Arial" w:hAnsi="Arial"/>
          <w:sz w:val="17"/>
          <w:szCs w:val="17"/>
          <w:color w:val="auto"/>
        </w:rPr>
      </w:pPr>
    </w:p>
    <w:p>
      <w:pPr>
        <w:ind w:left="440" w:right="6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75" w:lineRule="exact"/>
        <w:rPr>
          <w:rFonts w:ascii="Arial" w:cs="Arial" w:eastAsia="Arial" w:hAnsi="Arial"/>
          <w:sz w:val="18"/>
          <w:szCs w:val="18"/>
          <w:color w:val="auto"/>
        </w:rPr>
      </w:pPr>
    </w:p>
    <w:p>
      <w:pPr>
        <w:ind w:left="440" w:right="120" w:hanging="324"/>
        <w:spacing w:after="0" w:line="342"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29" w:lineRule="exact"/>
        <w:rPr>
          <w:rFonts w:ascii="Arial" w:cs="Arial" w:eastAsia="Arial" w:hAnsi="Arial"/>
          <w:sz w:val="16"/>
          <w:szCs w:val="16"/>
          <w:color w:val="auto"/>
        </w:rPr>
      </w:pPr>
    </w:p>
    <w:p>
      <w:pPr>
        <w:ind w:left="440" w:hanging="324"/>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ectPr>
          <w:pgSz w:w="11900" w:h="16838" w:orient="portrait"/>
          <w:cols w:equalWidth="0" w:num="1">
            <w:col w:w="11320"/>
          </w:cols>
          <w:pgMar w:left="240" w:top="270" w:right="339" w:bottom="1440" w:gutter="0" w:footer="0" w:header="0"/>
        </w:sectPr>
      </w:pPr>
    </w:p>
    <w:bookmarkStart w:id="12" w:name="page13"/>
    <w:bookmarkEnd w:id="12"/>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loss suffered by a customer or distributor of TI with respect to TI-consigned inventory;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30" w:lineRule="exact"/>
        <w:rPr>
          <w:rFonts w:ascii="Arial" w:cs="Arial" w:eastAsia="Arial" w:hAnsi="Arial"/>
          <w:sz w:val="18"/>
          <w:szCs w:val="18"/>
          <w:color w:val="auto"/>
        </w:rPr>
      </w:pPr>
    </w:p>
    <w:p>
      <w:pPr>
        <w:ind w:left="440" w:right="240" w:hanging="324"/>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30" w:lineRule="exact"/>
        <w:rPr>
          <w:rFonts w:ascii="Arial" w:cs="Arial" w:eastAsia="Arial" w:hAnsi="Arial"/>
          <w:sz w:val="18"/>
          <w:szCs w:val="18"/>
          <w:color w:val="auto"/>
        </w:rPr>
      </w:pPr>
    </w:p>
    <w:p>
      <w:pPr>
        <w:ind w:left="440" w:right="340" w:hanging="324"/>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2013. The forward-looking statements included in this release are made only as of the date of this release, and TI undertakes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181" w:lineRule="exact"/>
        <w:rPr>
          <w:sz w:val="20"/>
          <w:szCs w:val="20"/>
          <w:color w:val="auto"/>
        </w:rPr>
      </w:pPr>
    </w:p>
    <w:p>
      <w:pPr>
        <w:jc w:val="center"/>
        <w:ind w:right="10300"/>
        <w:spacing w:after="0"/>
        <w:rPr>
          <w:sz w:val="20"/>
          <w:szCs w:val="20"/>
          <w:color w:val="auto"/>
        </w:rPr>
      </w:pPr>
      <w:r>
        <w:rPr>
          <w:rFonts w:ascii="Arial" w:cs="Arial" w:eastAsia="Arial" w:hAnsi="Arial"/>
          <w:sz w:val="16"/>
          <w:szCs w:val="16"/>
          <w:color w:val="auto"/>
        </w:rPr>
        <w:t>TI trademarks: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2019-12-05T15:22:14Z</dcterms:created>
  <dcterms:modified xsi:type="dcterms:W3CDTF">2019-12-05T15:22:14Z</dcterms:modified>
</cp:coreProperties>
</file>