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76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443"/>
          </w:cols>
          <w:pgMar w:left="240" w:top="226" w:right="159" w:bottom="76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769"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2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01/31/2012</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89"/>
              <w:spacing w:after="0"/>
              <w:rPr>
                <w:sz w:val="20"/>
                <w:szCs w:val="20"/>
                <w:color w:val="auto"/>
              </w:rPr>
            </w:pPr>
            <w:r>
              <w:rPr>
                <w:rFonts w:ascii="Arial" w:cs="Arial" w:eastAsia="Arial" w:hAnsi="Arial"/>
                <w:sz w:val="18"/>
                <w:szCs w:val="18"/>
                <w:color w:val="0000FF"/>
                <w:w w:val="86"/>
              </w:rPr>
              <w:t>100</w:t>
            </w:r>
          </w:p>
        </w:tc>
        <w:tc>
          <w:tcPr>
            <w:tcW w:w="680" w:type="dxa"/>
            <w:vAlign w:val="bottom"/>
          </w:tcPr>
          <w:p>
            <w:pPr>
              <w:jc w:val="right"/>
              <w:ind w:right="152"/>
              <w:spacing w:after="0"/>
              <w:rPr>
                <w:sz w:val="20"/>
                <w:szCs w:val="20"/>
                <w:color w:val="auto"/>
              </w:rPr>
            </w:pPr>
            <w:r>
              <w:rPr>
                <w:rFonts w:ascii="Arial" w:cs="Arial" w:eastAsia="Arial" w:hAnsi="Arial"/>
                <w:sz w:val="18"/>
                <w:szCs w:val="18"/>
                <w:color w:val="0000FF"/>
              </w:rPr>
              <w:t>A</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29.19</w:t>
            </w: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6"/>
              </w:rPr>
              <w:t>315,219</w:t>
            </w:r>
          </w:p>
        </w:tc>
        <w:tc>
          <w:tcPr>
            <w:tcW w:w="940" w:type="dxa"/>
            <w:vAlign w:val="bottom"/>
          </w:tcPr>
          <w:p>
            <w:pPr>
              <w:jc w:val="center"/>
              <w:ind w:right="5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01/31/2012</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8"/>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8"/>
                <w:szCs w:val="18"/>
                <w:color w:val="0000FF"/>
                <w:w w:val="87"/>
              </w:rPr>
              <w:t>50,000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32.1813</w:t>
            </w: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6"/>
              </w:rPr>
              <w:t>265,219</w:t>
            </w:r>
          </w:p>
        </w:tc>
        <w:tc>
          <w:tcPr>
            <w:tcW w:w="940" w:type="dxa"/>
            <w:vAlign w:val="bottom"/>
            <w:tcBorders>
              <w:bottom w:val="single" w:sz="8" w:color="2C2C2C"/>
            </w:tcBorders>
          </w:tcPr>
          <w:p>
            <w:pPr>
              <w:jc w:val="center"/>
              <w:ind w:right="5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01/31/2012</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8"/>
              <w:spacing w:after="0"/>
              <w:rPr>
                <w:sz w:val="20"/>
                <w:szCs w:val="20"/>
                <w:color w:val="auto"/>
              </w:rPr>
            </w:pPr>
            <w:r>
              <w:rPr>
                <w:rFonts w:ascii="Arial" w:cs="Arial" w:eastAsia="Arial" w:hAnsi="Arial"/>
                <w:sz w:val="14"/>
                <w:szCs w:val="14"/>
                <w:color w:val="0000FF"/>
                <w:w w:val="85"/>
              </w:rPr>
              <w:t>S</w:t>
            </w:r>
          </w:p>
        </w:tc>
        <w:tc>
          <w:tcPr>
            <w:tcW w:w="740" w:type="dxa"/>
            <w:vAlign w:val="bottom"/>
          </w:tcPr>
          <w:p>
            <w:pPr>
              <w:jc w:val="center"/>
              <w:ind w:left="89"/>
              <w:spacing w:after="0"/>
              <w:rPr>
                <w:sz w:val="20"/>
                <w:szCs w:val="20"/>
                <w:color w:val="auto"/>
              </w:rPr>
            </w:pPr>
            <w:r>
              <w:rPr>
                <w:rFonts w:ascii="Arial" w:cs="Arial" w:eastAsia="Arial" w:hAnsi="Arial"/>
                <w:sz w:val="18"/>
                <w:szCs w:val="18"/>
                <w:color w:val="0000FF"/>
                <w:w w:val="86"/>
              </w:rPr>
              <w:t>100</w:t>
            </w:r>
          </w:p>
        </w:tc>
        <w:tc>
          <w:tcPr>
            <w:tcW w:w="680" w:type="dxa"/>
            <w:vAlign w:val="bottom"/>
          </w:tcPr>
          <w:p>
            <w:pPr>
              <w:jc w:val="right"/>
              <w:ind w:right="152"/>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32.232</w:t>
            </w: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6"/>
              </w:rPr>
              <w:t>265,119</w:t>
            </w:r>
          </w:p>
        </w:tc>
        <w:tc>
          <w:tcPr>
            <w:tcW w:w="940" w:type="dxa"/>
            <w:vAlign w:val="bottom"/>
          </w:tcPr>
          <w:p>
            <w:pPr>
              <w:jc w:val="center"/>
              <w:ind w:right="5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3,110.51</w:t>
            </w:r>
            <w:r>
              <w:rPr>
                <w:rFonts w:ascii="Arial" w:cs="Arial" w:eastAsia="Arial" w:hAnsi="Arial"/>
                <w:sz w:val="22"/>
                <w:szCs w:val="22"/>
                <w:color w:val="008000"/>
                <w:w w:val="84"/>
                <w:vertAlign w:val="superscript"/>
              </w:rPr>
              <w:t>(2)</w:t>
            </w:r>
          </w:p>
        </w:tc>
        <w:tc>
          <w:tcPr>
            <w:tcW w:w="940" w:type="dxa"/>
            <w:vAlign w:val="bottom"/>
          </w:tcPr>
          <w:p>
            <w:pPr>
              <w:jc w:val="center"/>
              <w:ind w:right="5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5,298.86</w:t>
            </w:r>
            <w:r>
              <w:rPr>
                <w:rFonts w:ascii="Arial" w:cs="Arial" w:eastAsia="Arial" w:hAnsi="Arial"/>
                <w:sz w:val="22"/>
                <w:szCs w:val="22"/>
                <w:color w:val="008000"/>
                <w:w w:val="84"/>
                <w:vertAlign w:val="superscript"/>
              </w:rPr>
              <w:t>(3)</w:t>
            </w:r>
          </w:p>
        </w:tc>
        <w:tc>
          <w:tcPr>
            <w:tcW w:w="940" w:type="dxa"/>
            <w:vAlign w:val="bottom"/>
          </w:tcPr>
          <w:p>
            <w:pPr>
              <w:jc w:val="center"/>
              <w:ind w:right="5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80" w:type="dxa"/>
            <w:vAlign w:val="bottom"/>
            <w:gridSpan w:val="10"/>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29.19</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01/31/2012</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2"/>
                <w:szCs w:val="12"/>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100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4"/>
                <w:szCs w:val="14"/>
                <w:color w:val="0000FF"/>
                <w:w w:val="99"/>
              </w:rPr>
              <w:t>02/21/2012</w:t>
            </w: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100</w:t>
            </w:r>
          </w:p>
        </w:tc>
        <w:tc>
          <w:tcPr>
            <w:tcW w:w="24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440"/>
              <w:spacing w:after="0"/>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11-10-2010. The price in Table 1 is a weighted average sale price. The sales were at prices ranging from $32.0000 to $32.3750. The Issuer undertakes to provide upon request a detailed breakout of the sale prices and the number of shares sold at each price</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100% exercisable on the first anniversary of the option date.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7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2019-12-17T01:38:17Z</dcterms:created>
  <dcterms:modified xsi:type="dcterms:W3CDTF">2019-12-17T01:38:17Z</dcterms:modified>
</cp:coreProperties>
</file>