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42"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Washington, D.C.</w:t>
      </w:r>
    </w:p>
    <w:p>
      <w:pPr>
        <w:spacing w:after="0" w:line="175" w:lineRule="exact"/>
        <w:rPr>
          <w:sz w:val="24"/>
          <w:szCs w:val="24"/>
          <w:color w:val="auto"/>
        </w:rPr>
      </w:pPr>
    </w:p>
    <w:p>
      <w:pPr>
        <w:ind w:left="3300"/>
        <w:spacing w:after="0"/>
        <w:rPr>
          <w:sz w:val="20"/>
          <w:szCs w:val="20"/>
          <w:color w:val="auto"/>
        </w:rPr>
      </w:pPr>
      <w:r>
        <w:rPr>
          <w:rFonts w:ascii="Courier New" w:cs="Courier New" w:eastAsia="Courier New" w:hAnsi="Courier New"/>
          <w:sz w:val="14"/>
          <w:szCs w:val="14"/>
          <w:color w:val="auto"/>
        </w:rPr>
        <w:t>20549</w:t>
      </w:r>
    </w:p>
    <w:p>
      <w:pPr>
        <w:spacing w:after="0" w:line="200" w:lineRule="exact"/>
        <w:rPr>
          <w:sz w:val="24"/>
          <w:szCs w:val="24"/>
          <w:color w:val="auto"/>
        </w:rPr>
      </w:pPr>
    </w:p>
    <w:p>
      <w:pPr>
        <w:spacing w:after="0" w:line="309"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QUARTERLY REPORT UNDER SECTION 13 or 15(d)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OF THE SECURITIES EXCHANGE ACT OF 1934</w:t>
      </w:r>
    </w:p>
    <w:p>
      <w:pPr>
        <w:sectPr>
          <w:pgSz w:w="11900" w:h="16838" w:orient="portrait"/>
          <w:cols w:equalWidth="0" w:num="1">
            <w:col w:w="10239"/>
          </w:cols>
          <w:pgMar w:left="220" w:top="397" w:right="1440" w:bottom="0" w:gutter="0" w:footer="0" w:header="0"/>
        </w:sect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Quarter Ended June 30, 2001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1-3761</w:t>
      </w:r>
    </w:p>
    <w:p>
      <w:pPr>
        <w:spacing w:after="0" w:line="200" w:lineRule="exact"/>
        <w:rPr>
          <w:sz w:val="24"/>
          <w:szCs w:val="24"/>
          <w:color w:val="auto"/>
        </w:rPr>
      </w:pPr>
    </w:p>
    <w:p>
      <w:pPr>
        <w:sectPr>
          <w:pgSz w:w="11900" w:h="16838" w:orient="portrait"/>
          <w:cols w:equalWidth="0" w:num="2">
            <w:col w:w="3360" w:space="720"/>
            <w:col w:w="6159"/>
          </w:cols>
          <w:pgMar w:left="220" w:top="397" w:right="1440" w:bottom="0" w:gutter="0" w:footer="0" w:header="0"/>
          <w:type w:val="continuous"/>
        </w:sectPr>
      </w:pPr>
    </w:p>
    <w:p>
      <w:pPr>
        <w:spacing w:after="0" w:line="309"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TEXAS INSTRUMENTS INCORPORATED</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39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75-0289970</w:t>
      </w:r>
    </w:p>
    <w:p>
      <w:pPr>
        <w:spacing w:after="0" w:line="8"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2940" w:space="720"/>
            <w:col w:w="6579"/>
          </w:cols>
          <w:pgMar w:left="220" w:top="397" w:right="1440" w:bottom="0" w:gutter="0" w:footer="0" w:header="0"/>
          <w:type w:val="continuous"/>
        </w:sectPr>
      </w:pPr>
    </w:p>
    <w:p>
      <w:pPr>
        <w:spacing w:after="0" w:line="200" w:lineRule="exact"/>
        <w:rPr>
          <w:sz w:val="24"/>
          <w:szCs w:val="24"/>
          <w:color w:val="auto"/>
        </w:rPr>
      </w:pPr>
    </w:p>
    <w:p>
      <w:pPr>
        <w:spacing w:after="0" w:line="276" w:lineRule="exact"/>
        <w:rPr>
          <w:sz w:val="24"/>
          <w:szCs w:val="24"/>
          <w:color w:val="auto"/>
        </w:rPr>
      </w:pPr>
    </w:p>
    <w:p>
      <w:pPr>
        <w:spacing w:after="0"/>
        <w:tabs>
          <w:tab w:leader="none" w:pos="5900" w:val="left"/>
        </w:tabs>
        <w:rPr>
          <w:sz w:val="20"/>
          <w:szCs w:val="20"/>
          <w:color w:val="auto"/>
        </w:rPr>
      </w:pPr>
      <w:r>
        <w:rPr>
          <w:rFonts w:ascii="Courier New" w:cs="Courier New" w:eastAsia="Courier New" w:hAnsi="Courier New"/>
          <w:sz w:val="14"/>
          <w:szCs w:val="14"/>
          <w:color w:val="auto"/>
        </w:rPr>
        <w:t>12500 TI Boulevard P.O. Box 660199, Dallas, Texas</w:t>
      </w:r>
      <w:r>
        <w:rPr>
          <w:sz w:val="20"/>
          <w:szCs w:val="20"/>
          <w:color w:val="auto"/>
        </w:rPr>
        <w:tab/>
      </w:r>
      <w:r>
        <w:rPr>
          <w:rFonts w:ascii="Courier New" w:cs="Courier New" w:eastAsia="Courier New" w:hAnsi="Courier New"/>
          <w:sz w:val="14"/>
          <w:szCs w:val="14"/>
          <w:color w:val="auto"/>
        </w:rPr>
        <w:t>75266-0199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57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42" w:lineRule="exact"/>
        <w:rPr>
          <w:sz w:val="24"/>
          <w:szCs w:val="24"/>
          <w:color w:val="auto"/>
        </w:rPr>
      </w:pPr>
    </w:p>
    <w:p>
      <w:pPr>
        <w:jc w:val="both"/>
        <w:ind w:left="700" w:right="4059"/>
        <w:spacing w:after="0" w:line="258" w:lineRule="auto"/>
        <w:rPr>
          <w:sz w:val="20"/>
          <w:szCs w:val="20"/>
          <w:color w:val="auto"/>
        </w:rPr>
      </w:pPr>
      <w:r>
        <w:rPr>
          <w:rFonts w:ascii="Courier New" w:cs="Courier New" w:eastAsia="Courier New" w:hAnsi="Courier New"/>
          <w:sz w:val="14"/>
          <w:szCs w:val="14"/>
          <w:color w:val="auto"/>
        </w:rPr>
        <w:t>Registrant's telephone number, including area code 972-995-3773 ---------------------------------------------------------------</w:t>
      </w:r>
    </w:p>
    <w:p>
      <w:pPr>
        <w:spacing w:after="0" w:line="327" w:lineRule="exact"/>
        <w:rPr>
          <w:sz w:val="24"/>
          <w:szCs w:val="24"/>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ectPr>
          <w:pgSz w:w="11900" w:h="16838" w:orient="portrait"/>
          <w:cols w:equalWidth="0" w:num="1">
            <w:col w:w="10239"/>
          </w:cols>
          <w:pgMar w:left="220" w:top="397" w:right="1440" w:bottom="0" w:gutter="0" w:footer="0" w:header="0"/>
          <w:type w:val="continuous"/>
        </w:sectPr>
      </w:pP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6860" w:type="dxa"/>
            <w:vAlign w:val="bottom"/>
            <w:gridSpan w:val="4"/>
          </w:tcPr>
          <w:p>
            <w:pPr>
              <w:spacing w:after="0"/>
              <w:rPr>
                <w:sz w:val="20"/>
                <w:szCs w:val="20"/>
                <w:color w:val="auto"/>
              </w:rPr>
            </w:pPr>
            <w:r>
              <w:rPr>
                <w:rFonts w:ascii="Courier New" w:cs="Courier New" w:eastAsia="Courier New" w:hAnsi="Courier New"/>
                <w:sz w:val="14"/>
                <w:szCs w:val="14"/>
                <w:color w:val="auto"/>
              </w:rPr>
              <w:t>the preceding 12 months (or for such shorter period that the Registrant was</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860" w:type="dxa"/>
            <w:vAlign w:val="bottom"/>
            <w:gridSpan w:val="4"/>
          </w:tcPr>
          <w:p>
            <w:pPr>
              <w:spacing w:after="0"/>
              <w:rPr>
                <w:sz w:val="20"/>
                <w:szCs w:val="20"/>
                <w:color w:val="auto"/>
              </w:rPr>
            </w:pPr>
            <w:r>
              <w:rPr>
                <w:rFonts w:ascii="Courier New" w:cs="Courier New" w:eastAsia="Courier New" w:hAnsi="Courier New"/>
                <w:sz w:val="14"/>
                <w:szCs w:val="14"/>
                <w:color w:val="auto"/>
              </w:rPr>
              <w:t>required to file such reports), and (2) has been subject to such filing</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requirements for the past 90 days.</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Yes</w:t>
            </w:r>
          </w:p>
        </w:tc>
        <w:tc>
          <w:tcPr>
            <w:tcW w:w="58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X</w:t>
            </w:r>
          </w:p>
        </w:tc>
        <w:tc>
          <w:tcPr>
            <w:tcW w:w="1460" w:type="dxa"/>
            <w:vAlign w:val="bottom"/>
          </w:tcPr>
          <w:p>
            <w:pPr>
              <w:jc w:val="right"/>
              <w:ind w:right="1231"/>
              <w:spacing w:after="0"/>
              <w:rPr>
                <w:sz w:val="20"/>
                <w:szCs w:val="20"/>
                <w:color w:val="auto"/>
              </w:rPr>
            </w:pPr>
            <w:r>
              <w:rPr>
                <w:rFonts w:ascii="Courier New" w:cs="Courier New" w:eastAsia="Courier New" w:hAnsi="Courier New"/>
                <w:sz w:val="14"/>
                <w:szCs w:val="14"/>
                <w:color w:val="auto"/>
                <w:w w:val="83"/>
              </w:rPr>
              <w:t>No</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7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4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1,734,611,289</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6860" w:type="dxa"/>
            <w:vAlign w:val="bottom"/>
            <w:gridSpan w:val="4"/>
          </w:tcPr>
          <w:p>
            <w:pPr>
              <w:jc w:val="right"/>
              <w:ind w:right="531"/>
              <w:spacing w:after="0"/>
              <w:rPr>
                <w:sz w:val="20"/>
                <w:szCs w:val="20"/>
                <w:color w:val="auto"/>
              </w:rPr>
            </w:pPr>
            <w:r>
              <w:rPr>
                <w:rFonts w:ascii="Courier New" w:cs="Courier New" w:eastAsia="Courier New" w:hAnsi="Courier New"/>
                <w:sz w:val="14"/>
                <w:szCs w:val="14"/>
                <w:color w:val="auto"/>
              </w:rPr>
              <w:t>Number of shares of Registrant's common stock outstanding as of</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440" w:type="dxa"/>
            <w:vAlign w:val="bottom"/>
          </w:tcPr>
          <w:p>
            <w:pPr>
              <w:ind w:left="2960"/>
              <w:spacing w:after="0"/>
              <w:rPr>
                <w:sz w:val="20"/>
                <w:szCs w:val="20"/>
                <w:color w:val="auto"/>
              </w:rPr>
            </w:pPr>
            <w:r>
              <w:rPr>
                <w:rFonts w:ascii="Courier New" w:cs="Courier New" w:eastAsia="Courier New" w:hAnsi="Courier New"/>
                <w:sz w:val="14"/>
                <w:szCs w:val="14"/>
                <w:color w:val="auto"/>
              </w:rPr>
              <w:t>June 30, 2001</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812"/>
        </w:trPr>
        <w:tc>
          <w:tcPr>
            <w:tcW w:w="4820" w:type="dxa"/>
            <w:vAlign w:val="bottom"/>
            <w:gridSpan w:val="2"/>
          </w:tcPr>
          <w:p>
            <w:pPr>
              <w:ind w:left="2180"/>
              <w:spacing w:after="0"/>
              <w:rPr>
                <w:sz w:val="20"/>
                <w:szCs w:val="20"/>
                <w:color w:val="auto"/>
              </w:rPr>
            </w:pPr>
            <w:r>
              <w:rPr>
                <w:rFonts w:ascii="Courier New" w:cs="Courier New" w:eastAsia="Courier New" w:hAnsi="Courier New"/>
                <w:sz w:val="14"/>
                <w:szCs w:val="14"/>
                <w:color w:val="auto"/>
              </w:rPr>
              <w:t>PART I - FINANCIAL INFORMATION</w:t>
            </w: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501"/>
        </w:trPr>
        <w:tc>
          <w:tcPr>
            <w:tcW w:w="4440" w:type="dxa"/>
            <w:vAlign w:val="bottom"/>
          </w:tcPr>
          <w:p>
            <w:pPr>
              <w:spacing w:after="0"/>
              <w:rPr>
                <w:sz w:val="20"/>
                <w:szCs w:val="20"/>
                <w:color w:val="auto"/>
              </w:rPr>
            </w:pPr>
            <w:r>
              <w:rPr>
                <w:rFonts w:ascii="Courier New" w:cs="Courier New" w:eastAsia="Courier New" w:hAnsi="Courier New"/>
                <w:sz w:val="14"/>
                <w:szCs w:val="14"/>
                <w:color w:val="auto"/>
              </w:rPr>
              <w:t>ITEM 1.  Financial Statements</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8"/>
        </w:trPr>
        <w:tc>
          <w:tcPr>
            <w:tcW w:w="6860" w:type="dxa"/>
            <w:vAlign w:val="bottom"/>
            <w:gridSpan w:val="4"/>
          </w:tcPr>
          <w:p>
            <w:pPr>
              <w:jc w:val="right"/>
              <w:ind w:right="91"/>
              <w:spacing w:after="0"/>
              <w:rPr>
                <w:sz w:val="20"/>
                <w:szCs w:val="20"/>
                <w:color w:val="auto"/>
              </w:rPr>
            </w:pPr>
            <w:r>
              <w:rPr>
                <w:rFonts w:ascii="Courier New" w:cs="Courier New" w:eastAsia="Courier New" w:hAnsi="Courier New"/>
                <w:sz w:val="14"/>
                <w:szCs w:val="14"/>
                <w:color w:val="auto"/>
              </w:rPr>
              <w:t>TEXAS INSTRUMENTS INCORPORATED AND SUBSIDIARIES</w:t>
            </w: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6860" w:type="dxa"/>
            <w:vAlign w:val="bottom"/>
            <w:gridSpan w:val="4"/>
          </w:tcPr>
          <w:p>
            <w:pPr>
              <w:jc w:val="right"/>
              <w:ind w:right="711"/>
              <w:spacing w:after="0"/>
              <w:rPr>
                <w:sz w:val="20"/>
                <w:szCs w:val="20"/>
                <w:color w:val="auto"/>
              </w:rPr>
            </w:pPr>
            <w:r>
              <w:rPr>
                <w:rFonts w:ascii="Courier New" w:cs="Courier New" w:eastAsia="Courier New" w:hAnsi="Courier New"/>
                <w:sz w:val="14"/>
                <w:szCs w:val="14"/>
                <w:color w:val="auto"/>
              </w:rPr>
              <w:t>Consolidated Financial Statements</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7900" w:type="dxa"/>
            <w:vAlign w:val="bottom"/>
            <w:gridSpan w:val="5"/>
          </w:tcPr>
          <w:p>
            <w:pPr>
              <w:jc w:val="center"/>
              <w:ind w:left="2028"/>
              <w:spacing w:after="0"/>
              <w:rPr>
                <w:sz w:val="20"/>
                <w:szCs w:val="20"/>
                <w:color w:val="auto"/>
              </w:rPr>
            </w:pPr>
            <w:r>
              <w:rPr>
                <w:rFonts w:ascii="Courier New" w:cs="Courier New" w:eastAsia="Courier New" w:hAnsi="Courier New"/>
                <w:sz w:val="14"/>
                <w:szCs w:val="14"/>
                <w:color w:val="auto"/>
              </w:rPr>
              <w:t>(In millions of dollars, except per-share amounts.)</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1"/>
        </w:trPr>
        <w:tc>
          <w:tcPr>
            <w:tcW w:w="4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For Three Months Ended</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June 30</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June 30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June 30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2001</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87"/>
              </w:rPr>
              <w:t>Net revenues.....................................................</w:t>
            </w:r>
          </w:p>
        </w:tc>
        <w:tc>
          <w:tcPr>
            <w:tcW w:w="580" w:type="dxa"/>
            <w:vAlign w:val="bottom"/>
          </w:tcPr>
          <w:p>
            <w:pPr>
              <w:spacing w:after="0"/>
              <w:rPr>
                <w:sz w:val="24"/>
                <w:szCs w:val="2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$ 2,037</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$ 2,932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$ 4,565</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$ 5,694</w:t>
            </w:r>
          </w:p>
        </w:tc>
      </w:tr>
      <w:tr>
        <w:trPr>
          <w:trHeight w:val="167"/>
        </w:trPr>
        <w:tc>
          <w:tcPr>
            <w:tcW w:w="4440" w:type="dxa"/>
            <w:vAlign w:val="bottom"/>
          </w:tcPr>
          <w:p>
            <w:pPr>
              <w:spacing w:after="0"/>
              <w:rPr>
                <w:sz w:val="20"/>
                <w:szCs w:val="20"/>
                <w:color w:val="auto"/>
              </w:rPr>
            </w:pPr>
            <w:r>
              <w:rPr>
                <w:rFonts w:ascii="Courier New" w:cs="Courier New" w:eastAsia="Courier New" w:hAnsi="Courier New"/>
                <w:sz w:val="14"/>
                <w:szCs w:val="14"/>
                <w:color w:val="auto"/>
              </w:rPr>
              <w:t>Operating costs and expenses:</w:t>
            </w: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Cost of revenues...............................................</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1,523</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2,907</w:t>
            </w:r>
          </w:p>
        </w:tc>
      </w:tr>
      <w:tr>
        <w:trPr>
          <w:trHeight w:val="167"/>
        </w:trPr>
        <w:tc>
          <w:tcPr>
            <w:tcW w:w="4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Research and development.......................................</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412</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773</w:t>
            </w:r>
          </w:p>
        </w:tc>
      </w:tr>
      <w:tr>
        <w:trPr>
          <w:trHeight w:val="167"/>
        </w:trPr>
        <w:tc>
          <w:tcPr>
            <w:tcW w:w="4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Selling, general and administrative............................</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400</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815</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3"/>
              </w:rPr>
              <w:t>Total........................................................</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2,335</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2,287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4,495</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87"/>
              </w:rPr>
              <w:t>Profit (loss) from operations....................................</w:t>
            </w:r>
          </w:p>
        </w:tc>
        <w:tc>
          <w:tcPr>
            <w:tcW w:w="580" w:type="dxa"/>
            <w:vAlign w:val="bottom"/>
          </w:tcPr>
          <w:p>
            <w:pPr>
              <w:spacing w:after="0"/>
              <w:rPr>
                <w:sz w:val="14"/>
                <w:szCs w:val="14"/>
                <w:color w:val="auto"/>
              </w:rPr>
            </w:pPr>
          </w:p>
        </w:tc>
        <w:tc>
          <w:tcPr>
            <w:tcW w:w="14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(298)</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1,199</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87"/>
              </w:rPr>
              <w:t>Other income (expense) net.......................................</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57</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1,474</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87"/>
              </w:rPr>
              <w:t>Interest on loans................................................</w:t>
            </w: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before income taxes and cumulative effect</w:t>
            </w:r>
          </w:p>
        </w:tc>
        <w:tc>
          <w:tcPr>
            <w:tcW w:w="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48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0"/>
              </w:rPr>
              <w:t>of an accounting change........................................</w:t>
            </w:r>
          </w:p>
        </w:tc>
        <w:tc>
          <w:tcPr>
            <w:tcW w:w="580" w:type="dxa"/>
            <w:vAlign w:val="bottom"/>
          </w:tcPr>
          <w:p>
            <w:pPr>
              <w:spacing w:after="0"/>
              <w:rPr>
                <w:sz w:val="14"/>
                <w:szCs w:val="14"/>
                <w:color w:val="auto"/>
              </w:rPr>
            </w:pPr>
          </w:p>
        </w:tc>
        <w:tc>
          <w:tcPr>
            <w:tcW w:w="14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(256)</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1,971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2,632</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w w:val="87"/>
              </w:rPr>
              <w:t>Provision (benefit) for income taxes.............................</w:t>
            </w:r>
          </w:p>
        </w:tc>
        <w:tc>
          <w:tcPr>
            <w:tcW w:w="580" w:type="dxa"/>
            <w:vAlign w:val="bottom"/>
          </w:tcPr>
          <w:p>
            <w:pPr>
              <w:spacing w:after="0"/>
              <w:rPr>
                <w:sz w:val="14"/>
                <w:szCs w:val="14"/>
                <w:color w:val="auto"/>
              </w:rPr>
            </w:pPr>
          </w:p>
        </w:tc>
        <w:tc>
          <w:tcPr>
            <w:tcW w:w="1460" w:type="dxa"/>
            <w:vAlign w:val="bottom"/>
          </w:tcPr>
          <w:p>
            <w:pPr>
              <w:jc w:val="right"/>
              <w:ind w:right="191"/>
              <w:spacing w:after="0"/>
              <w:rPr>
                <w:sz w:val="20"/>
                <w:szCs w:val="20"/>
                <w:color w:val="auto"/>
              </w:rPr>
            </w:pPr>
            <w:r>
              <w:rPr>
                <w:rFonts w:ascii="Courier New" w:cs="Courier New" w:eastAsia="Courier New" w:hAnsi="Courier New"/>
                <w:sz w:val="14"/>
                <w:szCs w:val="14"/>
                <w:color w:val="auto"/>
              </w:rPr>
              <w:t>(59)</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886</w:t>
            </w:r>
          </w:p>
        </w:tc>
      </w:tr>
      <w:tr>
        <w:trPr>
          <w:trHeight w:val="167"/>
        </w:trPr>
        <w:tc>
          <w:tcPr>
            <w:tcW w:w="4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tcPr>
          <w:p>
            <w:pPr>
              <w:jc w:val="right"/>
              <w:ind w:right="271"/>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400" w:type="dxa"/>
            <w:vAlign w:val="bottom"/>
            <w:gridSpan w:val="3"/>
          </w:tcPr>
          <w:p>
            <w:pPr>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1460" w:type="dxa"/>
            <w:vAlign w:val="bottom"/>
          </w:tcPr>
          <w:p>
            <w:pPr>
              <w:jc w:val="right"/>
              <w:ind w:right="191"/>
              <w:spacing w:after="0"/>
              <w:rPr>
                <w:sz w:val="20"/>
                <w:szCs w:val="20"/>
                <w:color w:val="auto"/>
              </w:rPr>
            </w:pPr>
            <w:r>
              <w:rPr>
                <w:rFonts w:ascii="Courier New" w:cs="Courier New" w:eastAsia="Courier New" w:hAnsi="Courier New"/>
                <w:sz w:val="14"/>
                <w:szCs w:val="14"/>
                <w:color w:val="auto"/>
                <w:w w:val="99"/>
              </w:rPr>
              <w:t>...(197)</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1,746</w:t>
            </w:r>
          </w:p>
        </w:tc>
      </w:tr>
    </w:tbl>
    <w:p>
      <w:pPr>
        <w:sectPr>
          <w:pgSz w:w="11900" w:h="16838" w:orient="portrait"/>
          <w:cols w:equalWidth="0" w:num="1">
            <w:col w:w="10239"/>
          </w:cols>
          <w:pgMar w:left="220" w:top="39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Cumulative effect of an accounting change........................</w:t>
            </w:r>
          </w:p>
        </w:tc>
        <w:tc>
          <w:tcPr>
            <w:tcW w:w="40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(197)</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$ 1,296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$ 1,717</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7"/>
        </w:trPr>
        <w:tc>
          <w:tcPr>
            <w:tcW w:w="578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Diluted earnings (loss) per common share:</w:t>
            </w: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Cumulative effect of an accounting change......................</w:t>
            </w:r>
          </w:p>
        </w:tc>
        <w:tc>
          <w:tcPr>
            <w:tcW w:w="40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8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Basic earnings (loss) per common share:</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Cumulative effect of an accounting change......................</w:t>
            </w:r>
          </w:p>
        </w:tc>
        <w:tc>
          <w:tcPr>
            <w:tcW w:w="40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78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dividends declared per share of common stock................</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.021</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.021</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.043</w:t>
            </w:r>
          </w:p>
        </w:tc>
      </w:tr>
      <w:tr>
        <w:trPr>
          <w:trHeight w:val="668"/>
        </w:trPr>
        <w:tc>
          <w:tcPr>
            <w:tcW w:w="578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 w:name="page3"/>
    <w:bookmarkEnd w:id="2"/>
    <w:p>
      <w:pPr>
        <w:jc w:val="center"/>
        <w:ind w:right="197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4"/>
          <w:szCs w:val="14"/>
          <w:color w:val="auto"/>
        </w:rPr>
        <w:t>(In millions of dollars, except per-share amounts.)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June 30</w:t>
            </w:r>
          </w:p>
        </w:tc>
        <w:tc>
          <w:tcPr>
            <w:tcW w:w="9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 31</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745</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2,472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3,258</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 less allowance for losses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 million in 2001 and $54 million in 2000......................</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2,204</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Raw materials....................................................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245</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 in process..................................................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Finished goods...................................................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Inventories....................................................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1,233</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Prepaid expenses...................................................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assets.............................................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6,278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8,115</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9,724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9,099</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Less accumulated depreciation......................................</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(3,652)</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(net)..............................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5,943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5,447</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2,750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Goodwill and other acquisition-related intangibles...................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829</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$16,702</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$17,720</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Loans payable and current portion long-term debt...................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148</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 and accrued expenses..............................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1,385</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1,921</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payable ..............................................</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retirement and profit sharing contributions................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current liabilities........................................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1,658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2,813</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1,216</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retirement costs.............................................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463</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469</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credits and other liabilities...............................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288</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$25 par value. Authorized - 10,000,000 shares.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Participating cumulative preferred. None issued..................</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Common stock, $1 par value. Authorized -  2,400,000,000 shares.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issued: 2001 - 1,739,529,779; 2000 - 1,733,237,248........</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1,740</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Paid-in capital....................................................</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1,291</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1,185</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Retained earnings..................................................</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9,282</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9,323</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Less treasury common stock at cost.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Shares: 2001 - 4,918,490; 2000 - 1,184,880.......................</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Accumulated other comprehensive income.............................</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684</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574</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compensation..............................................</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stockholders' equity.......................................</w:t>
            </w:r>
          </w:p>
        </w:tc>
        <w:tc>
          <w:tcPr>
            <w:tcW w:w="22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12,667</w:t>
            </w:r>
          </w:p>
        </w:tc>
        <w:tc>
          <w:tcPr>
            <w:tcW w:w="26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12,588</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$16,702</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$17,720</w:t>
            </w:r>
          </w:p>
        </w:tc>
      </w:tr>
      <w:tr>
        <w:trPr>
          <w:trHeight w:val="167"/>
        </w:trPr>
        <w:tc>
          <w:tcPr>
            <w:tcW w:w="6120" w:type="dxa"/>
            <w:vAlign w:val="bottom"/>
          </w:tcPr>
          <w:p>
            <w:pPr>
              <w:spacing w:after="0"/>
              <w:rPr>
                <w:sz w:val="14"/>
                <w:szCs w:val="14"/>
                <w:color w:val="auto"/>
              </w:rPr>
            </w:pPr>
          </w:p>
        </w:tc>
        <w:tc>
          <w:tcPr>
            <w:tcW w:w="11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8"/>
        </w:trPr>
        <w:tc>
          <w:tcPr>
            <w:tcW w:w="6120" w:type="dxa"/>
            <w:vAlign w:val="bottom"/>
          </w:tcPr>
          <w:p>
            <w:pPr>
              <w:jc w:val="right"/>
              <w:ind w:right="2488"/>
              <w:spacing w:after="0"/>
              <w:rPr>
                <w:sz w:val="20"/>
                <w:szCs w:val="20"/>
                <w:color w:val="auto"/>
              </w:rPr>
            </w:pPr>
            <w:r>
              <w:rPr>
                <w:rFonts w:ascii="Courier New" w:cs="Courier New" w:eastAsia="Courier New" w:hAnsi="Courier New"/>
                <w:sz w:val="14"/>
                <w:szCs w:val="14"/>
                <w:color w:val="auto"/>
              </w:rPr>
              <w:t>3</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3" w:name="page4"/>
    <w:bookmarkEnd w:id="3"/>
    <w:p>
      <w:pPr>
        <w:jc w:val="center"/>
        <w:ind w:right="57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8" w:lineRule="exact"/>
        <w:rPr>
          <w:sz w:val="20"/>
          <w:szCs w:val="20"/>
          <w:color w:val="auto"/>
        </w:rPr>
      </w:pPr>
    </w:p>
    <w:p>
      <w:pPr>
        <w:jc w:val="center"/>
        <w:ind w:right="579"/>
        <w:spacing w:after="0"/>
        <w:rPr>
          <w:sz w:val="20"/>
          <w:szCs w:val="20"/>
          <w:color w:val="auto"/>
        </w:rPr>
      </w:pPr>
      <w:r>
        <w:rPr>
          <w:rFonts w:ascii="Courier New" w:cs="Courier New" w:eastAsia="Courier New" w:hAnsi="Courier New"/>
          <w:sz w:val="14"/>
          <w:szCs w:val="14"/>
          <w:color w:val="auto"/>
        </w:rPr>
        <w:t>(In millions of dollars, except per-share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816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spacing w:after="0"/>
              <w:rPr>
                <w:sz w:val="14"/>
                <w:szCs w:val="14"/>
                <w:color w:val="auto"/>
              </w:rPr>
            </w:pPr>
          </w:p>
        </w:tc>
        <w:tc>
          <w:tcPr>
            <w:tcW w:w="1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June 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8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2001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8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jc w:val="right"/>
              <w:ind w:right="4788"/>
              <w:spacing w:after="0"/>
              <w:rPr>
                <w:sz w:val="20"/>
                <w:szCs w:val="20"/>
                <w:color w:val="auto"/>
              </w:rPr>
            </w:pPr>
            <w:r>
              <w:rPr>
                <w:rFonts w:ascii="Courier New" w:cs="Courier New" w:eastAsia="Courier New" w:hAnsi="Courier New"/>
                <w:sz w:val="14"/>
                <w:szCs w:val="14"/>
                <w:color w:val="auto"/>
              </w:rPr>
              <w:t>Cash flows from operating activities:</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before cumulative effect of an accounting change ..................................</w:t>
            </w:r>
          </w:p>
        </w:tc>
        <w:tc>
          <w:tcPr>
            <w:tcW w:w="4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$ 1,746</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Depreciation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Amortization of goodwill and other acquisition-related intangibles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Deferred income taxes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currency exchange losses..............................................................</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7"/>
        </w:trPr>
        <w:tc>
          <w:tcPr>
            <w:tcW w:w="8160" w:type="dxa"/>
            <w:vAlign w:val="bottom"/>
          </w:tcPr>
          <w:p>
            <w:pPr>
              <w:jc w:val="right"/>
              <w:ind w:right="3228"/>
              <w:spacing w:after="0"/>
              <w:rPr>
                <w:sz w:val="20"/>
                <w:szCs w:val="20"/>
                <w:color w:val="auto"/>
              </w:rPr>
            </w:pPr>
            <w:r>
              <w:rPr>
                <w:rFonts w:ascii="Courier New" w:cs="Courier New" w:eastAsia="Courier New" w:hAnsi="Courier New"/>
                <w:sz w:val="14"/>
                <w:szCs w:val="14"/>
                <w:color w:val="auto"/>
              </w:rPr>
              <w:t>(Increase) decrease in working capital (excluding cash</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ind w:left="360"/>
              <w:spacing w:after="0"/>
              <w:rPr>
                <w:sz w:val="20"/>
                <w:szCs w:val="20"/>
                <w:color w:val="auto"/>
              </w:rPr>
            </w:pPr>
            <w:r>
              <w:rPr>
                <w:rFonts w:ascii="Courier New" w:cs="Courier New" w:eastAsia="Courier New" w:hAnsi="Courier New"/>
                <w:sz w:val="14"/>
                <w:szCs w:val="14"/>
                <w:color w:val="auto"/>
              </w:rPr>
              <w:t>and cash equivalents, short-term investments, deferred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ind w:left="360"/>
              <w:spacing w:after="0"/>
              <w:rPr>
                <w:sz w:val="20"/>
                <w:szCs w:val="20"/>
                <w:color w:val="auto"/>
              </w:rPr>
            </w:pPr>
            <w:r>
              <w:rPr>
                <w:rFonts w:ascii="Courier New" w:cs="Courier New" w:eastAsia="Courier New" w:hAnsi="Courier New"/>
                <w:sz w:val="14"/>
                <w:szCs w:val="14"/>
                <w:color w:val="auto"/>
              </w:rPr>
              <w:t>income taxes, and loans payable and current portion</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Accounts receivable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Inventories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Prepaid expenses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Accounts payable and accrued expenses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Income taxes payable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Accrued retirement and profit sharing contributions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Gain on sale of Micron common stock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(1,211)</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Increase in noncurrent accrued retirement costs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Additions to property, plant and equipment ...............................................</w:t>
            </w:r>
          </w:p>
        </w:tc>
        <w:tc>
          <w:tcPr>
            <w:tcW w:w="1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(1,242)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(1,204)</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Purchases of short-term investments ......................................................</w:t>
            </w:r>
          </w:p>
        </w:tc>
        <w:tc>
          <w:tcPr>
            <w:tcW w:w="11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(1,435)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(2,811)</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Sales and maturities of short-term investments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2,203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1,899</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Purchases of noncurrent investments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Sales of noncurrent investments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used in investing activities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r>
      <w:tr>
        <w:trPr>
          <w:trHeight w:val="334"/>
        </w:trPr>
        <w:tc>
          <w:tcPr>
            <w:tcW w:w="81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Additions to loans payable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Payments on loans payable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Additions to long-term debt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Payments on long-term debt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Dividends paid on common stock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Sales and other common stock transactions ................................................</w:t>
            </w:r>
          </w:p>
        </w:tc>
        <w:tc>
          <w:tcPr>
            <w:tcW w:w="4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Common stock repurchase program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cash provided by (used in) financing activities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198</w:t>
            </w:r>
          </w:p>
        </w:tc>
      </w:tr>
      <w:tr>
        <w:trPr>
          <w:trHeight w:val="334"/>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Effect of exchange rate changes on cash ....................................................</w:t>
            </w:r>
          </w:p>
        </w:tc>
        <w:tc>
          <w:tcPr>
            <w:tcW w:w="440" w:type="dxa"/>
            <w:vAlign w:val="bottom"/>
          </w:tcPr>
          <w:p>
            <w:pPr>
              <w:spacing w:after="0"/>
              <w:rPr>
                <w:sz w:val="24"/>
                <w:szCs w:val="2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increase (decrease) in cash and cash equivalents .......................................</w:t>
            </w:r>
          </w:p>
        </w:tc>
        <w:tc>
          <w:tcPr>
            <w:tcW w:w="44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812</w:t>
            </w:r>
          </w:p>
        </w:tc>
      </w:tr>
      <w:tr>
        <w:trPr>
          <w:trHeight w:val="334"/>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and cash equivalents, January 1 .......................................................</w:t>
            </w:r>
          </w:p>
        </w:tc>
        <w:tc>
          <w:tcPr>
            <w:tcW w:w="440" w:type="dxa"/>
            <w:vAlign w:val="bottom"/>
          </w:tcPr>
          <w:p>
            <w:pPr>
              <w:spacing w:after="0"/>
              <w:rPr>
                <w:sz w:val="24"/>
                <w:szCs w:val="2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Cash and cash equivalents, June 30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$1,593</w:t>
            </w:r>
          </w:p>
        </w:tc>
      </w:tr>
      <w:tr>
        <w:trPr>
          <w:trHeight w:val="167"/>
        </w:trPr>
        <w:tc>
          <w:tcPr>
            <w:tcW w:w="8160" w:type="dxa"/>
            <w:vAlign w:val="bottom"/>
          </w:tcPr>
          <w:p>
            <w:pPr>
              <w:spacing w:after="0"/>
              <w:rPr>
                <w:sz w:val="14"/>
                <w:szCs w:val="14"/>
                <w:color w:val="auto"/>
              </w:rPr>
            </w:pPr>
          </w:p>
        </w:tc>
        <w:tc>
          <w:tcPr>
            <w:tcW w:w="11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8160" w:type="dxa"/>
            <w:vAlign w:val="bottom"/>
          </w:tcPr>
          <w:p>
            <w:pPr>
              <w:jc w:val="right"/>
              <w:ind w:right="4528"/>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sectPr>
      </w:pPr>
    </w:p>
    <w:bookmarkStart w:id="4" w:name="page5"/>
    <w:bookmarkEnd w:id="4"/>
    <w:p>
      <w:pPr>
        <w:jc w:val="center"/>
        <w:ind w:right="3188"/>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3188"/>
        <w:spacing w:after="0"/>
        <w:rPr>
          <w:sz w:val="20"/>
          <w:szCs w:val="20"/>
          <w:color w:val="auto"/>
        </w:rPr>
      </w:pPr>
      <w:r>
        <w:rPr>
          <w:rFonts w:ascii="Courier New" w:cs="Courier New" w:eastAsia="Courier New" w:hAnsi="Courier New"/>
          <w:sz w:val="14"/>
          <w:szCs w:val="14"/>
          <w:color w:val="auto"/>
        </w:rPr>
        <w:t>Notes to Financial Statements</w:t>
      </w:r>
    </w:p>
    <w:p>
      <w:pPr>
        <w:spacing w:after="0" w:line="342" w:lineRule="exact"/>
        <w:rPr>
          <w:sz w:val="20"/>
          <w:szCs w:val="20"/>
          <w:color w:val="auto"/>
        </w:rPr>
      </w:pPr>
    </w:p>
    <w:p>
      <w:pPr>
        <w:ind w:left="431" w:right="3279" w:hanging="431"/>
        <w:spacing w:after="0" w:line="253"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common share are based on average common and dilutive potential common shares outstanding (1,735.6 and 1,793.9 million shares for the second quarters of 2001 and 2000, and 1,785.5 and 1,789.1 million shares for the six months ended June 30, 2001 and 2000). For the second quarter of 2001, dilutive potential common shares have been excluded due to the net loss for the period.</w:t>
      </w:r>
    </w:p>
    <w:p>
      <w:pPr>
        <w:spacing w:after="0" w:line="165" w:lineRule="exact"/>
        <w:rPr>
          <w:rFonts w:ascii="Courier New" w:cs="Courier New" w:eastAsia="Courier New" w:hAnsi="Courier New"/>
          <w:sz w:val="14"/>
          <w:szCs w:val="14"/>
          <w:color w:val="auto"/>
        </w:rPr>
      </w:pPr>
    </w:p>
    <w:p>
      <w:pPr>
        <w:ind w:left="431" w:right="3459" w:hanging="431"/>
        <w:spacing w:after="0" w:line="255"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other income (expense) net for the second quarter of 2001 are investment write-downs of $18 million for declines in value judged to be other-than-temporary.</w:t>
      </w:r>
    </w:p>
    <w:p>
      <w:pPr>
        <w:spacing w:after="0" w:line="162"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previously noted, Hynix Semiconductor Inc. (Hynix), formerly known as Hyundai Electronics Industries Co., Ltd., has ongoing royalty obligations to TI under a patent license agreement expiring December 31, 2007. Hynix had requested renegotiation of the payment schedule and in June 2001, Hynix and TI reached agreement on a new schedule. In June 2001, Hynix made a payment to TI of $130 million for royalties due through December 31, 2000 plus interest, bringing the Hynix account current. Recognition of first-half 2001 royalties from Hynix has been deferred. Also in June 2001, TI purchased $100 million of Hynix Global Depositary Shares as part of Hynix's total offering of $1.25 billion.</w:t>
      </w:r>
    </w:p>
    <w:p>
      <w:pPr>
        <w:spacing w:after="0" w:line="164" w:lineRule="exact"/>
        <w:rPr>
          <w:rFonts w:ascii="Courier New" w:cs="Courier New" w:eastAsia="Courier New" w:hAnsi="Courier New"/>
          <w:sz w:val="14"/>
          <w:szCs w:val="14"/>
          <w:color w:val="auto"/>
        </w:rPr>
      </w:pPr>
    </w:p>
    <w:p>
      <w:pPr>
        <w:ind w:left="431" w:right="3279" w:hanging="431"/>
        <w:spacing w:after="0" w:line="252"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June 30, 2001, in millions of dollars, $118 of the $271 aggregate severance cost obligations for the first and second quarter 2001 worldwide cost reduction and restructuring actions affecting a total of 5439 employees had been paid. Loss for the second quarter of 2001 includes net special charges of $252, of which $214 is severance cost for a worldwide cost-reduction program affecting 3778 employees and $35 relates to the restructuring charges for the closing of three Semiconductor facilities (Merrimack, New Hampshire; Tustin, California; and Santa Cruz, California) affecting an additional 559 employees. Of the $35, $14 is for severance cost and $16 is for the acceleration of depreciation over the remaining service life of the facilities. Of the $252 net special charges, $162 is included in cost of revenues, $84 is in selling, general and administrative expense and $6 is in research and development expense. Also included in the second quarter of 2001 is a $68 increase to the income tax provision to adjust to the expected tax rate for the year.</w:t>
      </w:r>
    </w:p>
    <w:p>
      <w:pPr>
        <w:spacing w:after="0" w:line="172" w:lineRule="exact"/>
        <w:rPr>
          <w:rFonts w:ascii="Courier New" w:cs="Courier New" w:eastAsia="Courier New" w:hAnsi="Courier New"/>
          <w:sz w:val="14"/>
          <w:szCs w:val="14"/>
          <w:color w:val="auto"/>
        </w:rPr>
      </w:pPr>
    </w:p>
    <w:p>
      <w:pPr>
        <w:ind w:left="431" w:right="3379" w:hanging="431"/>
        <w:spacing w:after="0" w:line="252"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for the first quarter of 2001 includes, in millions of dollars, net special charges of $50, of which $11 is severance cost for 241 first-quarter employee acceptances under the U.S. voluntary retirement program, $16 is severance cost for restructuring actions affecting 261 employees in international Semiconductor locations and $25 relates to</w:t>
      </w:r>
    </w:p>
    <w:p>
      <w:pPr>
        <w:spacing w:after="0" w:line="1" w:lineRule="exact"/>
        <w:rPr>
          <w:rFonts w:ascii="Courier New" w:cs="Courier New" w:eastAsia="Courier New" w:hAnsi="Courier New"/>
          <w:sz w:val="14"/>
          <w:szCs w:val="14"/>
          <w:color w:val="auto"/>
        </w:rPr>
      </w:pPr>
    </w:p>
    <w:p>
      <w:pPr>
        <w:ind w:left="43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closing of a Semiconductor manufacturing facility in Santa Cruz, California. Of the $25, $16 is for severance cost for 600 employees and $5 is for acceleration of depreciation over the remaining service life of the facility. Of the $50 of net special charges, $44 is included in cost of revenues, $7 is in selling, general and administrative expense, $2 is in research and development expense, and $3 is in other income.</w:t>
      </w:r>
    </w:p>
    <w:p>
      <w:pPr>
        <w:spacing w:after="0" w:line="165" w:lineRule="exact"/>
        <w:rPr>
          <w:rFonts w:ascii="Courier New" w:cs="Courier New" w:eastAsia="Courier New" w:hAnsi="Courier New"/>
          <w:sz w:val="14"/>
          <w:szCs w:val="14"/>
          <w:color w:val="auto"/>
        </w:rPr>
      </w:pPr>
    </w:p>
    <w:p>
      <w:pPr>
        <w:ind w:left="431" w:right="3279" w:hanging="431"/>
        <w:spacing w:after="0" w:line="255" w:lineRule="auto"/>
        <w:tabs>
          <w:tab w:leader="none" w:pos="431"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for the second quarter of 2000 includes, in millions of dollars, an investment gain of $1211 in other income from the sale of 20 million shares of Micron common stock.</w:t>
      </w:r>
    </w:p>
    <w:p>
      <w:pPr>
        <w:spacing w:after="0" w:line="329"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0"/>
          </w:cols>
          <w:pgMar w:left="229" w:top="620" w:right="1440" w:bottom="1440" w:gutter="0" w:footer="0" w:header="0"/>
        </w:sectPr>
      </w:pPr>
    </w:p>
    <w:bookmarkStart w:id="5" w:name="page6"/>
    <w:bookmarkEnd w:id="5"/>
    <w:p>
      <w:pPr>
        <w:ind w:left="431" w:right="3279" w:hanging="431"/>
        <w:spacing w:after="0" w:line="253"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for the first quarter of 2000 includes, in millions of dollars, special charges of $29 associated with actions including the closing of the Sensors &amp; Controls manufacturing facility in Versailles, Kentucky, and TI's acquisition of Toccata Technology ApS. Of the $29 charge, $12 was for severance for 480 employees in Kentucky. At June 30, 2001, $6 of the severance cost obligations had been paid. Of the $29, $20 is included in cost of revenues, $6 is in selling, general and administrative expense, and $3 is in research and development expense.</w:t>
      </w:r>
    </w:p>
    <w:p>
      <w:pPr>
        <w:spacing w:after="0" w:line="164" w:lineRule="exact"/>
        <w:rPr>
          <w:rFonts w:ascii="Courier New" w:cs="Courier New" w:eastAsia="Courier New" w:hAnsi="Courier New"/>
          <w:sz w:val="14"/>
          <w:szCs w:val="14"/>
          <w:color w:val="auto"/>
        </w:rPr>
      </w:pPr>
    </w:p>
    <w:p>
      <w:pPr>
        <w:ind w:left="431" w:right="3539" w:hanging="431"/>
        <w:spacing w:after="0" w:line="254"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comprehensive income (loss), i.e., net income plus investment and pension liability adjustments to stockholders' equity, for the second quarters of 2001 and 2000, in millions of dollars, was negative $231 and positive $1413. For the six months ended June 30, 2001 and 2000, it was $143 and $3257.</w:t>
      </w:r>
    </w:p>
    <w:p>
      <w:pPr>
        <w:spacing w:after="0" w:line="162" w:lineRule="exact"/>
        <w:rPr>
          <w:rFonts w:ascii="Courier New" w:cs="Courier New" w:eastAsia="Courier New" w:hAnsi="Courier New"/>
          <w:sz w:val="14"/>
          <w:szCs w:val="14"/>
          <w:color w:val="auto"/>
        </w:rPr>
      </w:pPr>
    </w:p>
    <w:p>
      <w:pPr>
        <w:ind w:left="431" w:right="4319" w:hanging="431"/>
        <w:spacing w:after="0" w:line="258"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has been no significant change in the status of the audit investigation concerning grants from the Italian government.</w:t>
      </w:r>
    </w:p>
    <w:p>
      <w:pPr>
        <w:spacing w:after="0" w:line="159" w:lineRule="exact"/>
        <w:rPr>
          <w:rFonts w:ascii="Courier New" w:cs="Courier New" w:eastAsia="Courier New" w:hAnsi="Courier New"/>
          <w:sz w:val="14"/>
          <w:szCs w:val="14"/>
          <w:color w:val="auto"/>
        </w:rPr>
      </w:pPr>
    </w:p>
    <w:p>
      <w:pPr>
        <w:ind w:left="431" w:right="3379" w:hanging="431"/>
        <w:spacing w:after="0" w:line="253"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 for the interim periods presented have been included in the accompanying financial statements on the basis of an estimated annual rate. The estimated annualized tax rate for 2001 is 49 percent. The primary reason the effective annualized tax rate for 2001 differs from the 35 percent statutory corporate rate is due to decreased profit combined with tax benefits such as the credit for research activities.</w:t>
      </w:r>
    </w:p>
    <w:p>
      <w:pPr>
        <w:spacing w:after="0" w:line="165" w:lineRule="exact"/>
        <w:rPr>
          <w:rFonts w:ascii="Courier New" w:cs="Courier New" w:eastAsia="Courier New" w:hAnsi="Courier New"/>
          <w:sz w:val="14"/>
          <w:szCs w:val="14"/>
          <w:color w:val="auto"/>
        </w:rPr>
      </w:pPr>
    </w:p>
    <w:p>
      <w:pPr>
        <w:ind w:left="431" w:right="3279" w:hanging="431"/>
        <w:spacing w:after="0" w:line="253"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2001, the Financial Accounting Standards Board issued Statement of Financial Accounting Standards (SFAS) No. 141, Business Combinations, and No. 142, Goodwill and Other Intangible Assets,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 The company is currently reviewing the impact of SFAS Nos. 141 and 142 and will be performing a fair-value analysis at a later date in connection with the adoption of SFAS No. 142 on January 1, 2002.</w:t>
      </w:r>
    </w:p>
    <w:p>
      <w:pPr>
        <w:spacing w:after="0" w:line="164" w:lineRule="exact"/>
        <w:rPr>
          <w:rFonts w:ascii="Courier New" w:cs="Courier New" w:eastAsia="Courier New" w:hAnsi="Courier New"/>
          <w:sz w:val="14"/>
          <w:szCs w:val="14"/>
          <w:color w:val="auto"/>
        </w:rPr>
      </w:pPr>
    </w:p>
    <w:p>
      <w:pPr>
        <w:ind w:left="431" w:right="3379" w:hanging="431"/>
        <w:spacing w:after="0" w:line="254" w:lineRule="auto"/>
        <w:tabs>
          <w:tab w:leader="none" w:pos="431"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of operations and statements of cash flows for the periods ended June 30, 2001, and the balance sheet at June 30, 2001, are not audited but reflect all adjustments which are of a normal recurring nature and are, in the opinion of management, necessary for a fair statement of the results of the periods shown.</w:t>
      </w:r>
    </w:p>
    <w:p>
      <w:pPr>
        <w:spacing w:after="0" w:line="329"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0"/>
          </w:cols>
          <w:pgMar w:left="229" w:top="453" w:right="1440" w:bottom="1440" w:gutter="0" w:footer="0" w:header="0"/>
        </w:sectPr>
      </w:pPr>
    </w:p>
    <w:bookmarkStart w:id="6" w:name="page7"/>
    <w:bookmarkEnd w:id="6"/>
    <w:p>
      <w:pPr>
        <w:ind w:left="700" w:hanging="691"/>
        <w:spacing w:after="0"/>
        <w:tabs>
          <w:tab w:leader="none" w:pos="7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segment information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24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For Three Months Ended</w:t>
            </w:r>
          </w:p>
        </w:tc>
        <w:tc>
          <w:tcPr>
            <w:tcW w:w="2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34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32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June 30</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June 30</w:t>
            </w:r>
          </w:p>
        </w:tc>
        <w:tc>
          <w:tcPr>
            <w:tcW w:w="13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June 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Business Segment Net Revenues</w:t>
            </w:r>
          </w:p>
        </w:tc>
        <w:tc>
          <w:tcPr>
            <w:tcW w:w="52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2001</w:t>
            </w:r>
          </w:p>
        </w:tc>
        <w:tc>
          <w:tcPr>
            <w:tcW w:w="13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Semiconductor</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w w:val="95"/>
              </w:rPr>
              <w:t>Trade....................................</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$ 1,652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$ 2,507</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$ 3,824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$ 4,889</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1,657</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2,511</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4,898</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Sensors &amp; Controls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271</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w:t>
            </w: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Intersegment.............................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257</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271</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Trade....................................</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125</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w:t>
            </w:r>
          </w:p>
        </w:tc>
      </w:tr>
      <w:tr>
        <w:trPr>
          <w:trHeight w:val="334"/>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Corporate activities.......................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6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Divested activities........................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95"/>
              </w:rPr>
              <w:t>Total......................................</w:t>
            </w: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$ 2,037</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$ 2,932</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$ 4,565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$ 5,694</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3480" w:type="dxa"/>
            <w:vAlign w:val="bottom"/>
          </w:tcPr>
          <w:p>
            <w:pPr>
              <w:spacing w:after="0"/>
              <w:rPr>
                <w:sz w:val="20"/>
                <w:szCs w:val="20"/>
                <w:color w:val="auto"/>
              </w:rPr>
            </w:pPr>
            <w:r>
              <w:rPr>
                <w:rFonts w:ascii="Courier New" w:cs="Courier New" w:eastAsia="Courier New" w:hAnsi="Courier New"/>
                <w:sz w:val="14"/>
                <w:szCs w:val="14"/>
                <w:color w:val="auto"/>
              </w:rPr>
              <w:t>Business Segment Profit (Loss)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95"/>
              </w:rPr>
              <w:t>Semiconductor..............................</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634</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$ 1,246</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Sensors &amp; Controls.........................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54</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Educational &amp; Productivity Solutions.......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33</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Corporate activities.......................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1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w:t>
            </w:r>
          </w:p>
        </w:tc>
        <w:tc>
          <w:tcPr>
            <w:tcW w:w="6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Special charges/gains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acquisition-related amortization,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of applicable profit sharing.........</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(309)</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1,186</w:t>
            </w:r>
          </w:p>
        </w:tc>
        <w:tc>
          <w:tcPr>
            <w:tcW w:w="64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1,132</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Interest on loans/other income (expense)</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net excluding a first-quarter 2001</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gain of $3 and a second-quarter 2000</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gain of $1211 included above in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special charges/gains and</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acquisition-related amortization.........</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115</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r>
      <w:tr>
        <w:trPr>
          <w:trHeight w:val="167"/>
        </w:trPr>
        <w:tc>
          <w:tcPr>
            <w:tcW w:w="4000" w:type="dxa"/>
            <w:vAlign w:val="bottom"/>
            <w:gridSpan w:val="2"/>
          </w:tcPr>
          <w:p>
            <w:pPr>
              <w:spacing w:after="0"/>
              <w:rPr>
                <w:sz w:val="20"/>
                <w:szCs w:val="20"/>
                <w:color w:val="auto"/>
              </w:rPr>
            </w:pPr>
            <w:r>
              <w:rPr>
                <w:rFonts w:ascii="Courier New" w:cs="Courier New" w:eastAsia="Courier New" w:hAnsi="Courier New"/>
                <w:sz w:val="14"/>
                <w:szCs w:val="14"/>
                <w:color w:val="auto"/>
              </w:rPr>
              <w:t>Divested activities........................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w:t>
            </w:r>
          </w:p>
        </w:tc>
        <w:tc>
          <w:tcPr>
            <w:tcW w:w="64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 of an</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w w:val="95"/>
              </w:rPr>
              <w:t>accounting change........................</w:t>
            </w:r>
          </w:p>
        </w:tc>
        <w:tc>
          <w:tcPr>
            <w:tcW w:w="5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(256)</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$ 1,971</w:t>
            </w:r>
          </w:p>
        </w:tc>
        <w:tc>
          <w:tcPr>
            <w:tcW w:w="6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$ 2,632</w:t>
            </w:r>
          </w:p>
        </w:tc>
      </w:tr>
      <w:tr>
        <w:trPr>
          <w:trHeight w:val="167"/>
        </w:trPr>
        <w:tc>
          <w:tcPr>
            <w:tcW w:w="3480" w:type="dxa"/>
            <w:vAlign w:val="bottom"/>
          </w:tcPr>
          <w:p>
            <w:pPr>
              <w:spacing w:after="0"/>
              <w:rPr>
                <w:sz w:val="14"/>
                <w:szCs w:val="14"/>
                <w:color w:val="auto"/>
              </w:rPr>
            </w:pPr>
          </w:p>
        </w:tc>
        <w:tc>
          <w:tcPr>
            <w:tcW w:w="11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8"/>
        </w:trPr>
        <w:tc>
          <w:tcPr>
            <w:tcW w:w="34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453" w:right="1440" w:bottom="1440" w:gutter="0" w:footer="0" w:header="0"/>
        </w:sectPr>
      </w:pPr>
    </w:p>
    <w:bookmarkStart w:id="7" w:name="page8"/>
    <w:bookmarkEnd w:id="7"/>
    <w:p>
      <w:pPr>
        <w:ind w:left="431" w:right="3379" w:hanging="431"/>
        <w:spacing w:after="0" w:line="254" w:lineRule="auto"/>
        <w:tabs>
          <w:tab w:leader="none" w:pos="431"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62" w:lineRule="exact"/>
        <w:rPr>
          <w:rFonts w:ascii="Courier New" w:cs="Courier New" w:eastAsia="Courier New" w:hAnsi="Courier New"/>
          <w:sz w:val="14"/>
          <w:szCs w:val="14"/>
          <w:color w:val="auto"/>
        </w:rPr>
      </w:pPr>
    </w:p>
    <w:p>
      <w:pPr>
        <w:ind w:left="43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65" w:lineRule="exact"/>
        <w:rPr>
          <w:rFonts w:ascii="Courier New" w:cs="Courier New" w:eastAsia="Courier New" w:hAnsi="Courier New"/>
          <w:sz w:val="14"/>
          <w:szCs w:val="14"/>
          <w:color w:val="auto"/>
        </w:rPr>
      </w:pPr>
    </w:p>
    <w:p>
      <w:pPr>
        <w:ind w:left="43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 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31" w:lineRule="exact"/>
        <w:rPr>
          <w:sz w:val="20"/>
          <w:szCs w:val="20"/>
          <w:color w:val="auto"/>
        </w:rPr>
      </w:pPr>
    </w:p>
    <w:p>
      <w:pPr>
        <w:ind w:left="3471"/>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0"/>
          </w:cols>
          <w:pgMar w:left="229" w:top="453"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Cost/time to</w:t>
      </w:r>
    </w:p>
    <w:p>
      <w:pPr>
        <w:spacing w:after="0" w:line="8" w:lineRule="exact"/>
        <w:rPr>
          <w:sz w:val="20"/>
          <w:szCs w:val="20"/>
          <w:color w:val="auto"/>
        </w:rPr>
      </w:pPr>
    </w:p>
    <w:p>
      <w:pPr>
        <w:ind w:left="5120"/>
        <w:spacing w:after="0"/>
        <w:tabs>
          <w:tab w:leader="none" w:pos="9100" w:val="left"/>
          <w:tab w:leader="none" w:pos="10760" w:val="left"/>
        </w:tabs>
        <w:rPr>
          <w:sz w:val="20"/>
          <w:szCs w:val="20"/>
          <w:color w:val="auto"/>
        </w:rPr>
      </w:pPr>
      <w:r>
        <w:rPr>
          <w:rFonts w:ascii="Courier New" w:cs="Courier New" w:eastAsia="Courier New" w:hAnsi="Courier New"/>
          <w:sz w:val="14"/>
          <w:szCs w:val="14"/>
          <w:color w:val="auto"/>
        </w:rPr>
        <w:t>Purchased</w:t>
      </w:r>
      <w:r>
        <w:rPr>
          <w:sz w:val="20"/>
          <w:szCs w:val="20"/>
          <w:color w:val="auto"/>
        </w:rPr>
        <w:tab/>
      </w:r>
      <w:r>
        <w:rPr>
          <w:rFonts w:ascii="Courier New" w:cs="Courier New" w:eastAsia="Courier New" w:hAnsi="Courier New"/>
          <w:sz w:val="14"/>
          <w:szCs w:val="14"/>
          <w:color w:val="auto"/>
        </w:rPr>
        <w:t>complete R&amp;D</w:t>
      </w:r>
      <w:r>
        <w:rPr>
          <w:sz w:val="20"/>
          <w:szCs w:val="20"/>
          <w:color w:val="auto"/>
        </w:rPr>
        <w:tab/>
      </w:r>
      <w:r>
        <w:rPr>
          <w:rFonts w:ascii="Courier New" w:cs="Courier New" w:eastAsia="Courier New" w:hAnsi="Courier New"/>
          <w:sz w:val="14"/>
          <w:szCs w:val="14"/>
          <w:color w:val="auto"/>
        </w:rPr>
        <w:t>Year</w:t>
      </w:r>
    </w:p>
    <w:p>
      <w:pPr>
        <w:spacing w:after="0" w:line="8" w:lineRule="exact"/>
        <w:rPr>
          <w:sz w:val="20"/>
          <w:szCs w:val="20"/>
          <w:color w:val="auto"/>
        </w:rPr>
      </w:pPr>
    </w:p>
    <w:p>
      <w:pPr>
        <w:ind w:left="5120"/>
        <w:spacing w:after="0"/>
        <w:tabs>
          <w:tab w:leader="none" w:pos="9360" w:val="left"/>
          <w:tab w:leader="none" w:pos="10500" w:val="left"/>
        </w:tabs>
        <w:rPr>
          <w:sz w:val="20"/>
          <w:szCs w:val="20"/>
          <w:color w:val="auto"/>
        </w:rPr>
      </w:pPr>
      <w:r>
        <w:rPr>
          <w:rFonts w:ascii="Courier New" w:cs="Courier New" w:eastAsia="Courier New" w:hAnsi="Courier New"/>
          <w:sz w:val="14"/>
          <w:szCs w:val="14"/>
          <w:color w:val="auto"/>
        </w:rPr>
        <w:t>in-process</w:t>
      </w:r>
      <w:r>
        <w:rPr>
          <w:sz w:val="20"/>
          <w:szCs w:val="20"/>
          <w:color w:val="auto"/>
        </w:rPr>
        <w:tab/>
      </w:r>
      <w:r>
        <w:rPr>
          <w:rFonts w:ascii="Courier New" w:cs="Courier New" w:eastAsia="Courier New" w:hAnsi="Courier New"/>
          <w:sz w:val="14"/>
          <w:szCs w:val="14"/>
          <w:color w:val="auto"/>
        </w:rPr>
        <w:t>projects</w:t>
      </w:r>
      <w:r>
        <w:rPr>
          <w:sz w:val="20"/>
          <w:szCs w:val="20"/>
          <w:color w:val="auto"/>
        </w:rPr>
        <w:tab/>
      </w:r>
      <w:r>
        <w:rPr>
          <w:rFonts w:ascii="Courier New" w:cs="Courier New" w:eastAsia="Courier New" w:hAnsi="Courier New"/>
          <w:sz w:val="14"/>
          <w:szCs w:val="14"/>
          <w:color w:val="auto"/>
        </w:rPr>
        <w:t>cash flows</w:t>
      </w:r>
    </w:p>
    <w:p>
      <w:pPr>
        <w:spacing w:after="0" w:line="8" w:lineRule="exact"/>
        <w:rPr>
          <w:sz w:val="20"/>
          <w:szCs w:val="20"/>
          <w:color w:val="auto"/>
        </w:rPr>
      </w:pPr>
    </w:p>
    <w:p>
      <w:pPr>
        <w:ind w:left="100"/>
        <w:spacing w:after="0"/>
        <w:tabs>
          <w:tab w:leader="none" w:pos="860" w:val="left"/>
          <w:tab w:leader="none" w:pos="1980" w:val="left"/>
          <w:tab w:leader="none" w:pos="3640" w:val="left"/>
          <w:tab w:leader="none" w:pos="4320" w:val="left"/>
          <w:tab w:leader="none" w:pos="5380" w:val="left"/>
          <w:tab w:leader="none" w:pos="6060" w:val="left"/>
          <w:tab w:leader="none" w:pos="7100" w:val="left"/>
          <w:tab w:leader="none" w:pos="7980" w:val="left"/>
        </w:tabs>
        <w:rPr>
          <w:sz w:val="20"/>
          <w:szCs w:val="20"/>
          <w:color w:val="auto"/>
        </w:rPr>
      </w:pPr>
      <w:r>
        <w:rPr>
          <w:rFonts w:ascii="Courier New" w:cs="Courier New" w:eastAsia="Courier New" w:hAnsi="Courier New"/>
          <w:sz w:val="14"/>
          <w:szCs w:val="14"/>
          <w:color w:val="auto"/>
        </w:rPr>
        <w:t>Entity</w:t>
        <w:tab/>
        <w:t>Acquisition</w:t>
        <w:tab/>
        <w:t>Consid-</w:t>
      </w:r>
      <w:r>
        <w:rPr>
          <w:sz w:val="20"/>
          <w:szCs w:val="20"/>
          <w:color w:val="auto"/>
        </w:rPr>
        <w:tab/>
      </w:r>
      <w:r>
        <w:rPr>
          <w:rFonts w:ascii="Courier New" w:cs="Courier New" w:eastAsia="Courier New" w:hAnsi="Courier New"/>
          <w:sz w:val="14"/>
          <w:szCs w:val="14"/>
          <w:color w:val="auto"/>
        </w:rPr>
        <w:t>Other</w:t>
        <w:tab/>
        <w:t>Deferred</w:t>
      </w:r>
      <w:r>
        <w:rPr>
          <w:sz w:val="20"/>
          <w:szCs w:val="20"/>
          <w:color w:val="auto"/>
        </w:rPr>
        <w:tab/>
      </w:r>
      <w:r>
        <w:rPr>
          <w:rFonts w:ascii="Courier New" w:cs="Courier New" w:eastAsia="Courier New" w:hAnsi="Courier New"/>
          <w:sz w:val="14"/>
          <w:szCs w:val="14"/>
          <w:color w:val="auto"/>
        </w:rPr>
        <w:t>R&amp;D</w:t>
      </w:r>
      <w:r>
        <w:rPr>
          <w:sz w:val="20"/>
          <w:szCs w:val="20"/>
          <w:color w:val="auto"/>
        </w:rPr>
        <w:tab/>
      </w:r>
      <w:r>
        <w:rPr>
          <w:rFonts w:ascii="Courier New" w:cs="Courier New" w:eastAsia="Courier New" w:hAnsi="Courier New"/>
          <w:sz w:val="14"/>
          <w:szCs w:val="14"/>
          <w:color w:val="auto"/>
        </w:rPr>
        <w:t>Appraisal</w:t>
        <w:tab/>
        <w:t>R&amp;D</w:t>
      </w:r>
      <w:r>
        <w:rPr>
          <w:sz w:val="20"/>
          <w:szCs w:val="20"/>
          <w:color w:val="auto"/>
        </w:rPr>
        <w:tab/>
      </w:r>
      <w:r>
        <w:rPr>
          <w:rFonts w:ascii="Courier New" w:cs="Courier New" w:eastAsia="Courier New" w:hAnsi="Courier New"/>
          <w:sz w:val="14"/>
          <w:szCs w:val="14"/>
          <w:color w:val="auto"/>
        </w:rPr>
        <w:t>Discount -------------------- projected</w:t>
      </w:r>
    </w:p>
    <w:p>
      <w:pPr>
        <w:spacing w:after="0" w:line="8" w:lineRule="exact"/>
        <w:rPr>
          <w:sz w:val="20"/>
          <w:szCs w:val="20"/>
          <w:color w:val="auto"/>
        </w:rPr>
      </w:pPr>
    </w:p>
    <w:p>
      <w:pPr>
        <w:spacing w:after="0"/>
        <w:tabs>
          <w:tab w:leader="none" w:pos="1120" w:val="left"/>
          <w:tab w:leader="none" w:pos="1980" w:val="left"/>
          <w:tab w:leader="none" w:pos="2760" w:val="left"/>
          <w:tab w:leader="none" w:pos="3640" w:val="left"/>
          <w:tab w:leader="none" w:pos="4320" w:val="left"/>
          <w:tab w:leader="none" w:pos="5280" w:val="left"/>
          <w:tab w:leader="none" w:pos="6160" w:val="left"/>
          <w:tab w:leader="none" w:pos="7100" w:val="left"/>
          <w:tab w:leader="none" w:pos="8140" w:val="left"/>
          <w:tab w:leader="none" w:pos="8760" w:val="left"/>
          <w:tab w:leader="none" w:pos="10060" w:val="left"/>
          <w:tab w:leader="none" w:pos="10580" w:val="left"/>
        </w:tabs>
        <w:rPr>
          <w:sz w:val="20"/>
          <w:szCs w:val="20"/>
          <w:color w:val="auto"/>
        </w:rPr>
      </w:pP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eration</w:t>
        <w:tab/>
        <w:t>Goodwill</w:t>
        <w:tab/>
        <w:t>intan-</w:t>
        <w:tab/>
        <w:t>compen-</w:t>
      </w:r>
      <w:r>
        <w:rPr>
          <w:sz w:val="20"/>
          <w:szCs w:val="20"/>
          <w:color w:val="auto"/>
        </w:rPr>
        <w:tab/>
      </w:r>
      <w:r>
        <w:rPr>
          <w:rFonts w:ascii="Courier New" w:cs="Courier New" w:eastAsia="Courier New" w:hAnsi="Courier New"/>
          <w:sz w:val="14"/>
          <w:szCs w:val="14"/>
          <w:color w:val="auto"/>
        </w:rPr>
        <w:t>charge</w:t>
      </w:r>
      <w:r>
        <w:rPr>
          <w:sz w:val="20"/>
          <w:szCs w:val="20"/>
          <w:color w:val="auto"/>
        </w:rPr>
        <w:tab/>
      </w:r>
      <w:r>
        <w:rPr>
          <w:rFonts w:ascii="Courier New" w:cs="Courier New" w:eastAsia="Courier New" w:hAnsi="Courier New"/>
          <w:sz w:val="14"/>
          <w:szCs w:val="14"/>
          <w:color w:val="auto"/>
        </w:rPr>
        <w:t>method</w:t>
      </w:r>
      <w:r>
        <w:rPr>
          <w:sz w:val="20"/>
          <w:szCs w:val="20"/>
          <w:color w:val="auto"/>
        </w:rPr>
        <w:tab/>
      </w:r>
      <w:r>
        <w:rPr>
          <w:rFonts w:ascii="Courier New" w:cs="Courier New" w:eastAsia="Courier New" w:hAnsi="Courier New"/>
          <w:sz w:val="14"/>
          <w:szCs w:val="14"/>
          <w:color w:val="auto"/>
        </w:rPr>
        <w:t>focus</w:t>
      </w:r>
      <w:r>
        <w:rPr>
          <w:sz w:val="20"/>
          <w:szCs w:val="20"/>
          <w:color w:val="auto"/>
        </w:rPr>
        <w:tab/>
      </w:r>
      <w:r>
        <w:rPr>
          <w:rFonts w:ascii="Courier New" w:cs="Courier New" w:eastAsia="Courier New" w:hAnsi="Courier New"/>
          <w:sz w:val="14"/>
          <w:szCs w:val="14"/>
          <w:color w:val="auto"/>
        </w:rPr>
        <w:t>rate</w:t>
        <w:tab/>
        <w:t>At acquisi-</w:t>
      </w:r>
      <w:r>
        <w:rPr>
          <w:sz w:val="20"/>
          <w:szCs w:val="20"/>
          <w:color w:val="auto"/>
        </w:rPr>
        <w:tab/>
      </w:r>
      <w:r>
        <w:rPr>
          <w:rFonts w:ascii="Courier New" w:cs="Courier New" w:eastAsia="Courier New" w:hAnsi="Courier New"/>
          <w:sz w:val="14"/>
          <w:szCs w:val="14"/>
          <w:color w:val="auto"/>
        </w:rPr>
        <w:t>At</w:t>
      </w:r>
      <w:r>
        <w:rPr>
          <w:sz w:val="20"/>
          <w:szCs w:val="20"/>
          <w:color w:val="auto"/>
        </w:rPr>
        <w:tab/>
      </w:r>
      <w:r>
        <w:rPr>
          <w:rFonts w:ascii="Courier New" w:cs="Courier New" w:eastAsia="Courier New" w:hAnsi="Courier New"/>
          <w:sz w:val="14"/>
          <w:szCs w:val="14"/>
          <w:color w:val="auto"/>
        </w:rPr>
        <w:t>to begin</w:t>
      </w:r>
    </w:p>
    <w:p>
      <w:pPr>
        <w:spacing w:after="0" w:line="8" w:lineRule="exact"/>
        <w:rPr>
          <w:sz w:val="20"/>
          <w:szCs w:val="20"/>
          <w:color w:val="auto"/>
        </w:rPr>
      </w:pPr>
    </w:p>
    <w:p>
      <w:pPr>
        <w:ind w:left="3660"/>
        <w:spacing w:after="0"/>
        <w:tabs>
          <w:tab w:leader="none" w:pos="4320" w:val="left"/>
          <w:tab w:leader="none" w:pos="9020" w:val="left"/>
          <w:tab w:leader="none" w:pos="9700" w:val="left"/>
        </w:tabs>
        <w:rPr>
          <w:sz w:val="20"/>
          <w:szCs w:val="20"/>
          <w:color w:val="auto"/>
        </w:rPr>
      </w:pPr>
      <w:r>
        <w:rPr>
          <w:rFonts w:ascii="Courier New" w:cs="Courier New" w:eastAsia="Courier New" w:hAnsi="Courier New"/>
          <w:sz w:val="14"/>
          <w:szCs w:val="14"/>
          <w:color w:val="auto"/>
        </w:rPr>
        <w:t>gibles</w:t>
        <w:tab/>
        <w:t>sation</w:t>
      </w:r>
      <w:r>
        <w:rPr>
          <w:sz w:val="20"/>
          <w:szCs w:val="20"/>
          <w:color w:val="auto"/>
        </w:rPr>
        <w:tab/>
      </w:r>
      <w:r>
        <w:rPr>
          <w:rFonts w:ascii="Courier New" w:cs="Courier New" w:eastAsia="Courier New" w:hAnsi="Courier New"/>
          <w:sz w:val="14"/>
          <w:szCs w:val="14"/>
          <w:color w:val="auto"/>
        </w:rPr>
        <w:t>tion</w:t>
      </w:r>
      <w:r>
        <w:rPr>
          <w:sz w:val="20"/>
          <w:szCs w:val="20"/>
          <w:color w:val="auto"/>
        </w:rPr>
        <w:tab/>
      </w:r>
      <w:r>
        <w:rPr>
          <w:rFonts w:ascii="Courier New" w:cs="Courier New" w:eastAsia="Courier New" w:hAnsi="Courier New"/>
          <w:sz w:val="14"/>
          <w:szCs w:val="14"/>
          <w:color w:val="auto"/>
        </w:rPr>
        <w:t>June 2001</w:t>
      </w:r>
    </w:p>
    <w:p>
      <w:pPr>
        <w:spacing w:after="0" w:line="8" w:lineRule="exact"/>
        <w:rPr>
          <w:sz w:val="20"/>
          <w:szCs w:val="20"/>
          <w:color w:val="auto"/>
        </w:rPr>
      </w:pPr>
    </w:p>
    <w:p>
      <w:pPr>
        <w:spacing w:after="0"/>
        <w:tabs>
          <w:tab w:leader="none" w:pos="3800" w:val="left"/>
          <w:tab w:leader="none" w:pos="4500" w:val="left"/>
          <w:tab w:leader="none" w:pos="5380" w:val="left"/>
          <w:tab w:leader="none" w:pos="6240" w:val="left"/>
          <w:tab w:leader="none" w:pos="7200" w:val="left"/>
          <w:tab w:leader="none" w:pos="8140" w:val="left"/>
          <w:tab w:leader="none" w:pos="10840" w:val="left"/>
        </w:tabs>
        <w:rPr>
          <w:sz w:val="20"/>
          <w:szCs w:val="20"/>
          <w:color w:val="auto"/>
        </w:rPr>
      </w:pPr>
      <w:r>
        <w:rPr>
          <w:rFonts w:ascii="Courier New" w:cs="Courier New" w:eastAsia="Courier New" w:hAnsi="Courier New"/>
          <w:sz w:val="14"/>
          <w:szCs w:val="14"/>
          <w:color w:val="auto"/>
        </w:rPr>
        <w:t>- --------- ----------- --------- --------</w:t>
        <w:tab/>
        <w:t>------</w:t>
        <w:tab/>
        <w:t>--------</w:t>
        <w:tab/>
        <w:t>--------</w:t>
        <w:tab/>
        <w:t>---------</w:t>
        <w:tab/>
        <w:t>---------</w:t>
        <w:tab/>
        <w:t>-------- ---------- ---------</w:t>
        <w:tab/>
        <w:t>--------</w:t>
      </w:r>
    </w:p>
    <w:p>
      <w:pPr>
        <w:sectPr>
          <w:pgSz w:w="11900" w:h="16838" w:orient="portrait"/>
          <w:cols w:equalWidth="0" w:num="1">
            <w:col w:w="11540"/>
          </w:cols>
          <w:pgMar w:left="220" w:top="954" w:right="139" w:bottom="1440" w:gutter="0" w:footer="0" w:header="0"/>
        </w:sectPr>
      </w:pPr>
    </w:p>
    <w:p>
      <w:pPr>
        <w:spacing w:after="0" w:line="175" w:lineRule="exact"/>
        <w:rPr>
          <w:sz w:val="20"/>
          <w:szCs w:val="20"/>
          <w:color w:val="auto"/>
        </w:rPr>
      </w:pPr>
    </w:p>
    <w:p>
      <w:pPr>
        <w:ind w:left="100" w:hanging="86"/>
        <w:spacing w:after="0" w:line="252" w:lineRule="auto"/>
        <w:rPr>
          <w:sz w:val="20"/>
          <w:szCs w:val="20"/>
          <w:color w:val="auto"/>
        </w:rPr>
      </w:pPr>
      <w:r>
        <w:rPr>
          <w:rFonts w:ascii="Courier New" w:cs="Courier New" w:eastAsia="Courier New" w:hAnsi="Courier New"/>
          <w:sz w:val="14"/>
          <w:szCs w:val="14"/>
          <w:color w:val="auto"/>
        </w:rPr>
        <w:t>Alantro</w:t>
      </w:r>
      <w:r>
        <w:rPr>
          <w:sz w:val="20"/>
          <w:szCs w:val="20"/>
          <w:color w:val="auto"/>
        </w:rPr>
        <w:t xml:space="preserve"> </w:t>
      </w:r>
      <w:r>
        <w:rPr>
          <w:rFonts w:ascii="Courier New" w:cs="Courier New" w:eastAsia="Courier New" w:hAnsi="Courier New"/>
          <w:sz w:val="14"/>
          <w:szCs w:val="14"/>
          <w:color w:val="auto"/>
        </w:rPr>
        <w:t>Third Commun- quarter ications, 2000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$ 52</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Exclusion Wireless approach networking technology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engineer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$3.1/130 engineer months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2002</w:t>
      </w:r>
    </w:p>
    <w:p>
      <w:pPr>
        <w:spacing w:after="0" w:line="341" w:lineRule="exact"/>
        <w:rPr>
          <w:sz w:val="20"/>
          <w:szCs w:val="20"/>
          <w:color w:val="auto"/>
        </w:rPr>
      </w:pPr>
    </w:p>
    <w:p>
      <w:pPr>
        <w:sectPr>
          <w:pgSz w:w="11900" w:h="16838" w:orient="portrait"/>
          <w:cols w:equalWidth="0" w:num="11">
            <w:col w:w="1660" w:space="340"/>
            <w:col w:w="360" w:space="520"/>
            <w:col w:w="340" w:space="440"/>
            <w:col w:w="340" w:space="340"/>
            <w:col w:w="360" w:space="600"/>
            <w:col w:w="360" w:space="420"/>
            <w:col w:w="1820" w:space="260"/>
            <w:col w:w="260" w:space="440"/>
            <w:col w:w="700" w:space="260"/>
            <w:col w:w="700" w:space="340"/>
            <w:col w:w="680"/>
          </w:cols>
          <w:pgMar w:left="220" w:top="954" w:right="139"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 home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months</w:t>
      </w:r>
    </w:p>
    <w:p>
      <w:pPr>
        <w:spacing w:after="0" w:line="8" w:lineRule="exact"/>
        <w:rPr>
          <w:sz w:val="20"/>
          <w:szCs w:val="20"/>
          <w:color w:val="auto"/>
        </w:rPr>
      </w:pPr>
    </w:p>
    <w:p>
      <w:pPr>
        <w:sectPr>
          <w:pgSz w:w="11900" w:h="16838" w:orient="portrait"/>
          <w:cols w:equalWidth="0" w:num="3">
            <w:col w:w="6320" w:space="720"/>
            <w:col w:w="1100" w:space="720"/>
            <w:col w:w="2680"/>
          </w:cols>
          <w:pgMar w:left="220" w:top="954" w:right="139" w:bottom="1440" w:gutter="0" w:footer="0" w:header="0"/>
          <w:type w:val="continuous"/>
        </w:sectPr>
      </w:pPr>
    </w:p>
    <w:p>
      <w:pPr>
        <w:ind w:left="7040"/>
        <w:spacing w:after="0"/>
        <w:rPr>
          <w:sz w:val="20"/>
          <w:szCs w:val="20"/>
          <w:color w:val="auto"/>
        </w:rPr>
      </w:pPr>
      <w:r>
        <w:rPr>
          <w:rFonts w:ascii="Courier New" w:cs="Courier New" w:eastAsia="Courier New" w:hAnsi="Courier New"/>
          <w:sz w:val="14"/>
          <w:szCs w:val="14"/>
          <w:color w:val="auto"/>
        </w:rPr>
        <w:t>and office</w:t>
      </w:r>
    </w:p>
    <w:p>
      <w:pPr>
        <w:spacing w:after="0" w:line="200" w:lineRule="exact"/>
        <w:rPr>
          <w:sz w:val="20"/>
          <w:szCs w:val="20"/>
          <w:color w:val="auto"/>
        </w:rPr>
      </w:pPr>
    </w:p>
    <w:p>
      <w:pPr>
        <w:spacing w:after="0" w:line="30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540"/>
          </w:cols>
          <w:pgMar w:left="220" w:top="954" w:right="1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Year of Charge</w:t>
            </w: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40" w:type="dxa"/>
            <w:vAlign w:val="bottom"/>
            <w:gridSpan w:val="8"/>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2000</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Balance, prior</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Voluntary/</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SC</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SC</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actions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primarily</w:t>
            </w:r>
          </w:p>
        </w:tc>
        <w:tc>
          <w:tcPr>
            <w:tcW w:w="7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S&amp;C</w:t>
            </w:r>
          </w:p>
        </w:tc>
        <w:tc>
          <w:tcPr>
            <w:tcW w:w="13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SC and S&amp;C</w:t>
            </w:r>
          </w:p>
        </w:tc>
        <w:tc>
          <w:tcPr>
            <w:tcW w:w="8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E&amp;PS</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involuntary</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site</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international</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severance and business</w:t>
            </w:r>
          </w:p>
        </w:tc>
        <w:tc>
          <w:tcPr>
            <w:tcW w:w="7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site</w:t>
            </w:r>
          </w:p>
        </w:tc>
        <w:tc>
          <w:tcPr>
            <w:tcW w:w="13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restructuring</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severance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program</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closings</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restructuring</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Description*</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Total</w:t>
            </w:r>
          </w:p>
        </w:tc>
        <w:tc>
          <w:tcPr>
            <w:tcW w:w="20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divestiture related</w:t>
            </w:r>
          </w:p>
        </w:tc>
        <w:tc>
          <w:tcPr>
            <w:tcW w:w="780" w:type="dxa"/>
            <w:vAlign w:val="bottom"/>
          </w:tcPr>
          <w:p>
            <w:pPr>
              <w:jc w:val="right"/>
              <w:ind w:right="90"/>
              <w:spacing w:after="0"/>
              <w:rPr>
                <w:sz w:val="20"/>
                <w:szCs w:val="20"/>
                <w:color w:val="auto"/>
              </w:rPr>
            </w:pPr>
            <w:r>
              <w:rPr>
                <w:rFonts w:ascii="Courier New" w:cs="Courier New" w:eastAsia="Courier New" w:hAnsi="Courier New"/>
                <w:sz w:val="14"/>
                <w:szCs w:val="14"/>
                <w:color w:val="auto"/>
              </w:rPr>
              <w:t>closing</w:t>
            </w:r>
          </w:p>
        </w:tc>
        <w:tc>
          <w:tcPr>
            <w:tcW w:w="13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actions</w:t>
            </w:r>
          </w:p>
        </w:tc>
        <w:tc>
          <w:tcPr>
            <w:tcW w:w="8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action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 U.S.</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in U.S.</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actions</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BALANCE, DECEMBER 31, 2000...</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$ 70</w:t>
            </w:r>
          </w:p>
        </w:tc>
        <w:tc>
          <w:tcPr>
            <w:tcW w:w="700" w:type="dxa"/>
            <w:vAlign w:val="bottom"/>
          </w:tcPr>
          <w:p>
            <w:pPr>
              <w:spacing w:after="0"/>
              <w:rPr>
                <w:sz w:val="24"/>
                <w:szCs w:val="2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$ 46</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$ 11</w:t>
            </w:r>
          </w:p>
        </w:tc>
        <w:tc>
          <w:tcPr>
            <w:tcW w:w="1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$ 10</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CHARGES: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Severance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$ 11</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$ 16</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$ 16</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Asset write-downs............</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Various charges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spacing w:after="0"/>
              <w:rPr>
                <w:sz w:val="14"/>
                <w:szCs w:val="14"/>
                <w:color w:val="auto"/>
              </w:rPr>
            </w:pP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DISPOSITIONS: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Change in estimates..........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Non-cash write-down of assets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Severance payments ..........</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spacing w:after="0"/>
              <w:rPr>
                <w:sz w:val="14"/>
                <w:szCs w:val="14"/>
                <w:color w:val="auto"/>
              </w:rPr>
            </w:pP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w:t>
            </w:r>
          </w:p>
        </w:tc>
        <w:tc>
          <w:tcPr>
            <w:tcW w:w="3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BALANCE, March 31, 2001</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spacing w:after="0"/>
              <w:rPr>
                <w:sz w:val="24"/>
                <w:szCs w:val="2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$ 44</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$ 10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$ 11</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$ 19</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$ 14</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CHARGES: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Severance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$ 90</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$ 68</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Asset write-downs............</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Various charges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Pension settlement ..........</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w:t>
            </w:r>
          </w:p>
        </w:tc>
        <w:tc>
          <w:tcPr>
            <w:tcW w:w="92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DISPOSITIONS: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Change in estimates..........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Non-cash write-down of assets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w:t>
            </w:r>
          </w:p>
        </w:tc>
        <w:tc>
          <w:tcPr>
            <w:tcW w:w="1280" w:type="dxa"/>
            <w:vAlign w:val="bottom"/>
          </w:tcPr>
          <w:p>
            <w:pPr>
              <w:spacing w:after="0"/>
              <w:rPr>
                <w:sz w:val="14"/>
                <w:szCs w:val="14"/>
                <w:color w:val="auto"/>
              </w:rPr>
            </w:pP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Pension payments.............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w:t>
            </w:r>
          </w:p>
        </w:tc>
        <w:tc>
          <w:tcPr>
            <w:tcW w:w="92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w:t>
            </w:r>
          </w:p>
        </w:tc>
      </w:tr>
      <w:tr>
        <w:trPr>
          <w:trHeight w:val="167"/>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Severance payments ..........</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c>
          <w:tcPr>
            <w:tcW w:w="700" w:type="dxa"/>
            <w:vAlign w:val="bottom"/>
          </w:tcPr>
          <w:p>
            <w:pPr>
              <w:spacing w:after="0"/>
              <w:rPr>
                <w:sz w:val="14"/>
                <w:szCs w:val="14"/>
                <w:color w:val="auto"/>
              </w:rPr>
            </w:pPr>
          </w:p>
        </w:tc>
        <w:tc>
          <w:tcPr>
            <w:tcW w:w="13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(4)</w:t>
            </w:r>
          </w:p>
        </w:tc>
        <w:tc>
          <w:tcPr>
            <w:tcW w:w="44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320" w:type="dxa"/>
            <w:vAlign w:val="bottom"/>
          </w:tcPr>
          <w:p>
            <w:pPr>
              <w:spacing w:after="0"/>
              <w:rPr>
                <w:sz w:val="14"/>
                <w:szCs w:val="14"/>
                <w:color w:val="auto"/>
              </w:rPr>
            </w:pP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BALANCE, June 30, 2001</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w:t>
            </w:r>
          </w:p>
        </w:tc>
        <w:tc>
          <w:tcPr>
            <w:tcW w:w="700" w:type="dxa"/>
            <w:vAlign w:val="bottom"/>
          </w:tcPr>
          <w:p>
            <w:pPr>
              <w:spacing w:after="0"/>
              <w:rPr>
                <w:sz w:val="24"/>
                <w:szCs w:val="2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$ 39</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  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$ 57</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$ 35</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$ 70</w:t>
            </w:r>
          </w:p>
        </w:tc>
      </w:tr>
      <w:tr>
        <w:trPr>
          <w:trHeight w:val="167"/>
        </w:trPr>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13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35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2620" w:type="dxa"/>
            <w:vAlign w:val="bottom"/>
            <w:gridSpan w:val="2"/>
          </w:tcPr>
          <w:p>
            <w:pPr>
              <w:spacing w:after="0"/>
              <w:rPr>
                <w:sz w:val="20"/>
                <w:szCs w:val="20"/>
                <w:color w:val="auto"/>
              </w:rPr>
            </w:pPr>
            <w:r>
              <w:rPr>
                <w:rFonts w:ascii="Courier New" w:cs="Courier New" w:eastAsia="Courier New" w:hAnsi="Courier New"/>
                <w:sz w:val="14"/>
                <w:szCs w:val="14"/>
                <w:color w:val="auto"/>
              </w:rPr>
              <w:t>*Abbreviations</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SC</w:t>
            </w:r>
          </w:p>
        </w:tc>
        <w:tc>
          <w:tcPr>
            <w:tcW w:w="2100" w:type="dxa"/>
            <w:vAlign w:val="bottom"/>
          </w:tcPr>
          <w:p>
            <w:pPr>
              <w:spacing w:after="0"/>
              <w:rPr>
                <w:sz w:val="20"/>
                <w:szCs w:val="20"/>
                <w:color w:val="auto"/>
              </w:rPr>
            </w:pPr>
            <w:r>
              <w:rPr>
                <w:rFonts w:ascii="Courier New" w:cs="Courier New" w:eastAsia="Courier New" w:hAnsi="Courier New"/>
                <w:sz w:val="14"/>
                <w:szCs w:val="14"/>
                <w:color w:val="auto"/>
              </w:rPr>
              <w:t>= Semiconductor Business</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S&amp;C</w:t>
            </w:r>
          </w:p>
        </w:tc>
        <w:tc>
          <w:tcPr>
            <w:tcW w:w="2700" w:type="dxa"/>
            <w:vAlign w:val="bottom"/>
            <w:gridSpan w:val="2"/>
          </w:tcPr>
          <w:p>
            <w:pPr>
              <w:spacing w:after="0"/>
              <w:rPr>
                <w:sz w:val="20"/>
                <w:szCs w:val="20"/>
                <w:color w:val="auto"/>
              </w:rPr>
            </w:pPr>
            <w:r>
              <w:rPr>
                <w:rFonts w:ascii="Courier New" w:cs="Courier New" w:eastAsia="Courier New" w:hAnsi="Courier New"/>
                <w:sz w:val="14"/>
                <w:szCs w:val="14"/>
                <w:color w:val="auto"/>
              </w:rPr>
              <w:t>= Sensors &amp; Controls Business</w:t>
            </w:r>
          </w:p>
        </w:tc>
        <w:tc>
          <w:tcPr>
            <w:tcW w:w="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7"/>
        </w:trPr>
        <w:tc>
          <w:tcPr>
            <w:tcW w:w="520" w:type="dxa"/>
            <w:vAlign w:val="bottom"/>
          </w:tcPr>
          <w:p>
            <w:pPr>
              <w:spacing w:after="0"/>
              <w:rPr>
                <w:sz w:val="20"/>
                <w:szCs w:val="20"/>
                <w:color w:val="auto"/>
              </w:rPr>
            </w:pPr>
            <w:r>
              <w:rPr>
                <w:rFonts w:ascii="Courier New" w:cs="Courier New" w:eastAsia="Courier New" w:hAnsi="Courier New"/>
                <w:sz w:val="14"/>
                <w:szCs w:val="14"/>
                <w:color w:val="auto"/>
              </w:rPr>
              <w:t>E&amp;PS</w:t>
            </w:r>
          </w:p>
        </w:tc>
        <w:tc>
          <w:tcPr>
            <w:tcW w:w="3400" w:type="dxa"/>
            <w:vAlign w:val="bottom"/>
            <w:gridSpan w:val="3"/>
          </w:tcPr>
          <w:p>
            <w:pPr>
              <w:spacing w:after="0"/>
              <w:rPr>
                <w:sz w:val="20"/>
                <w:szCs w:val="20"/>
                <w:color w:val="auto"/>
              </w:rPr>
            </w:pPr>
            <w:r>
              <w:rPr>
                <w:rFonts w:ascii="Courier New" w:cs="Courier New" w:eastAsia="Courier New" w:hAnsi="Courier New"/>
                <w:sz w:val="14"/>
                <w:szCs w:val="14"/>
                <w:color w:val="auto"/>
              </w:rPr>
              <w:t>= Educational &amp; Productivity Solutions</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68"/>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10</w:t>
            </w: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40"/>
          </w:cols>
          <w:pgMar w:left="220" w:top="787" w:right="139" w:bottom="1440" w:gutter="0" w:footer="0" w:header="0"/>
        </w:sectPr>
      </w:pPr>
    </w:p>
    <w:bookmarkStart w:id="10" w:name="page11"/>
    <w:bookmarkEnd w:id="10"/>
    <w:p>
      <w:pPr>
        <w:ind w:right="3279"/>
        <w:spacing w:after="0" w:line="258" w:lineRule="auto"/>
        <w:rPr>
          <w:sz w:val="20"/>
          <w:szCs w:val="20"/>
          <w:color w:val="auto"/>
        </w:rPr>
      </w:pPr>
      <w:r>
        <w:rPr>
          <w:rFonts w:ascii="Courier New" w:cs="Courier New" w:eastAsia="Courier New" w:hAnsi="Courier New"/>
          <w:sz w:val="14"/>
          <w:szCs w:val="14"/>
          <w:color w:val="auto"/>
        </w:rPr>
        <w:t>ITEM 2. Management's Discussion and Analysis of Financial Condition and Results of Operations.</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Registrant (the "company" or "TI") announced second-quarter financial results that show the company's second-quarter revenue was $2037 million, down 19 percent from first quarter and consistent with the company's outlook issued in April for a decline of about 20 percent. Orders declined 10 percent sequentially to $1704 million. The company's second quarter results were affected by continued weakness in electronic end-equipment markets and excess customer inventories, which reduced demand for its Semiconductor products. Although the downturn is not over, the company now sees some signs of stabilization. The rate of sequential decline for the company's Semiconductor orders has slowed and it appears that its Semiconductor revenue is nearing a bottom.</w:t>
      </w:r>
    </w:p>
    <w:p>
      <w:pPr>
        <w:spacing w:after="0" w:line="16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Implementation of the company's previously announced cost-reduction measures lowered expenses, especially in manufacturing and support functions. Manufacturing has reduced headcount about 15 percent compared with the year-ago period, mostly in labor-intensive assembly and test operations, and additional savings will be realized as certain facilities complete their shutdown process.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FINANCIAL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second quarter of 2001, TI reported the following:</w:t>
      </w:r>
    </w:p>
    <w:p>
      <w:pPr>
        <w:spacing w:after="0" w:line="175" w:lineRule="exact"/>
        <w:rPr>
          <w:sz w:val="20"/>
          <w:szCs w:val="20"/>
          <w:color w:val="auto"/>
        </w:rPr>
      </w:pPr>
    </w:p>
    <w:p>
      <w:pPr>
        <w:ind w:left="880" w:right="337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revenue for TI was $2037 million, down 31 percent from $2932 million in the year-ago quarter, and down 19 percent sequentially due to weakness in Semiconductor.</w:t>
      </w:r>
    </w:p>
    <w:p>
      <w:pPr>
        <w:spacing w:after="0" w:line="162"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revenues in the second quarter was $1523 million, compared with $1486 million in the year-ago quarter. Cost of revenues increased primarily due to severance charges resulting from restructuring activities.</w:t>
      </w:r>
    </w:p>
    <w:p>
      <w:pPr>
        <w:spacing w:after="0" w:line="163"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(R&amp;D) totaled $412 million, up from $387 million in the second quarter of 2000 primarily due to amortization of acquisition-related intangibles as well as severance charges.</w:t>
      </w:r>
    </w:p>
    <w:p>
      <w:pPr>
        <w:spacing w:after="0" w:line="162"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in the quarter was $400 million, down from $414 million in the year-ago quarter as savings from reduced profit sharing and bonus accruals and from cost-reduction actions were substantially offset by severance charges resulting from restructuring activities.</w:t>
      </w:r>
    </w:p>
    <w:p>
      <w:pPr>
        <w:spacing w:after="0" w:line="162"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 net decreased from $1346 million in the second quarter of 2000 to $57 million in the second quarter of 2001, primarily due to decreased net investment gains. In the second quarter of 2000, TI realized a gain of $1211 million on the sale of Micron common stock.</w:t>
      </w:r>
    </w:p>
    <w:p>
      <w:pPr>
        <w:spacing w:after="0" w:line="330"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income tax rate for the quarter was 23 percent.</w:t>
      </w:r>
    </w:p>
    <w:p>
      <w:pPr>
        <w:spacing w:after="0" w:line="175" w:lineRule="exact"/>
        <w:rPr>
          <w:rFonts w:ascii="Courier New" w:cs="Courier New" w:eastAsia="Courier New" w:hAnsi="Courier New"/>
          <w:sz w:val="14"/>
          <w:szCs w:val="14"/>
          <w:color w:val="auto"/>
        </w:rPr>
      </w:pPr>
    </w:p>
    <w:p>
      <w:pPr>
        <w:ind w:left="880" w:right="3279" w:hanging="437"/>
        <w:spacing w:after="0" w:line="255"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orders in the second quarter were $1704 million, down from $3355 million in the year-ago quarter and $1898 million in the first quarter due to weakness in Semiconductor.</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Results for the second quarter of 2001 include net special charges of $252 million, of which $214 million is severance cost for a worldwide cost-reduction program and $35 million relates to the restructuring charges for the closing of three Semiconductor facilities (Merrimack, New Hampshire; Tustin, California; and Santa Cruz, California). In addition, TI recorded a $68 million increase to</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3" w:right="1440" w:bottom="1440" w:gutter="0" w:footer="0" w:header="0"/>
        </w:sectPr>
      </w:pPr>
    </w:p>
    <w:bookmarkStart w:id="11" w:name="page12"/>
    <w:bookmarkEnd w:id="11"/>
    <w:p>
      <w:pPr>
        <w:ind w:right="3379"/>
        <w:spacing w:after="0" w:line="255" w:lineRule="auto"/>
        <w:rPr>
          <w:sz w:val="20"/>
          <w:szCs w:val="20"/>
          <w:color w:val="auto"/>
        </w:rPr>
      </w:pPr>
      <w:r>
        <w:rPr>
          <w:rFonts w:ascii="Courier New" w:cs="Courier New" w:eastAsia="Courier New" w:hAnsi="Courier New"/>
          <w:sz w:val="14"/>
          <w:szCs w:val="14"/>
          <w:color w:val="auto"/>
        </w:rPr>
        <w:t>the income tax provision to adjust to the expected tax rate for the year. Also included is amortization of goodwill and other acquisition-related intangibles of $58 million.</w:t>
      </w:r>
    </w:p>
    <w:p>
      <w:pPr>
        <w:spacing w:after="0" w:line="162" w:lineRule="exact"/>
        <w:rPr>
          <w:sz w:val="20"/>
          <w:szCs w:val="20"/>
          <w:color w:val="auto"/>
        </w:rPr>
      </w:pPr>
    </w:p>
    <w:p>
      <w:pPr>
        <w:ind w:right="3799"/>
        <w:spacing w:after="0" w:line="253" w:lineRule="auto"/>
        <w:rPr>
          <w:sz w:val="20"/>
          <w:szCs w:val="20"/>
          <w:color w:val="auto"/>
        </w:rPr>
      </w:pPr>
      <w:r>
        <w:rPr>
          <w:rFonts w:ascii="Courier New" w:cs="Courier New" w:eastAsia="Courier New" w:hAnsi="Courier New"/>
          <w:sz w:val="14"/>
          <w:szCs w:val="14"/>
          <w:color w:val="auto"/>
        </w:rPr>
        <w:t>For the first quarter of 2001, results include net special charges of $50 million, of which $11 million is severance cost for first-quarter employee acceptances under the U.S. voluntary retirement program, $16 million is severance cost for restructuring actions in international Semiconductor locations, and $25 million relates to the closing of a Semiconductor manufacturing facility in Santa Cruz, California. Also included is amortization of goodwill and other acquisition-related intangibles of $59 million.</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For the second quarter of 2000, results include an investment gain of $1211 million in other income from the sale of 20 million shares of Micron common stock. Also included is amortization of goodwill and other acquisition-related intangibles of $25 million.</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For the first quarter of 2000, results include special charges of $29 million associated with actions including the closing of the Sensors &amp; Controls manufacturing facility in Versailles, Kentucky, and TI's acquisition of Toccata Technology ApS. Also included is amortization of goodwill and other acquisition-related intangibles of $25 million.</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Additional information relating to these items appears below under the heading "Special Charges and Gains."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Third-quarter revenue is expected to decline 10 to 15 percent sequentially as many of TI's Semiconductor customers continue to reduce inventories in an environment of weak demand for their own products.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Specifically, TI expects the following for the third quarter:</w:t>
      </w:r>
    </w:p>
    <w:p>
      <w:pPr>
        <w:spacing w:after="0" w:line="175" w:lineRule="exact"/>
        <w:rPr>
          <w:sz w:val="20"/>
          <w:szCs w:val="20"/>
          <w:color w:val="auto"/>
        </w:rPr>
      </w:pPr>
    </w:p>
    <w:p>
      <w:pPr>
        <w:ind w:left="440" w:right="327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Semiconductor, wireless revenue will increase slightly from the second quarter but will be more than offset by declines in other products.</w:t>
      </w:r>
    </w:p>
    <w:p>
      <w:pPr>
        <w:spacing w:after="0" w:line="159" w:lineRule="exact"/>
        <w:rPr>
          <w:rFonts w:ascii="Courier New" w:cs="Courier New" w:eastAsia="Courier New" w:hAnsi="Courier New"/>
          <w:sz w:val="14"/>
          <w:szCs w:val="14"/>
          <w:color w:val="auto"/>
        </w:rPr>
      </w:pPr>
    </w:p>
    <w:p>
      <w:pPr>
        <w:ind w:left="440" w:right="3279" w:hanging="431"/>
        <w:spacing w:after="0" w:line="255"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-Non-Semiconductor revenue will increase sequentially as seasonal declines in Sensors &amp; Controls are more than offset by a seasonal increase in sales of educational calculators for Educational &amp; Productivity Solutions.</w:t>
      </w:r>
    </w:p>
    <w:p>
      <w:pPr>
        <w:spacing w:after="0" w:line="162" w:lineRule="exact"/>
        <w:rPr>
          <w:rFonts w:ascii="Courier New" w:cs="Courier New" w:eastAsia="Courier New" w:hAnsi="Courier New"/>
          <w:sz w:val="14"/>
          <w:szCs w:val="14"/>
          <w:color w:val="auto"/>
        </w:rPr>
      </w:pPr>
    </w:p>
    <w:p>
      <w:pPr>
        <w:ind w:left="440" w:right="3639" w:hanging="431"/>
        <w:spacing w:after="0" w:line="255"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margin will decline sequentially about 10 points before the effect of special charges and amortization of acquisition-related intangibles as a result of lower revenue.</w:t>
      </w:r>
    </w:p>
    <w:p>
      <w:pPr>
        <w:spacing w:after="0" w:line="162" w:lineRule="exact"/>
        <w:rPr>
          <w:rFonts w:ascii="Courier New" w:cs="Courier New" w:eastAsia="Courier New" w:hAnsi="Courier New"/>
          <w:sz w:val="14"/>
          <w:szCs w:val="14"/>
          <w:color w:val="auto"/>
        </w:rPr>
      </w:pPr>
    </w:p>
    <w:p>
      <w:pPr>
        <w:ind w:left="440" w:right="363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-Non-operating income will decline to about $20 million due to reduced interest income.</w:t>
      </w:r>
    </w:p>
    <w:p>
      <w:pPr>
        <w:spacing w:after="0" w:line="159" w:lineRule="exact"/>
        <w:rPr>
          <w:rFonts w:ascii="Courier New" w:cs="Courier New" w:eastAsia="Courier New" w:hAnsi="Courier New"/>
          <w:sz w:val="14"/>
          <w:szCs w:val="14"/>
          <w:color w:val="auto"/>
        </w:rPr>
      </w:pPr>
    </w:p>
    <w:p>
      <w:pPr>
        <w:ind w:left="440" w:right="3199" w:hanging="431"/>
        <w:spacing w:after="0" w:line="258" w:lineRule="auto"/>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will decline to a loss of a few cents before the effect of special charges and amortization of acquisition-related intangibles.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2001, TI expects the following:</w:t>
      </w:r>
    </w:p>
    <w:p>
      <w:pPr>
        <w:spacing w:after="0" w:line="175" w:lineRule="exact"/>
        <w:rPr>
          <w:sz w:val="20"/>
          <w:szCs w:val="20"/>
          <w:color w:val="auto"/>
        </w:rPr>
      </w:pPr>
    </w:p>
    <w:p>
      <w:pPr>
        <w:ind w:left="440" w:right="3459" w:hanging="431"/>
        <w:spacing w:after="0" w:line="255" w:lineRule="auto"/>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-R&amp;D of $1.6 billion, excluding acquisition-related amortization and purchased in-process R&amp;D, unchanged from the company's prior estimate and even with last year.</w:t>
      </w:r>
    </w:p>
    <w:p>
      <w:pPr>
        <w:spacing w:after="0" w:line="162" w:lineRule="exact"/>
        <w:rPr>
          <w:rFonts w:ascii="Courier New" w:cs="Courier New" w:eastAsia="Courier New" w:hAnsi="Courier New"/>
          <w:sz w:val="14"/>
          <w:szCs w:val="14"/>
          <w:color w:val="auto"/>
        </w:rPr>
      </w:pPr>
    </w:p>
    <w:p>
      <w:pPr>
        <w:ind w:left="440" w:right="3119" w:hanging="431"/>
        <w:spacing w:after="0" w:line="258" w:lineRule="auto"/>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of $1.8 billion, unchanged from the prior estimate and down 35 percent from last year.</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-Depreciation of $1.6 billion, up 30 percent from last year.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SEMICONDUCTOR</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Semiconductor revenue in the second quarter was $1657 million, down from $2511 million in the same period of 2000 and $2176 million in the first quarter due to broad-based weakness in demand.</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As a result of lower revenue, Semiconductor had a $37 million operating loss, compared with an operating profit of $634 million in the year-ago period and $304 million in the first quarter.</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Analog revenue was down 28 percent from the year-ago period and 24 percent sequentially due to lower shipments across a breadth of products. DSP revenue decreased 41 percent from the year-ago quarter and 17 percent sequentially due to lower shipments primarily in wireless and catalog products. Analog and DSP comprised about 65 percent of TI's Semiconductor revenue.</w:t>
      </w:r>
    </w:p>
    <w:p>
      <w:pPr>
        <w:spacing w:after="0" w:line="162"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TI's remaining Semiconductor revenue decreased from the year-ago quarter and sequentially.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TI's Semiconductor revenue in key markets was as follows:</w:t>
      </w:r>
    </w:p>
    <w:p>
      <w:pPr>
        <w:spacing w:after="0" w:line="175" w:lineRule="exact"/>
        <w:rPr>
          <w:sz w:val="20"/>
          <w:szCs w:val="20"/>
          <w:color w:val="auto"/>
        </w:rPr>
      </w:pPr>
    </w:p>
    <w:p>
      <w:pPr>
        <w:ind w:left="440" w:right="3119" w:hanging="431"/>
        <w:spacing w:after="0" w:line="258" w:lineRule="auto"/>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-Wireless revenue declined 49 percent compared with the year-ago quarter and 21 percent sequentially.</w:t>
      </w:r>
    </w:p>
    <w:p>
      <w:pPr>
        <w:spacing w:after="0" w:line="159" w:lineRule="exact"/>
        <w:rPr>
          <w:rFonts w:ascii="Courier New" w:cs="Courier New" w:eastAsia="Courier New" w:hAnsi="Courier New"/>
          <w:sz w:val="14"/>
          <w:szCs w:val="14"/>
          <w:color w:val="auto"/>
        </w:rPr>
      </w:pPr>
    </w:p>
    <w:p>
      <w:pPr>
        <w:ind w:left="440" w:right="3119" w:hanging="431"/>
        <w:spacing w:after="0" w:line="255" w:lineRule="auto"/>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from TI's catalog products, which includes DSP and high-performance Analog, declined 36 percent from the year-ago quarter and 29 percent sequentially.</w:t>
      </w:r>
    </w:p>
    <w:p>
      <w:pPr>
        <w:spacing w:after="0" w:line="162" w:lineRule="exact"/>
        <w:rPr>
          <w:rFonts w:ascii="Courier New" w:cs="Courier New" w:eastAsia="Courier New" w:hAnsi="Courier New"/>
          <w:sz w:val="14"/>
          <w:szCs w:val="14"/>
          <w:color w:val="auto"/>
        </w:rPr>
      </w:pPr>
    </w:p>
    <w:p>
      <w:pPr>
        <w:ind w:left="440" w:right="3379" w:hanging="431"/>
        <w:spacing w:after="0" w:line="255" w:lineRule="auto"/>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-Broadband communications revenue, which includes digital subscriber line (DSL) and cable modems, quadrupled compared with the year-ago quarter and was even with the first quarter.</w:t>
      </w:r>
    </w:p>
    <w:p>
      <w:pPr>
        <w:spacing w:after="0" w:line="162"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Semiconductor orders were $1321 million, down 55 percent from the year-ago quarter and 12 percent sequentially. Orders decreased across most product areas, although wireless increased sequentially.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SENSORS &amp; CONTROLS</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Sensors &amp; Controls revenue was $257 million, down 5 percent from the year-ago quarter due to lower shipments in control products and about even with the first quarter.</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Operating profit was $52 million, or 20.2 percent of revenue, down from $54 million in the year-ago quarter due to lower revenue. Operating profit was $51 million in the first quarter.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EDUCATIONAL &amp; PRODUCTIVITY SOLUTIONS (E&amp;PS)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E&amp;PS revenue was $129 million, compared with $125 million in the year-ago quarter. Sequentially, revenue increased $48 million due to retail stocking for back-to-school sales.</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Operating profit was $38 million, or 29.2 percent of revenue, compared with $33 million in the year-ago quarter. Operating profit more than doubled from the first quarter due to the seasonal increase in revenue.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HALF 2001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first six months of 2001, TI reported the following:</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3" w:right="1440" w:bottom="1440" w:gutter="0" w:footer="0" w:header="0"/>
        </w:sectPr>
      </w:pPr>
    </w:p>
    <w:bookmarkStart w:id="13" w:name="page14"/>
    <w:bookmarkEnd w:id="13"/>
    <w:p>
      <w:pPr>
        <w:ind w:left="440" w:right="3279" w:hanging="431"/>
        <w:spacing w:after="0" w:line="253" w:lineRule="auto"/>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revenue was $4565 million, down from $5694 million in the first six months of 2000, due to Semiconductor. The decrease in Semiconductor revenue for the first six months of 2001 was primarily due to a combination of weak electronic end-equipment markets and excess customer inventories. The decrease in Sensors &amp; Controls was primarily due to lower shipments in control products and the increase in E&amp;PS was primarily due to retail stocking for back-to-school sales.</w:t>
      </w:r>
    </w:p>
    <w:p>
      <w:pPr>
        <w:spacing w:after="0" w:line="164" w:lineRule="exact"/>
        <w:rPr>
          <w:rFonts w:ascii="Courier New" w:cs="Courier New" w:eastAsia="Courier New" w:hAnsi="Courier New"/>
          <w:sz w:val="14"/>
          <w:szCs w:val="14"/>
          <w:color w:val="auto"/>
        </w:rPr>
      </w:pPr>
    </w:p>
    <w:p>
      <w:pPr>
        <w:ind w:left="440" w:right="3639" w:hanging="431"/>
        <w:spacing w:after="0" w:line="255" w:lineRule="auto"/>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 of revenues was $3028 million compared with $2907 million in the year-ago period. Cost of revenues increased primarily due to severance charges resulting from restructuring activities.</w:t>
      </w:r>
    </w:p>
    <w:p>
      <w:pPr>
        <w:spacing w:after="0" w:line="162" w:lineRule="exact"/>
        <w:rPr>
          <w:rFonts w:ascii="Courier New" w:cs="Courier New" w:eastAsia="Courier New" w:hAnsi="Courier New"/>
          <w:sz w:val="14"/>
          <w:szCs w:val="14"/>
          <w:color w:val="auto"/>
        </w:rPr>
      </w:pPr>
    </w:p>
    <w:p>
      <w:pPr>
        <w:ind w:left="440" w:right="3199" w:hanging="431"/>
        <w:spacing w:after="0" w:line="255" w:lineRule="auto"/>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-R&amp;D totaled $858 million, compared to $773 million in the first six months of 2000. The increase was primarily due to increased investment in semiconductor technologies.</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general and administrative expense was $748 million, down from</w:t>
      </w:r>
    </w:p>
    <w:p>
      <w:pPr>
        <w:spacing w:after="0" w:line="8" w:lineRule="exact"/>
        <w:rPr>
          <w:sz w:val="20"/>
          <w:szCs w:val="20"/>
          <w:color w:val="auto"/>
        </w:rPr>
      </w:pPr>
    </w:p>
    <w:p>
      <w:pPr>
        <w:ind w:left="440" w:right="3379"/>
        <w:spacing w:after="0" w:line="255" w:lineRule="auto"/>
        <w:rPr>
          <w:sz w:val="20"/>
          <w:szCs w:val="20"/>
          <w:color w:val="auto"/>
        </w:rPr>
      </w:pPr>
      <w:r>
        <w:rPr>
          <w:rFonts w:ascii="Courier New" w:cs="Courier New" w:eastAsia="Courier New" w:hAnsi="Courier New"/>
          <w:sz w:val="14"/>
          <w:szCs w:val="14"/>
          <w:color w:val="auto"/>
        </w:rPr>
        <w:t>$815 million in the year-ago period as savings from reduced profit sharing and bonus accruals and from cost-reduction actions were substantially offset by severance charges resulting from restructuring activities.</w:t>
      </w:r>
    </w:p>
    <w:p>
      <w:pPr>
        <w:spacing w:after="0" w:line="162" w:lineRule="exact"/>
        <w:rPr>
          <w:sz w:val="20"/>
          <w:szCs w:val="20"/>
          <w:color w:val="auto"/>
        </w:rPr>
      </w:pPr>
    </w:p>
    <w:p>
      <w:pPr>
        <w:ind w:left="440" w:right="3379" w:hanging="431"/>
        <w:spacing w:after="0" w:line="254" w:lineRule="auto"/>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 net decreased from $1474 million in the first six months of 2000 to $164 million in the first six months of 2001, primarily due to decreased net investment gains. In the second quarter of 2000, TI realized a gain of $1211 million on the sale of Micron common stock.</w:t>
      </w:r>
    </w:p>
    <w:p>
      <w:pPr>
        <w:spacing w:after="0" w:line="163"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income tax rate was 49 percent.</w:t>
      </w:r>
    </w:p>
    <w:p>
      <w:pPr>
        <w:spacing w:after="0" w:line="175" w:lineRule="exact"/>
        <w:rPr>
          <w:rFonts w:ascii="Courier New" w:cs="Courier New" w:eastAsia="Courier New" w:hAnsi="Courier New"/>
          <w:sz w:val="14"/>
          <w:szCs w:val="14"/>
          <w:color w:val="auto"/>
        </w:rPr>
      </w:pPr>
    </w:p>
    <w:p>
      <w:pPr>
        <w:ind w:left="440" w:right="3279" w:hanging="431"/>
        <w:spacing w:after="0" w:line="253" w:lineRule="auto"/>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-Orders were $3601 million, down from $6350 million from the same period a year ago, primarily due to weakness in Semiconductor. Semiconductor orders for the first six months were down, primarily due to a combination of weak electronic end-equipment markets and excess customer inventories. Sensors &amp; Controls orders were down, due to overall market weakness. E&amp;PS orders were about even.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CONDITION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the first six months of 2001, cash and cash equivalents plus short-term investments decreased by $989 million to $3014 million, primarily due to capital expenditures. During the second quarter of 2001, cash and cash equivalents plus short-term investments decreased by $75 million to $3014 million, primarily due to the repurchase of the company's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from operating activities was $705 million in the first half of 2001.</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Capital expenditures totaled $1242 million in the first six months of 2001, compared with $1204 million in the first half of 2000.</w:t>
      </w:r>
    </w:p>
    <w:p>
      <w:pPr>
        <w:spacing w:after="0" w:line="160"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Depreciation for the first half of 2001 was $731 million, compared with $550 million in the same period a year ago.</w:t>
      </w:r>
    </w:p>
    <w:p>
      <w:pPr>
        <w:spacing w:after="0" w:line="160"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Debt-to-total-capital ratio was 0.09 at the end of the second quarter, versus 0.10 at the end of 2000.</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June 2001, the Financial Accounting Standards Board issued Statement of Financial Accounting Standards (SFAS) No. 141, Business Combinations, and No. 142, Goodwill and Other Intangible Assets, effective for fiscal years beginning after December 15, 2001. Under the new rules, goodwill and intangible assets deemed to have indefinite lives will no longer be amortized but will be subject to annual impairment tests in accordance with the statements. Other intangible assets will continue to be amortized over their useful lives. The company is currently reviewing the impact of SFAS Nos. 141 and 142 and will be performing a</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fair-value analysis at a later date in connection with the adoption of SFAS No.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142 on January 1,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CHARGES AND GAINS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of 2001</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At June 30, 2001, $118 million of the $271 million aggregate severance cost obligations for the first and second quarter 2001 worldwide cost reduction and restructuring actions affecting a total of 5439 employees had been paid. In total, these first and second quarter 2001 actions are expected to result in annualized savings of approximately $400 million. In the second quarter of 2001, pretax charges of $252 million net were taken, of which $214 million was severance cost for a worldwide cost-reduction program affecting 3778 employees and $35 million relates to the restructuring charges for the closing of three Semiconductor facilities (Merrimack, New Hampshire; Tustin, California; and Santa Cruz, California) affecting an additional 559 employees. Of the $35 million charge, $14 million was for severance cost and $16 million was for the acceleration of depreciation over the remaining service life of the facilities. Of the $252 million, $162 million was included in cost of revenues, $84 million is in selling, general and administrative expense and $6 million is in research and development expense. Also included was a $68 million increase to the income tax provision to adjust to the expected tax rate for the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Quarter of 2001</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the first quarter of 2001, pretax charges of $50 million net were taken, of which $11 million was for severance cost for 241 first-quarter employee acceptances under the U.S. voluntary retirement program, $16 million was for severance cost for restructuring actions affecting 261 employees in international Semiconductor locations, and $25 million relates to the closing of a Semiconductor manufacturing facility in Santa Cruz, California. Of the $25 million charge, $16 million was for severance cost for 600 employees and $5 million was for acceleration of depreciation over the remaining service life of the facility. Of the $50 million, $44 million was included in cost of revenues, $7 million is in selling, general and administrative expense, $2 million is in research and development expense, and $3 million is in other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of 2000</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 the second quarter of 2000, an investment gain of $1211 million, included in other income, was realized from the sale of 20 million shares of Micron common stock.</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In-Process R&amp;D Charges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The relative stage of completion and projected operating cash flows of the underlying in-process projects acquired were the most significant and uncertain</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3" w:right="1440" w:bottom="1440" w:gutter="0" w:footer="0" w:header="0"/>
        </w:sectPr>
      </w:pPr>
    </w:p>
    <w:bookmarkStart w:id="15" w:name="page16"/>
    <w:bookmarkEnd w:id="15"/>
    <w:p>
      <w:pPr>
        <w:ind w:right="3459"/>
        <w:spacing w:after="0" w:line="253" w:lineRule="auto"/>
        <w:rPr>
          <w:sz w:val="20"/>
          <w:szCs w:val="20"/>
          <w:color w:val="auto"/>
        </w:rPr>
      </w:pPr>
      <w:r>
        <w:rPr>
          <w:rFonts w:ascii="Courier New" w:cs="Courier New" w:eastAsia="Courier New" w:hAnsi="Courier New"/>
          <w:sz w:val="14"/>
          <w:szCs w:val="14"/>
          <w:color w:val="auto"/>
        </w:rPr>
        <w:t>assumptions utilized in the valuation analysis of the purchased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Cost/time to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Purchased</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complete R&amp;D</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Year</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in-process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projects</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cash flows</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Entity</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Acquisition</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Consid-</w:t>
            </w: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rPr>
              <w:t>R&amp;D</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Appraisal</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R&amp;D</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Discount</w:t>
            </w: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projected</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eration</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Goodwill</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intan-</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compen-</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charge</w:t>
            </w: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method</w:t>
            </w:r>
          </w:p>
        </w:tc>
        <w:tc>
          <w:tcPr>
            <w:tcW w:w="960" w:type="dxa"/>
            <w:vAlign w:val="bottom"/>
          </w:tcPr>
          <w:p>
            <w:pPr>
              <w:ind w:left="80"/>
              <w:spacing w:after="0"/>
              <w:rPr>
                <w:sz w:val="20"/>
                <w:szCs w:val="20"/>
                <w:color w:val="auto"/>
              </w:rPr>
            </w:pPr>
            <w:r>
              <w:rPr>
                <w:rFonts w:ascii="Courier New" w:cs="Courier New" w:eastAsia="Courier New" w:hAnsi="Courier New"/>
                <w:sz w:val="14"/>
                <w:szCs w:val="14"/>
                <w:color w:val="auto"/>
              </w:rPr>
              <w:t>focus</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rate</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At acquisi-</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w:t>
            </w:r>
          </w:p>
        </w:tc>
        <w:tc>
          <w:tcPr>
            <w:tcW w:w="10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to begin</w:t>
            </w: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gibles</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sation</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4"/>
                <w:szCs w:val="14"/>
                <w:color w:val="auto"/>
              </w:rPr>
              <w:t>tion</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June 2001</w:t>
            </w:r>
          </w:p>
        </w:tc>
        <w:tc>
          <w:tcPr>
            <w:tcW w:w="1020" w:type="dxa"/>
            <w:vAlign w:val="bottom"/>
          </w:tcPr>
          <w:p>
            <w:pPr>
              <w:spacing w:after="0"/>
              <w:rPr>
                <w:sz w:val="14"/>
                <w:szCs w:val="14"/>
                <w:color w:val="auto"/>
              </w:rPr>
            </w:pPr>
          </w:p>
        </w:tc>
      </w:tr>
      <w:tr>
        <w:trPr>
          <w:trHeight w:val="167"/>
        </w:trPr>
        <w:tc>
          <w:tcPr>
            <w:tcW w:w="200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w w:val="99"/>
              </w:rPr>
              <w:t>------</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5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 ---------- --------- ---------</w:t>
            </w:r>
          </w:p>
        </w:tc>
      </w:tr>
      <w:tr>
        <w:trPr>
          <w:trHeight w:val="334"/>
        </w:trPr>
        <w:tc>
          <w:tcPr>
            <w:tcW w:w="880" w:type="dxa"/>
            <w:vAlign w:val="bottom"/>
          </w:tcPr>
          <w:p>
            <w:pPr>
              <w:spacing w:after="0"/>
              <w:rPr>
                <w:sz w:val="20"/>
                <w:szCs w:val="20"/>
                <w:color w:val="auto"/>
              </w:rPr>
            </w:pPr>
            <w:r>
              <w:rPr>
                <w:rFonts w:ascii="Courier New" w:cs="Courier New" w:eastAsia="Courier New" w:hAnsi="Courier New"/>
                <w:sz w:val="14"/>
                <w:szCs w:val="14"/>
                <w:color w:val="auto"/>
              </w:rPr>
              <w:t>Alantro</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Third</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$277</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$ 81</w:t>
            </w:r>
          </w:p>
        </w:tc>
        <w:tc>
          <w:tcPr>
            <w:tcW w:w="920" w:type="dxa"/>
            <w:vAlign w:val="bottom"/>
          </w:tcPr>
          <w:p>
            <w:pPr>
              <w:spacing w:after="0"/>
              <w:rPr>
                <w:sz w:val="20"/>
                <w:szCs w:val="20"/>
                <w:color w:val="auto"/>
              </w:rPr>
            </w:pPr>
            <w:r>
              <w:rPr>
                <w:rFonts w:ascii="Courier New" w:cs="Courier New" w:eastAsia="Courier New" w:hAnsi="Courier New"/>
                <w:sz w:val="14"/>
                <w:szCs w:val="14"/>
                <w:color w:val="auto"/>
              </w:rPr>
              <w:t>$ 32</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$ 52</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Exclusion</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Wireless</w:t>
            </w:r>
          </w:p>
        </w:tc>
        <w:tc>
          <w:tcPr>
            <w:tcW w:w="740" w:type="dxa"/>
            <w:vAlign w:val="bottom"/>
          </w:tcPr>
          <w:p>
            <w:pPr>
              <w:ind w:left="160"/>
              <w:spacing w:after="0"/>
              <w:rPr>
                <w:sz w:val="20"/>
                <w:szCs w:val="20"/>
                <w:color w:val="auto"/>
              </w:rPr>
            </w:pPr>
            <w:r>
              <w:rPr>
                <w:rFonts w:ascii="Courier New" w:cs="Courier New" w:eastAsia="Courier New" w:hAnsi="Courier New"/>
                <w:sz w:val="14"/>
                <w:szCs w:val="14"/>
                <w:color w:val="auto"/>
              </w:rPr>
              <w:t>24%</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$4.1/</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$3.1/130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Commun-</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quarter</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approach</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networking</w:t>
            </w:r>
          </w:p>
        </w:tc>
        <w:tc>
          <w:tcPr>
            <w:tcW w:w="7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256</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engineer</w:t>
            </w:r>
          </w:p>
        </w:tc>
        <w:tc>
          <w:tcPr>
            <w:tcW w:w="102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ications,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technology</w:t>
            </w:r>
          </w:p>
        </w:tc>
        <w:tc>
          <w:tcPr>
            <w:tcW w:w="7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engineer</w:t>
            </w: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months</w:t>
            </w:r>
          </w:p>
        </w:tc>
        <w:tc>
          <w:tcPr>
            <w:tcW w:w="102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Inc.</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for home</w:t>
            </w:r>
          </w:p>
        </w:tc>
        <w:tc>
          <w:tcPr>
            <w:tcW w:w="74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months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and office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68"/>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540"/>
          </w:cols>
          <w:pgMar w:left="220" w:top="954" w:right="139" w:bottom="1440" w:gutter="0" w:footer="0" w:header="0"/>
        </w:sectPr>
      </w:pPr>
    </w:p>
    <w:bookmarkStart w:id="17" w:name="page18"/>
    <w:bookmarkEnd w:id="17"/>
    <w:p>
      <w:pPr>
        <w:spacing w:after="0"/>
        <w:tabs>
          <w:tab w:leader="none" w:pos="780" w:val="left"/>
        </w:tabs>
        <w:rPr>
          <w:sz w:val="20"/>
          <w:szCs w:val="20"/>
          <w:color w:val="auto"/>
        </w:rPr>
      </w:pPr>
      <w:r>
        <w:rPr>
          <w:rFonts w:ascii="Courier New" w:cs="Courier New" w:eastAsia="Courier New" w:hAnsi="Courier New"/>
          <w:sz w:val="14"/>
          <w:szCs w:val="14"/>
          <w:color w:val="auto"/>
        </w:rPr>
        <w:t>ITEM 3.</w:t>
        <w:tab/>
        <w:t>Quantitative and Qualitative Disclosures About Market Risk.</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Information concerning market risk is contained on pages B-43 and B-44 of the Registrant's proxy statement for the 2001 annual meeting of stockholders and is incorporated by reference to such proxy statement.</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PART II - OTHER INFORMATION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p>
    <w:p>
      <w:pPr>
        <w:spacing w:after="0" w:line="175" w:lineRule="exact"/>
        <w:rPr>
          <w:sz w:val="20"/>
          <w:szCs w:val="20"/>
          <w:color w:val="auto"/>
        </w:rPr>
      </w:pPr>
    </w:p>
    <w:p>
      <w:pPr>
        <w:ind w:right="4579"/>
        <w:spacing w:after="0" w:line="258" w:lineRule="auto"/>
        <w:rPr>
          <w:sz w:val="20"/>
          <w:szCs w:val="20"/>
          <w:color w:val="auto"/>
        </w:rPr>
      </w:pPr>
      <w:r>
        <w:rPr>
          <w:rFonts w:ascii="Courier New" w:cs="Courier New" w:eastAsia="Courier New" w:hAnsi="Courier New"/>
          <w:sz w:val="14"/>
          <w:szCs w:val="14"/>
          <w:color w:val="auto"/>
        </w:rPr>
        <w:t>At the Annual Meeting of Stockholders held on April 19, 2001, the stockholders voted upon the election of directors.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nominees were elected as directors with the following vote:</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80" w:type="dxa"/>
            <w:vAlign w:val="bottom"/>
          </w:tcPr>
          <w:p>
            <w:pPr>
              <w:ind w:left="360"/>
              <w:spacing w:after="0"/>
              <w:rPr>
                <w:sz w:val="20"/>
                <w:szCs w:val="20"/>
                <w:color w:val="auto"/>
              </w:rPr>
            </w:pPr>
            <w:r>
              <w:rPr>
                <w:rFonts w:ascii="Courier New" w:cs="Courier New" w:eastAsia="Courier New" w:hAnsi="Courier New"/>
                <w:sz w:val="14"/>
                <w:szCs w:val="14"/>
                <w:color w:val="auto"/>
              </w:rPr>
              <w:t>Nominee</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For</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Withheld</w:t>
            </w:r>
          </w:p>
        </w:tc>
      </w:tr>
      <w:tr>
        <w:trPr>
          <w:trHeight w:val="334"/>
        </w:trPr>
        <w:tc>
          <w:tcPr>
            <w:tcW w:w="2080" w:type="dxa"/>
            <w:vAlign w:val="bottom"/>
          </w:tcPr>
          <w:p>
            <w:pPr>
              <w:spacing w:after="0"/>
              <w:rPr>
                <w:sz w:val="20"/>
                <w:szCs w:val="20"/>
                <w:color w:val="auto"/>
              </w:rPr>
            </w:pPr>
            <w:r>
              <w:rPr>
                <w:rFonts w:ascii="Courier New" w:cs="Courier New" w:eastAsia="Courier New" w:hAnsi="Courier New"/>
                <w:sz w:val="14"/>
                <w:szCs w:val="14"/>
                <w:color w:val="auto"/>
              </w:rPr>
              <w:t>James R. Adams</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1,508,719,506</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8,278,810</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David L. Boren</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1,508,703,241</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8,295,075</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James B. Busey</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1,508,574,138</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8,424,178</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Daniel A. Carp</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1,508,866,014</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8,132,302</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Thomas J. Engibous</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1,508,420,528</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8,577,788</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Gerald W. Fronterhouse</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1,507,362,581</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9,635,735</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David R. Goode</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1,508,924,184</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8,074,132</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Wayne R. Sanders</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1,509,023,214</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7,975,102</w:t>
            </w:r>
          </w:p>
        </w:tc>
      </w:tr>
      <w:tr>
        <w:trPr>
          <w:trHeight w:val="167"/>
        </w:trPr>
        <w:tc>
          <w:tcPr>
            <w:tcW w:w="2080" w:type="dxa"/>
            <w:vAlign w:val="bottom"/>
          </w:tcPr>
          <w:p>
            <w:pPr>
              <w:spacing w:after="0"/>
              <w:rPr>
                <w:sz w:val="20"/>
                <w:szCs w:val="20"/>
                <w:color w:val="auto"/>
              </w:rPr>
            </w:pPr>
            <w:r>
              <w:rPr>
                <w:rFonts w:ascii="Courier New" w:cs="Courier New" w:eastAsia="Courier New" w:hAnsi="Courier New"/>
                <w:sz w:val="14"/>
                <w:szCs w:val="14"/>
                <w:color w:val="auto"/>
              </w:rPr>
              <w:t>Ruth J. Simmons</w:t>
            </w:r>
          </w:p>
        </w:tc>
        <w:tc>
          <w:tcPr>
            <w:tcW w:w="1480" w:type="dxa"/>
            <w:vAlign w:val="bottom"/>
          </w:tcPr>
          <w:p>
            <w:pPr>
              <w:jc w:val="center"/>
              <w:spacing w:after="0"/>
              <w:rPr>
                <w:sz w:val="20"/>
                <w:szCs w:val="20"/>
                <w:color w:val="auto"/>
              </w:rPr>
            </w:pPr>
            <w:r>
              <w:rPr>
                <w:rFonts w:ascii="Courier New" w:cs="Courier New" w:eastAsia="Courier New" w:hAnsi="Courier New"/>
                <w:sz w:val="14"/>
                <w:szCs w:val="14"/>
                <w:color w:val="auto"/>
              </w:rPr>
              <w:t>1,508,528,387</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8,469,929</w:t>
            </w:r>
          </w:p>
        </w:tc>
      </w:tr>
    </w:tbl>
    <w:p>
      <w:pPr>
        <w:spacing w:after="0" w:line="33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5" w:lineRule="exact"/>
        <w:rPr>
          <w:sz w:val="20"/>
          <w:szCs w:val="20"/>
          <w:color w:val="auto"/>
        </w:rPr>
      </w:pPr>
    </w:p>
    <w:p>
      <w:pPr>
        <w:ind w:left="1220" w:hanging="430"/>
        <w:spacing w:after="0"/>
        <w:tabs>
          <w:tab w:leader="none" w:pos="12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5" w:lineRule="exact"/>
        <w:rPr>
          <w:rFonts w:ascii="Courier New" w:cs="Courier New" w:eastAsia="Courier New" w:hAnsi="Courier New"/>
          <w:sz w:val="14"/>
          <w:szCs w:val="14"/>
          <w:color w:val="auto"/>
        </w:rPr>
      </w:pPr>
    </w:p>
    <w:p>
      <w:pPr>
        <w:ind w:left="1400" w:right="7799" w:hanging="174"/>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Designation of Exhibits in</w:t>
      </w:r>
    </w:p>
    <w:p>
      <w:pPr>
        <w:sectPr>
          <w:pgSz w:w="11900" w:h="16838" w:orient="portrait"/>
          <w:cols w:equalWidth="0" w:num="1">
            <w:col w:w="10239"/>
          </w:cols>
          <w:pgMar w:left="220" w:top="453" w:right="1440" w:bottom="1440" w:gutter="0" w:footer="0" w:header="0"/>
        </w:sectPr>
      </w:pP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This Report</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Description of 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520" w:space="360"/>
            <w:col w:w="7359"/>
          </w:cols>
          <w:pgMar w:left="220" w:top="453" w:right="1440" w:bottom="1440" w:gutter="0" w:footer="0" w:header="0"/>
          <w:type w:val="continuous"/>
        </w:sectPr>
      </w:pPr>
    </w:p>
    <w:p>
      <w:pPr>
        <w:spacing w:after="0" w:line="142" w:lineRule="exact"/>
        <w:rPr>
          <w:sz w:val="20"/>
          <w:szCs w:val="20"/>
          <w:color w:val="auto"/>
        </w:rPr>
      </w:pPr>
    </w:p>
    <w:p>
      <w:pPr>
        <w:ind w:left="2880" w:right="3799" w:hanging="1569"/>
        <w:spacing w:after="0" w:line="255" w:lineRule="auto"/>
        <w:tabs>
          <w:tab w:leader="none" w:pos="28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Basic and Diluted Earnings Loss) Per Common and Dilutive Potential Common Share.</w:t>
      </w:r>
    </w:p>
    <w:p>
      <w:pPr>
        <w:spacing w:after="0" w:line="162" w:lineRule="exact"/>
        <w:rPr>
          <w:rFonts w:ascii="Courier New" w:cs="Courier New" w:eastAsia="Courier New" w:hAnsi="Courier New"/>
          <w:sz w:val="14"/>
          <w:szCs w:val="14"/>
          <w:color w:val="auto"/>
        </w:rPr>
      </w:pPr>
    </w:p>
    <w:p>
      <w:pPr>
        <w:ind w:left="2880" w:right="3799" w:hanging="1569"/>
        <w:spacing w:after="0" w:line="258" w:lineRule="auto"/>
        <w:tabs>
          <w:tab w:leader="none" w:pos="288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326" w:lineRule="exact"/>
        <w:rPr>
          <w:rFonts w:ascii="Courier New" w:cs="Courier New" w:eastAsia="Courier New" w:hAnsi="Courier New"/>
          <w:sz w:val="14"/>
          <w:szCs w:val="14"/>
          <w:color w:val="auto"/>
        </w:rPr>
      </w:pPr>
    </w:p>
    <w:p>
      <w:pPr>
        <w:ind w:left="1220" w:hanging="430"/>
        <w:spacing w:after="0"/>
        <w:tabs>
          <w:tab w:leader="none" w:pos="12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During the quarter ended June 30, 2001, the Registrant filed reports on Form 8-K dated May 14 and June 18, 2001, each confirming its outlook for the second quarter of 2001 as set forth in the Outlook Section included in Item 2 of its Form 10-Q for the quarter ending March 31, 2001.</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3" w:right="1440" w:bottom="1440" w:gutter="0" w:footer="0" w:header="0"/>
          <w:type w:val="continuous"/>
        </w:sectPr>
      </w:pPr>
    </w:p>
    <w:bookmarkStart w:id="18" w:name="page19"/>
    <w:bookmarkEnd w:id="18"/>
    <w:p>
      <w:pPr>
        <w:ind w:right="3279"/>
        <w:spacing w:after="0" w:line="253"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64"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We urge you to carefully consider the following important factors that could cause actual results to differ materially from the expectations of the company or its management:</w:t>
      </w:r>
    </w:p>
    <w:p>
      <w:pPr>
        <w:spacing w:after="0" w:line="162" w:lineRule="exact"/>
        <w:rPr>
          <w:sz w:val="20"/>
          <w:szCs w:val="20"/>
          <w:color w:val="auto"/>
        </w:rPr>
      </w:pPr>
    </w:p>
    <w:p>
      <w:pPr>
        <w:ind w:left="440" w:right="3379" w:hanging="431"/>
        <w:spacing w:after="0" w:line="260" w:lineRule="auto"/>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demand for Semiconductors, particularly for digital signal processors and analog chips in key markets, such as telecommunications and computers;</w:t>
      </w:r>
    </w:p>
    <w:p>
      <w:pPr>
        <w:spacing w:after="0" w:line="324" w:lineRule="exact"/>
        <w:rPr>
          <w:rFonts w:ascii="Courier New" w:cs="Courier New" w:eastAsia="Courier New" w:hAnsi="Courier New"/>
          <w:sz w:val="14"/>
          <w:szCs w:val="14"/>
          <w:color w:val="auto"/>
        </w:rPr>
      </w:pPr>
    </w:p>
    <w:p>
      <w:pPr>
        <w:ind w:left="440" w:right="3379" w:hanging="431"/>
        <w:spacing w:after="0" w:line="258" w:lineRule="auto"/>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develop, manufacture and market innovative products in a rapidly changing technological environment;</w:t>
      </w:r>
    </w:p>
    <w:p>
      <w:pPr>
        <w:spacing w:after="0" w:line="159" w:lineRule="exact"/>
        <w:rPr>
          <w:rFonts w:ascii="Courier New" w:cs="Courier New" w:eastAsia="Courier New" w:hAnsi="Courier New"/>
          <w:sz w:val="14"/>
          <w:szCs w:val="14"/>
          <w:color w:val="auto"/>
        </w:rPr>
      </w:pPr>
    </w:p>
    <w:p>
      <w:pPr>
        <w:ind w:left="440" w:right="3199" w:hanging="431"/>
        <w:spacing w:after="0" w:line="258" w:lineRule="auto"/>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compete in products and prices in an intensely competitive industry;</w:t>
      </w:r>
    </w:p>
    <w:p>
      <w:pPr>
        <w:spacing w:after="0" w:line="159" w:lineRule="exact"/>
        <w:rPr>
          <w:rFonts w:ascii="Courier New" w:cs="Courier New" w:eastAsia="Courier New" w:hAnsi="Courier New"/>
          <w:sz w:val="14"/>
          <w:szCs w:val="14"/>
          <w:color w:val="auto"/>
        </w:rPr>
      </w:pPr>
    </w:p>
    <w:p>
      <w:pPr>
        <w:ind w:left="440" w:right="3799" w:hanging="431"/>
        <w:spacing w:after="0" w:line="258" w:lineRule="auto"/>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maintain and enforce a strong intellectual property portfolio and obtain needed licenses from third parties;</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-Timely completion and successful integration of announced acquisitions;</w:t>
      </w:r>
    </w:p>
    <w:p>
      <w:pPr>
        <w:spacing w:after="0" w:line="175" w:lineRule="exact"/>
        <w:rPr>
          <w:rFonts w:ascii="Courier New" w:cs="Courier New" w:eastAsia="Courier New" w:hAnsi="Courier New"/>
          <w:sz w:val="14"/>
          <w:szCs w:val="14"/>
          <w:color w:val="auto"/>
        </w:rPr>
      </w:pPr>
    </w:p>
    <w:p>
      <w:pPr>
        <w:ind w:left="440" w:right="3199" w:hanging="431"/>
        <w:spacing w:after="0" w:line="255" w:lineRule="auto"/>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TI and its customers and suppliers operate, including fluctuations in foreign currency exchange rates;</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-Losses or curtailments of purchases from key customers;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recruit and retain skilled personnel; and</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raw materials and critical manufacturing equipment.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3" w:right="1440" w:bottom="1440" w:gutter="0" w:footer="0" w:header="0"/>
        </w:sectPr>
      </w:pPr>
    </w:p>
    <w:bookmarkStart w:id="19" w:name="page20"/>
    <w:bookmarkEnd w:id="19"/>
    <w:p>
      <w:pPr>
        <w:ind w:left="3140"/>
        <w:spacing w:after="0"/>
        <w:rPr>
          <w:sz w:val="20"/>
          <w:szCs w:val="20"/>
          <w:color w:val="auto"/>
        </w:rPr>
      </w:pPr>
      <w:r>
        <w:rPr>
          <w:rFonts w:ascii="Courier New" w:cs="Courier New" w:eastAsia="Courier New" w:hAnsi="Courier New"/>
          <w:sz w:val="14"/>
          <w:szCs w:val="14"/>
          <w:color w:val="auto"/>
        </w:rPr>
        <w:t>SIGNATURE</w:t>
      </w:r>
    </w:p>
    <w:p>
      <w:pPr>
        <w:spacing w:after="0" w:line="175" w:lineRule="exact"/>
        <w:rPr>
          <w:sz w:val="20"/>
          <w:szCs w:val="20"/>
          <w:color w:val="auto"/>
        </w:rPr>
      </w:pPr>
    </w:p>
    <w:p>
      <w:pPr>
        <w:jc w:val="both"/>
        <w:ind w:right="3979"/>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 /s/ WILLIAM A. AYLESWORTH</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William A. Aylesworth</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Senior Vice President,</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Treasurer and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Chief Financial Officer</w:t>
      </w:r>
    </w:p>
    <w:p>
      <w:pPr>
        <w:spacing w:after="0" w:line="34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27, 2001</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3"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8600"/>
        <w:spacing w:after="0"/>
        <w:rPr>
          <w:sz w:val="20"/>
          <w:szCs w:val="20"/>
          <w:color w:val="auto"/>
        </w:rPr>
      </w:pPr>
      <w:r>
        <w:rPr>
          <w:rFonts w:ascii="Courier New" w:cs="Courier New" w:eastAsia="Courier New" w:hAnsi="Courier New"/>
          <w:sz w:val="14"/>
          <w:szCs w:val="14"/>
          <w:color w:val="auto"/>
        </w:rPr>
        <w:t>EXHIBIT 11</w:t>
      </w:r>
    </w:p>
    <w:p>
      <w:pPr>
        <w:spacing w:after="0" w:line="8" w:lineRule="exact"/>
        <w:rPr>
          <w:sz w:val="20"/>
          <w:szCs w:val="20"/>
          <w:color w:val="auto"/>
        </w:rPr>
      </w:pPr>
    </w:p>
    <w:p>
      <w:pPr>
        <w:ind w:left="86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gridSpan w:val="5"/>
          </w:tcPr>
          <w:p>
            <w:pPr>
              <w:jc w:val="right"/>
              <w:ind w:right="248"/>
              <w:spacing w:after="0"/>
              <w:rPr>
                <w:sz w:val="20"/>
                <w:szCs w:val="20"/>
                <w:color w:val="auto"/>
              </w:rPr>
            </w:pPr>
            <w:r>
              <w:rPr>
                <w:rFonts w:ascii="Courier New" w:cs="Courier New" w:eastAsia="Courier New" w:hAnsi="Courier New"/>
                <w:sz w:val="14"/>
                <w:szCs w:val="14"/>
                <w:color w:val="auto"/>
              </w:rPr>
              <w:t>EARNINGS (LOSS) PER COMMON AND DILUTIVE POTENTIAL COMMON SHARE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1"/>
        </w:trPr>
        <w:tc>
          <w:tcPr>
            <w:tcW w:w="5860" w:type="dxa"/>
            <w:vAlign w:val="bottom"/>
          </w:tcPr>
          <w:p>
            <w:pPr>
              <w:spacing w:after="0"/>
              <w:rPr>
                <w:sz w:val="24"/>
                <w:szCs w:val="24"/>
                <w:color w:val="auto"/>
              </w:rPr>
            </w:pPr>
          </w:p>
        </w:tc>
        <w:tc>
          <w:tcPr>
            <w:tcW w:w="210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For Three Months Ended</w:t>
            </w:r>
          </w:p>
        </w:tc>
        <w:tc>
          <w:tcPr>
            <w:tcW w:w="200" w:type="dxa"/>
            <w:vAlign w:val="bottom"/>
          </w:tcPr>
          <w:p>
            <w:pPr>
              <w:spacing w:after="0"/>
              <w:rPr>
                <w:sz w:val="24"/>
                <w:szCs w:val="24"/>
                <w:color w:val="auto"/>
              </w:rPr>
            </w:pPr>
          </w:p>
        </w:tc>
        <w:tc>
          <w:tcPr>
            <w:tcW w:w="1840" w:type="dxa"/>
            <w:vAlign w:val="bottom"/>
            <w:gridSpan w:val="3"/>
          </w:tcPr>
          <w:p>
            <w:pPr>
              <w:spacing w:after="0"/>
              <w:rPr>
                <w:sz w:val="20"/>
                <w:szCs w:val="20"/>
                <w:color w:val="auto"/>
              </w:rPr>
            </w:pPr>
            <w:r>
              <w:rPr>
                <w:rFonts w:ascii="Courier New" w:cs="Courier New" w:eastAsia="Courier New" w:hAnsi="Courier New"/>
                <w:sz w:val="14"/>
                <w:szCs w:val="14"/>
                <w:color w:val="auto"/>
              </w:rPr>
              <w:t>For Six Months Ended</w:t>
            </w:r>
          </w:p>
        </w:tc>
      </w:tr>
      <w:tr>
        <w:trPr>
          <w:trHeight w:val="167"/>
        </w:trPr>
        <w:tc>
          <w:tcPr>
            <w:tcW w:w="58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Courier New" w:cs="Courier New" w:eastAsia="Courier New" w:hAnsi="Courier New"/>
                <w:sz w:val="10"/>
                <w:szCs w:val="10"/>
                <w:color w:val="auto"/>
                <w:w w:val="72"/>
              </w:rPr>
              <w: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June 30</w:t>
            </w:r>
          </w:p>
        </w:tc>
        <w:tc>
          <w:tcPr>
            <w:tcW w:w="22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w:t>
            </w:r>
          </w:p>
        </w:tc>
        <w:tc>
          <w:tcPr>
            <w:tcW w:w="2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20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June 30</w:t>
            </w:r>
          </w:p>
        </w:tc>
      </w:tr>
      <w:tr>
        <w:trPr>
          <w:trHeight w:val="167"/>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200" w:type="dxa"/>
            <w:vAlign w:val="bottom"/>
          </w:tcPr>
          <w:p>
            <w:pPr>
              <w:spacing w:after="0"/>
              <w:rPr>
                <w:sz w:val="14"/>
                <w:szCs w:val="14"/>
                <w:color w:val="auto"/>
              </w:rPr>
            </w:pPr>
          </w:p>
        </w:tc>
        <w:tc>
          <w:tcPr>
            <w:tcW w:w="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2001</w:t>
            </w:r>
          </w:p>
        </w:tc>
        <w:tc>
          <w:tcPr>
            <w:tcW w:w="200" w:type="dxa"/>
            <w:vAlign w:val="bottom"/>
          </w:tcPr>
          <w:p>
            <w:pPr>
              <w:spacing w:after="0"/>
              <w:rPr>
                <w:sz w:val="14"/>
                <w:szCs w:val="14"/>
                <w:color w:val="auto"/>
              </w:rPr>
            </w:pPr>
          </w:p>
        </w:tc>
        <w:tc>
          <w:tcPr>
            <w:tcW w:w="8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1,746</w:t>
            </w:r>
          </w:p>
        </w:tc>
      </w:tr>
      <w:tr>
        <w:trPr>
          <w:trHeight w:val="334"/>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Add: Interest, net of tax effect, on convertible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debentures assumed converted..............................</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spacing w:after="0"/>
              <w:rPr>
                <w:sz w:val="20"/>
                <w:szCs w:val="20"/>
                <w:color w:val="auto"/>
              </w:rPr>
            </w:pPr>
            <w:r>
              <w:rPr>
                <w:rFonts w:ascii="Courier New" w:cs="Courier New" w:eastAsia="Courier New" w:hAnsi="Courier New"/>
                <w:sz w:val="14"/>
                <w:szCs w:val="14"/>
                <w:color w:val="auto"/>
              </w:rPr>
              <w:t>Adjusted income (loss) before cumulative effect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of an accounting change..........................................</w:t>
            </w:r>
          </w:p>
        </w:tc>
        <w:tc>
          <w:tcPr>
            <w:tcW w:w="1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1,298</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1,748</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an accounting change..........................</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Adjusted net income (loss) in millions.............................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1,298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1,719</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6900" w:type="dxa"/>
            <w:vAlign w:val="bottom"/>
            <w:gridSpan w:val="3"/>
          </w:tcPr>
          <w:p>
            <w:pPr>
              <w:spacing w:after="0"/>
              <w:rPr>
                <w:sz w:val="20"/>
                <w:szCs w:val="20"/>
                <w:color w:val="auto"/>
              </w:rPr>
            </w:pPr>
            <w:r>
              <w:rPr>
                <w:rFonts w:ascii="Courier New" w:cs="Courier New" w:eastAsia="Courier New" w:hAnsi="Courier New"/>
                <w:sz w:val="14"/>
                <w:szCs w:val="14"/>
                <w:color w:val="auto"/>
              </w:rPr>
              <w:t>Diluted earnings (loss) per common and dilutive potential common share:</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1,735,623</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1,712,756</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1,735,086</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1,708,716</w:t>
            </w:r>
          </w:p>
        </w:tc>
      </w:tr>
      <w:tr>
        <w:trPr>
          <w:trHeight w:val="167"/>
        </w:trPr>
        <w:tc>
          <w:tcPr>
            <w:tcW w:w="58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Weighted average dilutive potential common shares: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Stock option and compensation plans............................</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75,507</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50,390</w:t>
            </w:r>
          </w:p>
        </w:tc>
        <w:tc>
          <w:tcPr>
            <w:tcW w:w="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76,439</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Convertible debentures............................................</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5,625</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3,925</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 common and dilutive potential common shares.......</w:t>
            </w: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1,735,623</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1,793,888</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1,785,476</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1,789,080</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0.98</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an accounting change........................</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0.96</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8"/>
        </w:trPr>
        <w:tc>
          <w:tcPr>
            <w:tcW w:w="586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Weighted average common shares outstanding (in thousands)..........</w:t>
            </w: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1,735,623</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1,712,756</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1,735,086</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1,708,716</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586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Income (loss) before cumulative effect of an accounting change...</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Cumulative effect of an accounting change........................</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tcPr>
          <w:p>
            <w:pPr>
              <w:jc w:val="right"/>
              <w:spacing w:after="0"/>
              <w:rPr>
                <w:sz w:val="20"/>
                <w:szCs w:val="20"/>
                <w:color w:val="auto"/>
              </w:rPr>
            </w:pPr>
            <w:r>
              <w:rPr>
                <w:rFonts w:ascii="Courier New" w:cs="Courier New" w:eastAsia="Courier New" w:hAnsi="Courier New"/>
                <w:sz w:val="14"/>
                <w:szCs w:val="14"/>
                <w:color w:val="auto"/>
              </w:rPr>
              <w:t>Net income (loss)..................................................</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0.02</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586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75" w:right="1440" w:bottom="1440" w:gutter="0" w:footer="0" w:header="0"/>
        </w:sectPr>
      </w:pPr>
    </w:p>
    <w:bookmarkStart w:id="22" w:name="page23"/>
    <w:bookmarkEnd w:id="22"/>
    <w:p>
      <w:pPr>
        <w:ind w:left="7740"/>
        <w:spacing w:after="0"/>
        <w:rPr>
          <w:sz w:val="20"/>
          <w:szCs w:val="20"/>
          <w:color w:val="auto"/>
        </w:rPr>
      </w:pPr>
      <w:r>
        <w:rPr>
          <w:rFonts w:ascii="Courier New" w:cs="Courier New" w:eastAsia="Courier New" w:hAnsi="Courier New"/>
          <w:sz w:val="14"/>
          <w:szCs w:val="14"/>
          <w:color w:val="auto"/>
        </w:rPr>
        <w:t>Exhibit 12</w:t>
      </w:r>
    </w:p>
    <w:p>
      <w:pPr>
        <w:spacing w:after="0" w:line="8" w:lineRule="exact"/>
        <w:rPr>
          <w:sz w:val="20"/>
          <w:szCs w:val="20"/>
          <w:color w:val="auto"/>
        </w:rPr>
      </w:pPr>
    </w:p>
    <w:p>
      <w:pPr>
        <w:ind w:left="77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center"/>
        <w:ind w:right="1279"/>
        <w:spacing w:after="0"/>
        <w:rPr>
          <w:sz w:val="20"/>
          <w:szCs w:val="20"/>
          <w:color w:val="auto"/>
        </w:rPr>
      </w:pPr>
      <w:r>
        <w:rPr>
          <w:rFonts w:ascii="Courier New" w:cs="Courier New" w:eastAsia="Courier New" w:hAnsi="Courier New"/>
          <w:sz w:val="14"/>
          <w:szCs w:val="14"/>
          <w:color w:val="auto"/>
        </w:rPr>
        <w:t>TEXAS INSTRUMENTS INCORPORATED AND SUBSIDIARIES</w:t>
      </w:r>
    </w:p>
    <w:p>
      <w:pPr>
        <w:spacing w:after="0" w:line="8" w:lineRule="exact"/>
        <w:rPr>
          <w:sz w:val="20"/>
          <w:szCs w:val="20"/>
          <w:color w:val="auto"/>
        </w:rPr>
      </w:pPr>
    </w:p>
    <w:p>
      <w:pPr>
        <w:jc w:val="center"/>
        <w:ind w:right="127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668"/>
        </w:trPr>
        <w:tc>
          <w:tcPr>
            <w:tcW w:w="3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For Six Months</w:t>
            </w:r>
          </w:p>
        </w:tc>
      </w:tr>
      <w:tr>
        <w:trPr>
          <w:trHeight w:val="167"/>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Ended June 30</w:t>
            </w:r>
          </w:p>
        </w:tc>
      </w:tr>
      <w:tr>
        <w:trPr>
          <w:trHeight w:val="167"/>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2000</w:t>
            </w:r>
          </w:p>
        </w:tc>
        <w:tc>
          <w:tcPr>
            <w:tcW w:w="2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before income taxes plus fixed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charges and amortization of</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capitalized interest less</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w w:val="97"/>
              </w:rPr>
              <w:t>interest capitalized..................</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$2,205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$4,702</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$ 2,696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$ 120</w:t>
            </w:r>
          </w:p>
        </w:tc>
      </w:tr>
      <w:tr>
        <w:trPr>
          <w:trHeight w:val="167"/>
        </w:trPr>
        <w:tc>
          <w:tcPr>
            <w:tcW w:w="34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Total interest on loans (expensed</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and capitalized) .....................</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w:t>
            </w:r>
          </w:p>
        </w:tc>
        <w:tc>
          <w:tcPr>
            <w:tcW w:w="26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w:t>
            </w:r>
          </w:p>
        </w:tc>
        <w:tc>
          <w:tcPr>
            <w:tcW w:w="1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w:t>
            </w:r>
          </w:p>
        </w:tc>
        <w:tc>
          <w:tcPr>
            <w:tcW w:w="2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Interest attributable to rental</w:t>
            </w: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and lease expense.....................</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2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w w:val="98"/>
              </w:rPr>
              <w:t>Fixed charges.............................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57</w:t>
            </w:r>
          </w:p>
        </w:tc>
      </w:tr>
      <w:tr>
        <w:trPr>
          <w:trHeight w:val="167"/>
        </w:trPr>
        <w:tc>
          <w:tcPr>
            <w:tcW w:w="3480" w:type="dxa"/>
            <w:vAlign w:val="bottom"/>
          </w:tcPr>
          <w:p>
            <w:pPr>
              <w:spacing w:after="0"/>
              <w:rPr>
                <w:sz w:val="14"/>
                <w:szCs w:val="14"/>
                <w:color w:val="auto"/>
              </w:rPr>
            </w:pP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960" w:type="dxa"/>
            <w:vAlign w:val="bottom"/>
            <w:gridSpan w:val="2"/>
          </w:tcPr>
          <w:p>
            <w:pPr>
              <w:spacing w:after="0"/>
              <w:rPr>
                <w:sz w:val="20"/>
                <w:szCs w:val="20"/>
                <w:color w:val="auto"/>
              </w:rPr>
            </w:pPr>
            <w:r>
              <w:rPr>
                <w:rFonts w:ascii="Courier New" w:cs="Courier New" w:eastAsia="Courier New" w:hAnsi="Courier New"/>
                <w:sz w:val="14"/>
                <w:szCs w:val="14"/>
                <w:color w:val="auto"/>
              </w:rPr>
              <w:t>Ratio of earnings to fixed charges........</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spacing w:after="0"/>
              <w:rPr>
                <w:sz w:val="24"/>
                <w:szCs w:val="24"/>
                <w:color w:val="auto"/>
              </w:rPr>
            </w:pPr>
          </w:p>
        </w:tc>
        <w:tc>
          <w:tcPr>
            <w:tcW w:w="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36.2</w:t>
            </w:r>
          </w:p>
        </w:tc>
        <w:tc>
          <w:tcPr>
            <w:tcW w:w="220" w:type="dxa"/>
            <w:vAlign w:val="bottom"/>
          </w:tcPr>
          <w:p>
            <w:pPr>
              <w:spacing w:after="0"/>
              <w:rPr>
                <w:sz w:val="24"/>
                <w:szCs w:val="2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pacing w:after="0" w:line="1" w:lineRule="exact"/>
        <w:rPr>
          <w:sz w:val="20"/>
          <w:szCs w:val="20"/>
          <w:color w:val="auto"/>
        </w:rPr>
      </w:pP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7"/>
    </w:lvl>
  </w:abstractNum>
  <w:abstractNum w:abstractNumId="2">
    <w:nsid w:val="12200854"/>
    <w:multiLevelType w:val="hybridMultilevel"/>
    <w:lvl w:ilvl="0">
      <w:lvlJc w:val="left"/>
      <w:lvlText w:val="%1."/>
      <w:numFmt w:val="decimal"/>
      <w:start w:val="13"/>
    </w:lvl>
  </w:abstractNum>
  <w:abstractNum w:abstractNumId="3">
    <w:nsid w:val="4DB127F8"/>
    <w:multiLevelType w:val="hybridMultilevel"/>
    <w:lvl w:ilvl="0">
      <w:lvlJc w:val="left"/>
      <w:lvlText w:val="%1."/>
      <w:numFmt w:val="decimal"/>
      <w:start w:val="14"/>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lvl w:ilvl="1">
      <w:lvlJc w:val="left"/>
      <w:lvlText w:val="%2"/>
      <w:numFmt w:val="decimal"/>
      <w:start w:val="11"/>
    </w:lvl>
  </w:abstractNum>
  <w:abstractNum w:abstractNumId="14">
    <w:nsid w:val="41A7C4C9"/>
    <w:multiLevelType w:val="hybridMultilevel"/>
    <w:lvl w:ilvl="0">
      <w:lvlJc w:val="left"/>
      <w:lvlText w:val="(%1)"/>
      <w:numFmt w:val="lowerLetter"/>
      <w:start w:val="2"/>
    </w:lvl>
    <w:lvl w:ilvl="1">
      <w:lvlJc w:val="left"/>
      <w:lvlText w:val="%2"/>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2019-12-12T10:41:03Z</dcterms:created>
  <dcterms:modified xsi:type="dcterms:W3CDTF">2019-12-12T10:41:03Z</dcterms:modified>
</cp:coreProperties>
</file>