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190500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168275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720" w:type="dxa"/>
            <w:vAlign w:val="bottom"/>
          </w:tcPr>
          <w:p>
            <w:pPr>
              <w:spacing w:after="0"/>
              <w:rPr>
                <w:sz w:val="20"/>
                <w:szCs w:val="20"/>
                <w:color w:val="auto"/>
              </w:rPr>
            </w:pPr>
          </w:p>
        </w:tc>
      </w:tr>
      <w:tr>
        <w:trPr>
          <w:trHeight w:val="233"/>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1"/>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68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72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P.O. BOX 660199</w:t>
            </w:r>
          </w:p>
        </w:tc>
        <w:tc>
          <w:tcPr>
            <w:tcW w:w="1720" w:type="dxa"/>
            <w:vAlign w:val="bottom"/>
          </w:tcPr>
          <w:p>
            <w:pPr>
              <w:spacing w:after="0"/>
              <w:rPr>
                <w:sz w:val="18"/>
                <w:szCs w:val="18"/>
                <w:color w:val="auto"/>
              </w:rPr>
            </w:pPr>
          </w:p>
        </w:tc>
      </w:tr>
      <w:tr>
        <w:trPr>
          <w:trHeight w:val="214"/>
        </w:trPr>
        <w:tc>
          <w:tcPr>
            <w:tcW w:w="2100" w:type="dxa"/>
            <w:vAlign w:val="bottom"/>
          </w:tcPr>
          <w:p>
            <w:pPr>
              <w:spacing w:after="0"/>
              <w:rPr>
                <w:sz w:val="18"/>
                <w:szCs w:val="18"/>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DALLAS, TEXAS 75266-0199</w:t>
            </w:r>
          </w:p>
        </w:tc>
        <w:tc>
          <w:tcPr>
            <w:tcW w:w="172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904875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92" w:right="7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2.02. Results of Operations and Financial Condition</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October 21, 2015, regarding its third-quarter 2015 results of operations and financial condition is attached hereto as Exhibit 99.</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Designation</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of Exhibit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in this</w:t>
            </w: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88"/>
        </w:trPr>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Report</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4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0" w:lineRule="exact"/>
        <w:rPr>
          <w:sz w:val="20"/>
          <w:szCs w:val="20"/>
          <w:color w:val="auto"/>
        </w:rPr>
      </w:pPr>
    </w:p>
    <w:p>
      <w:pPr>
        <w:ind w:left="1280" w:hanging="788"/>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News Release</w:t>
      </w:r>
    </w:p>
    <w:p>
      <w:pPr>
        <w:spacing w:after="0" w:line="27"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October 21, 2015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3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2015</w:t>
            </w:r>
          </w:p>
        </w:tc>
        <w:tc>
          <w:tcPr>
            <w:tcW w:w="73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Kevin P. March</w:t>
            </w:r>
          </w:p>
        </w:tc>
      </w:tr>
      <w:tr>
        <w:trPr>
          <w:trHeight w:val="191"/>
        </w:trPr>
        <w:tc>
          <w:tcPr>
            <w:tcW w:w="40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P. March</w:t>
            </w:r>
          </w:p>
        </w:tc>
      </w:tr>
      <w:tr>
        <w:trPr>
          <w:trHeight w:val="216"/>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4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 reports 3Q15 financial results and shareholder returns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on TI website at 4:30 p.m. Central time today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www.ti.com/ir</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DALLAS (Oct. 21, 2015) – Texas Instruments Incorporated (TI) (NASDAQ: TXN) today reported third-quarter revenue of $3.43 billion, net income of $798 million and earnings per share of 76 cents.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company’s performance and returns to shareholders, Rich Templeton, TI’s chairman, president and CEO, made the following comments:</w:t>
      </w:r>
    </w:p>
    <w:p>
      <w:pPr>
        <w:spacing w:after="0" w:line="117"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declined 2 percent from a year ago. While our overall demand remained weak, revenue was stronger than we expected.</w:t>
      </w:r>
    </w:p>
    <w:p>
      <w:pPr>
        <w:spacing w:after="0" w:line="117"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businesses of Analog and Embedded Processing each grew year over year. Together, they comprised 85 percent of third-quarter revenue and have delivered nine consecutive quarters of year-over-year growth.</w:t>
      </w:r>
    </w:p>
    <w:p>
      <w:pPr>
        <w:spacing w:after="0" w:line="53"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58.2 percent of revenue, reflecting the quality of our product portfolio, as well as the efficiency of our manufacturing strategy, including the benefit of 300-millimeter analog production.</w:t>
      </w:r>
    </w:p>
    <w:p>
      <w:pPr>
        <w:spacing w:after="0" w:line="53" w:lineRule="exact"/>
        <w:rPr>
          <w:rFonts w:ascii="Times New Roman" w:cs="Times New Roman" w:eastAsia="Times New Roman" w:hAnsi="Times New Roman"/>
          <w:sz w:val="18"/>
          <w:szCs w:val="18"/>
          <w:color w:val="auto"/>
        </w:rPr>
      </w:pPr>
    </w:p>
    <w:p>
      <w:pPr>
        <w:ind w:left="1040" w:right="20" w:hanging="519"/>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operations once again underscored the strength of our business model. Free cash flow for the trailing 12 months was up 4 percent from a year ago to $3.6 billion. This represents 28 percent of revenue, up from 27 percent a year ago, and is consistent with our targeted range of 20-30 percent of revenue.</w:t>
      </w:r>
    </w:p>
    <w:p>
      <w:pPr>
        <w:spacing w:after="0" w:line="68" w:lineRule="exact"/>
        <w:rPr>
          <w:rFonts w:ascii="Times New Roman" w:cs="Times New Roman" w:eastAsia="Times New Roman" w:hAnsi="Times New Roman"/>
          <w:sz w:val="18"/>
          <w:szCs w:val="18"/>
          <w:color w:val="auto"/>
        </w:rPr>
      </w:pPr>
    </w:p>
    <w:p>
      <w:pPr>
        <w:ind w:left="1040" w:right="160" w:hanging="519"/>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returned $4.2 billion to shareholders in the past 12 months through stock repurchases and dividends. In September, we announced a quarterly dividend increase of 4 cents per share, a 12 percent increase. This marked 12 consecutive years of dividend increases. We also announced a $7.5 billion increase to our share buyback authorization.</w:t>
      </w:r>
    </w:p>
    <w:p>
      <w:pPr>
        <w:spacing w:after="0" w:line="68"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53"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balance sheet remains strong with $2.7 billion of cash and short-term investments at the end of the quarter, 82 percent of which was owned by the company’s U.S. entities. Inventory ended the quarter at 111 days.</w:t>
      </w:r>
    </w:p>
    <w:p>
      <w:pPr>
        <w:spacing w:after="0" w:line="53"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fourth-quarter outlook is for revenue in the range of $3.07 billion to $3.33 billion, and earnings per share between 64 and 74 cents. For 2015, TI’s annual effective tax rate is expected to be about 30 percent, unchanged from previous guidance.”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is a non-GAAP financial measure. Free cash flow is cash flow from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 except per-share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4"/>
              <w:spacing w:after="0"/>
              <w:rPr>
                <w:sz w:val="20"/>
                <w:szCs w:val="20"/>
                <w:color w:val="auto"/>
              </w:rPr>
            </w:pPr>
            <w:r>
              <w:rPr>
                <w:rFonts w:ascii="Times New Roman" w:cs="Times New Roman" w:eastAsia="Times New Roman" w:hAnsi="Times New Roman"/>
                <w:sz w:val="14"/>
                <w:szCs w:val="14"/>
                <w:color w:val="auto"/>
              </w:rPr>
              <w:t>3Q15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2"/>
              <w:spacing w:after="0"/>
              <w:rPr>
                <w:sz w:val="20"/>
                <w:szCs w:val="20"/>
                <w:color w:val="auto"/>
              </w:rPr>
            </w:pPr>
            <w:r>
              <w:rPr>
                <w:rFonts w:ascii="Times New Roman" w:cs="Times New Roman" w:eastAsia="Times New Roman" w:hAnsi="Times New Roman"/>
                <w:sz w:val="14"/>
                <w:szCs w:val="14"/>
                <w:color w:val="auto"/>
              </w:rPr>
              <w:t>3Q14</w:t>
            </w: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4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generation</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3Q15</w:t>
            </w:r>
          </w:p>
        </w:tc>
        <w:tc>
          <w:tcPr>
            <w:tcW w:w="180" w:type="dxa"/>
            <w:vAlign w:val="bottom"/>
          </w:tcPr>
          <w:p>
            <w:pPr>
              <w:spacing w:after="0"/>
              <w:rPr>
                <w:sz w:val="24"/>
                <w:szCs w:val="24"/>
                <w:color w:val="auto"/>
              </w:rPr>
            </w:pPr>
          </w:p>
        </w:tc>
        <w:tc>
          <w:tcPr>
            <w:tcW w:w="184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14"/>
                <w:szCs w:val="14"/>
                <w:color w:val="auto"/>
              </w:rPr>
              <w:t>Trailing 12 Months</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gridSpan w:val="4"/>
          </w:tcPr>
          <w:p>
            <w:pPr>
              <w:jc w:val="right"/>
              <w:ind w:right="290"/>
              <w:spacing w:after="0" w:line="155" w:lineRule="exact"/>
              <w:rPr>
                <w:sz w:val="20"/>
                <w:szCs w:val="20"/>
                <w:color w:val="auto"/>
              </w:rPr>
            </w:pPr>
            <w:r>
              <w:rPr>
                <w:rFonts w:ascii="Times New Roman" w:cs="Times New Roman" w:eastAsia="Times New Roman" w:hAnsi="Times New Roman"/>
                <w:sz w:val="14"/>
                <w:szCs w:val="14"/>
                <w:color w:val="auto"/>
              </w:rPr>
              <w:t>3Q15</w:t>
            </w:r>
          </w:p>
        </w:tc>
        <w:tc>
          <w:tcPr>
            <w:tcW w:w="2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3"/>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3Q14</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4,110</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8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78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3,598</w:t>
            </w:r>
          </w:p>
        </w:tc>
        <w:tc>
          <w:tcPr>
            <w:tcW w:w="800" w:type="dxa"/>
            <w:vAlign w:val="bottom"/>
            <w:gridSpan w:val="2"/>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Free cash flow % of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the past 12 months were 4 percent of revenue. The company’s long-term expectation is about 4 percent.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return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3Q15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Trailing 12 Months</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color w:val="auto"/>
              </w:rPr>
              <w:t>3Q15</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3Q14</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2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targeted cash return is 100 percent of free cash flow plus proceeds from exercises of equity compensation minus net debt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455" w:right="7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(Millions of dollars, except share and per-share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8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 (COR)</w:t>
            </w:r>
          </w:p>
        </w:tc>
        <w:tc>
          <w:tcPr>
            <w:tcW w:w="23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charges</w:t>
            </w: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charges/other</w:t>
            </w: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3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 (OI&amp;E)</w:t>
            </w: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23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36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tcPr>
          <w:p>
            <w:pPr>
              <w:spacing w:after="0"/>
              <w:rPr>
                <w:sz w:val="24"/>
                <w:szCs w:val="24"/>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diluted shares outstanding (millions)</w:t>
            </w:r>
          </w:p>
        </w:tc>
        <w:tc>
          <w:tcPr>
            <w:tcW w:w="23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36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20" w:type="dxa"/>
            <w:vAlign w:val="bottom"/>
          </w:tcPr>
          <w:p>
            <w:pPr>
              <w:spacing w:after="0"/>
              <w:rPr>
                <w:sz w:val="24"/>
                <w:szCs w:val="24"/>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2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allocated to RSUs</w:t>
            </w:r>
          </w:p>
        </w:tc>
        <w:tc>
          <w:tcPr>
            <w:tcW w:w="2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w:t>
            </w:r>
          </w:p>
        </w:tc>
        <w:tc>
          <w:tcPr>
            <w:tcW w:w="6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allocated to common stock for diluted EPS</w:t>
            </w:r>
          </w:p>
        </w:tc>
        <w:tc>
          <w:tcPr>
            <w:tcW w:w="2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0"/>
        </w:trPr>
        <w:tc>
          <w:tcPr>
            <w:tcW w:w="58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(Millions of dollars,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receivable, net of allowances of ($16) and ($15)</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ind w:left="900"/>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(3,113)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top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2,629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4,362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intangibles, net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licenses, net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Overfunded retirement plans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bottom w:val="single" w:sz="8" w:color="auto"/>
            </w:tcBorders>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16,540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60" w:type="dxa"/>
            <w:vAlign w:val="bottom"/>
            <w:gridSpan w:val="2"/>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Underfunded retirement plans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credits and other liabilities</w:t>
            </w: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6,570</w:t>
            </w: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Preferred stock, $25 par value. Authorized – 10,000,000 shares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Participating cumulative preferred – None issued</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Common stock, $1 par value. Authorized – 2,400,000,000 shares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Shares issued – 1,740,815,939</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Paid-in capital</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30,731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Treasury common stock at cost</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Shares: September 30, 2015 – 721,186,352; September 30, 2014</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(23,551)</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684,515,992</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 (AOCI)</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w:t>
            </w: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9,970</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16,540</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7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286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22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Adjustments to Net income:</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Depreciation</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Gains on sales of assets</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Deferred income taxes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from changes in:</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Accounts receivable</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Inventories</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w:t>
            </w: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Accrued compensation</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taxes payable</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Changes in funded status of retirement plans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(459)</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debt</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(750)</w:t>
            </w:r>
          </w:p>
        </w:tc>
        <w:tc>
          <w:tcPr>
            <w:tcW w:w="10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(348)</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 repurchases</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(790)</w:t>
            </w: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common stock transactions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Excess tax benefit from share-based payments</w:t>
            </w:r>
          </w:p>
        </w:tc>
        <w:tc>
          <w:tcPr>
            <w:tcW w:w="18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(1,849)</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w:t>
            </w: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60" w:type="dxa"/>
            <w:vAlign w:val="bottom"/>
          </w:tcPr>
          <w:p>
            <w:pPr>
              <w:spacing w:after="0"/>
              <w:rPr>
                <w:sz w:val="19"/>
                <w:szCs w:val="19"/>
                <w:color w:val="auto"/>
              </w:rPr>
            </w:pP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0" w:type="dxa"/>
            <w:vAlign w:val="bottom"/>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3Q15 segment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3Q15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3Q14</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Change</w:t>
            </w: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Analog:</w:t>
            </w:r>
          </w:p>
        </w:tc>
        <w:tc>
          <w:tcPr>
            <w:tcW w:w="1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Operating profit</w:t>
            </w:r>
          </w:p>
        </w:tc>
        <w:tc>
          <w:tcPr>
            <w:tcW w:w="2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Embedded Processing:</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profit</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Operating profit*</w:t>
            </w:r>
          </w:p>
        </w:tc>
        <w:tc>
          <w:tcPr>
            <w:tcW w:w="2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bl>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Includes Acquisition charges and Restructuring charges/other.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Analog: </w:t>
      </w:r>
      <w:r>
        <w:rPr>
          <w:rFonts w:ascii="Times New Roman" w:cs="Times New Roman" w:eastAsia="Times New Roman" w:hAnsi="Times New Roman"/>
          <w:sz w:val="18"/>
          <w:szCs w:val="18"/>
          <w:i w:val="1"/>
          <w:iCs w:val="1"/>
          <w:color w:val="auto"/>
        </w:rPr>
        <w:t>(includes High Volume Analog &amp; Logic, Power Management, High Performance Analog and Silicon Valley Analog)</w:t>
      </w:r>
    </w:p>
    <w:p>
      <w:pPr>
        <w:spacing w:after="0" w:line="121" w:lineRule="exact"/>
        <w:rPr>
          <w:sz w:val="20"/>
          <w:szCs w:val="20"/>
          <w:color w:val="auto"/>
        </w:rPr>
      </w:pPr>
    </w:p>
    <w:p>
      <w:pPr>
        <w:ind w:left="10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due to High Volume Analog &amp; Logic. Silicon Valley Analog also grew, Power Management was about even and High Performance Analog declined.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Embedded Processing: </w:t>
      </w:r>
      <w:r>
        <w:rPr>
          <w:rFonts w:ascii="Times New Roman" w:cs="Times New Roman" w:eastAsia="Times New Roman" w:hAnsi="Times New Roman"/>
          <w:sz w:val="18"/>
          <w:szCs w:val="18"/>
          <w:i w:val="1"/>
          <w:iCs w:val="1"/>
          <w:color w:val="auto"/>
        </w:rPr>
        <w:t>(includes Processors, Microcontrollers and Connectivity)</w:t>
      </w:r>
    </w:p>
    <w:p>
      <w:pPr>
        <w:spacing w:after="0" w:line="121" w:lineRule="exact"/>
        <w:rPr>
          <w:sz w:val="20"/>
          <w:szCs w:val="20"/>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due to Microcontrollers and Connectivity. Processors declined.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 due to lower operating expenses as well as higher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i w:val="1"/>
          <w:iCs w:val="1"/>
          <w:color w:val="auto"/>
        </w:rPr>
        <w:t>(includes DLP® products, custom ASIC products, calculators and royalties)</w:t>
      </w:r>
    </w:p>
    <w:p>
      <w:pPr>
        <w:spacing w:after="0" w:line="121"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declined primarily due to custom ASIC products and DLP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decreased due to lower revenue and associated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Free cash flow and associated ratios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to the most directly comparable GAAP-based measures is provided in the table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12 Months Ended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 (GAAP)</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4,110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 as a percent of revenue (GAAP)</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as a percent of revenue (non-GAAP)</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76"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TI or its management:</w:t>
      </w:r>
    </w:p>
    <w:p>
      <w:pPr>
        <w:spacing w:after="0" w:line="2"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markets such as personal electronics and communications equipment;</w:t>
      </w:r>
    </w:p>
    <w:p>
      <w:pPr>
        <w:spacing w:after="0" w:line="63" w:lineRule="exact"/>
        <w:rPr>
          <w:rFonts w:ascii="Times New Roman" w:cs="Times New Roman" w:eastAsia="Times New Roman" w:hAnsi="Times New Roman"/>
          <w:sz w:val="18"/>
          <w:szCs w:val="18"/>
          <w:color w:val="auto"/>
        </w:rPr>
      </w:pPr>
    </w:p>
    <w:p>
      <w:pPr>
        <w:ind w:left="1040" w:hanging="519"/>
        <w:spacing w:after="0" w:line="28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license agreements between TI and its patent licensees, and market conditions reducing royalty payments to TI;</w:t>
      </w:r>
    </w:p>
    <w:p>
      <w:pPr>
        <w:spacing w:after="0" w:line="63" w:lineRule="exact"/>
        <w:rPr>
          <w:rFonts w:ascii="Times New Roman" w:cs="Times New Roman" w:eastAsia="Times New Roman" w:hAnsi="Times New Roman"/>
          <w:sz w:val="18"/>
          <w:szCs w:val="18"/>
          <w:color w:val="auto"/>
        </w:rPr>
      </w:pPr>
    </w:p>
    <w:p>
      <w:pPr>
        <w:ind w:left="1040" w:right="160" w:hanging="519"/>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health epidemics, severe weather and earthquakes in the locations in which TI, its customers or its suppliers operate;</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3" w:lineRule="exact"/>
        <w:rPr>
          <w:rFonts w:ascii="Times New Roman" w:cs="Times New Roman" w:eastAsia="Times New Roman" w:hAnsi="Times New Roman"/>
          <w:sz w:val="18"/>
          <w:szCs w:val="18"/>
          <w:color w:val="auto"/>
        </w:rPr>
      </w:pPr>
    </w:p>
    <w:p>
      <w:pPr>
        <w:ind w:left="1040" w:right="240" w:hanging="519"/>
        <w:spacing w:after="0" w:line="28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 w:lineRule="exact"/>
        <w:rPr>
          <w:rFonts w:ascii="Times New Roman" w:cs="Times New Roman" w:eastAsia="Times New Roman" w:hAnsi="Times New Roman"/>
          <w:sz w:val="18"/>
          <w:szCs w:val="18"/>
          <w:color w:val="auto"/>
        </w:rPr>
      </w:pPr>
    </w:p>
    <w:p>
      <w:pPr>
        <w:ind w:left="1040" w:right="60" w:hanging="519"/>
        <w:spacing w:after="0" w:line="28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their promotion of competing product lines to TI’s detriment;</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a customer or distributor of TI with respect to TI-consigned inventory;</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our forecasts;</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inventory that results from demand that differs from projections;</w:t>
      </w:r>
    </w:p>
    <w:p>
      <w:pPr>
        <w:spacing w:after="0" w:line="6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63" w:lineRule="exact"/>
        <w:rPr>
          <w:rFonts w:ascii="Times New Roman" w:cs="Times New Roman" w:eastAsia="Times New Roman" w:hAnsi="Times New Roman"/>
          <w:sz w:val="18"/>
          <w:szCs w:val="18"/>
          <w:color w:val="auto"/>
        </w:rPr>
      </w:pPr>
    </w:p>
    <w:p>
      <w:pPr>
        <w:ind w:left="1040" w:right="20" w:hanging="519"/>
        <w:spacing w:after="0" w:line="28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recalls by TI customers for a product containing a TI part or other legal proceedings;</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w:t>
      </w:r>
    </w:p>
    <w:p>
      <w:pPr>
        <w:spacing w:after="0" w:line="63" w:lineRule="exact"/>
        <w:rPr>
          <w:rFonts w:ascii="Times New Roman" w:cs="Times New Roman" w:eastAsia="Times New Roman" w:hAnsi="Times New Roman"/>
          <w:sz w:val="18"/>
          <w:szCs w:val="18"/>
          <w:color w:val="auto"/>
        </w:rPr>
      </w:pPr>
    </w:p>
    <w:p>
      <w:pPr>
        <w:ind w:left="1040" w:hanging="519"/>
        <w:spacing w:after="0" w:line="28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obligation to make principal and interest payments on its debt;</w:t>
      </w:r>
    </w:p>
    <w:p>
      <w:pPr>
        <w:spacing w:after="0" w:line="63" w:lineRule="exact"/>
        <w:rPr>
          <w:rFonts w:ascii="Times New Roman" w:cs="Times New Roman" w:eastAsia="Times New Roman" w:hAnsi="Times New Roman"/>
          <w:sz w:val="18"/>
          <w:szCs w:val="18"/>
          <w:color w:val="auto"/>
        </w:rPr>
      </w:pPr>
    </w:p>
    <w:p>
      <w:pPr>
        <w:ind w:left="1040" w:hanging="519"/>
        <w:spacing w:after="0" w:line="28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our information technology systems or those of our customers or suppliers.</w:t>
      </w:r>
    </w:p>
    <w:p>
      <w:pPr>
        <w:spacing w:after="0" w:line="11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the Risk Factors discussion in Item 1A of TI’s Form 10-K for the year ended December 31, 2014. The forward-looking statements included in this release are made only as of the date of this release. TI undertakes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About Texas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trademarks: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trademarks are the property of their respective owners.</w:t>
      </w:r>
    </w:p>
    <w:sectPr>
      <w:pgSz w:w="11900" w:h="16838" w:orient="portrait"/>
      <w:cols w:equalWidth="0" w:num="1">
        <w:col w:w="11200"/>
      </w:cols>
      <w:pgMar w:left="24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99"/>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2019-12-05T15:40:53Z</dcterms:created>
  <dcterms:modified xsi:type="dcterms:W3CDTF">2019-12-05T15:40:53Z</dcterms:modified>
</cp:coreProperties>
</file>