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333-229797</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Max</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2.250% Notes due 2029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99.689%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$747,667,500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$90,617.31</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$750,000,000</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$747,667,500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$90,617.31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Prospectus Dated February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314325</wp:posOffset>
            </wp:positionV>
            <wp:extent cx="2872740" cy="677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74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$750,000,000 2.250%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168910</wp:posOffset>
            </wp:positionV>
            <wp:extent cx="1123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Texas Instruments Incorporated is offering $750,000,000 aggregate principal amount of its 2.250% Notes due 2029 (the “Notes”), which will bear interest at the rate per year as set forth above. Interest on the Notes will be payable semi-annually in arrears on March 4 and September 4 of each year, beginning on March 4, 2020.</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mature on September 4, 2029.</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125730</wp:posOffset>
            </wp:positionV>
            <wp:extent cx="1123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380" w:lineRule="exact"/>
        <w:rPr>
          <w:sz w:val="20"/>
          <w:szCs w:val="20"/>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156845</wp:posOffset>
            </wp:positionV>
            <wp:extent cx="1123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132715</wp:posOffset>
            </wp:positionV>
            <wp:extent cx="1123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99.689%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747,667,500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Underwriting discount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0.450%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99.239%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744,292,500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on the Notes will accrue from September 4, 2019 to the date of delivery.</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underwriters expect to deliver the Notes to purchasers only in book-entry form through the facilities of The Depository Trust Company and its participants, including Euroclear Bank S.A./N.V. and Clearstream Banking, S.A., on or about September 4, 2019, which is the sixth business day following the date of this prospectus supplement.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132715</wp:posOffset>
            </wp:positionV>
            <wp:extent cx="1123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22"/>
          <w:szCs w:val="22"/>
          <w:i w:val="1"/>
          <w:iCs w:val="1"/>
          <w:color w:val="auto"/>
        </w:rPr>
        <w:t>Joint Book-Running Managers</w:t>
      </w:r>
    </w:p>
    <w:p>
      <w:pPr>
        <w:spacing w:after="0" w:line="216" w:lineRule="exact"/>
        <w:rPr>
          <w:sz w:val="20"/>
          <w:szCs w:val="20"/>
          <w:color w:val="auto"/>
        </w:rPr>
      </w:pPr>
    </w:p>
    <w:p>
      <w:pPr>
        <w:ind w:left="200"/>
        <w:spacing w:after="0"/>
        <w:tabs>
          <w:tab w:leader="none" w:pos="4520" w:val="left"/>
          <w:tab w:leader="none" w:pos="9320" w:val="left"/>
        </w:tabs>
        <w:rPr>
          <w:sz w:val="20"/>
          <w:szCs w:val="20"/>
          <w:color w:val="auto"/>
        </w:rPr>
      </w:pPr>
      <w:r>
        <w:rPr>
          <w:rFonts w:ascii="Arial" w:cs="Arial" w:eastAsia="Arial" w:hAnsi="Arial"/>
          <w:sz w:val="36"/>
          <w:szCs w:val="36"/>
          <w:b w:val="1"/>
          <w:bCs w:val="1"/>
          <w:color w:val="auto"/>
        </w:rPr>
        <w:t>Barclays</w:t>
      </w:r>
      <w:r>
        <w:rPr>
          <w:sz w:val="20"/>
          <w:szCs w:val="20"/>
          <w:color w:val="auto"/>
        </w:rPr>
        <w:tab/>
      </w:r>
      <w:r>
        <w:rPr>
          <w:rFonts w:ascii="Arial" w:cs="Arial" w:eastAsia="Arial" w:hAnsi="Arial"/>
          <w:sz w:val="36"/>
          <w:szCs w:val="36"/>
          <w:b w:val="1"/>
          <w:bCs w:val="1"/>
          <w:color w:val="auto"/>
        </w:rPr>
        <w:t>BofA Merrill Lynch</w:t>
      </w:r>
      <w:r>
        <w:rPr>
          <w:sz w:val="20"/>
          <w:szCs w:val="20"/>
          <w:color w:val="auto"/>
        </w:rPr>
        <w:tab/>
      </w:r>
      <w:r>
        <w:rPr>
          <w:rFonts w:ascii="Arial" w:cs="Arial" w:eastAsia="Arial" w:hAnsi="Arial"/>
          <w:sz w:val="33"/>
          <w:szCs w:val="33"/>
          <w:b w:val="1"/>
          <w:bCs w:val="1"/>
          <w:color w:val="auto"/>
        </w:rPr>
        <w:t>J.P. Morgan</w:t>
      </w:r>
    </w:p>
    <w:p>
      <w:pPr>
        <w:spacing w:after="0" w:line="254" w:lineRule="exact"/>
        <w:rPr>
          <w:sz w:val="20"/>
          <w:szCs w:val="20"/>
          <w:color w:val="auto"/>
        </w:rPr>
      </w:pPr>
    </w:p>
    <w:p>
      <w:pPr>
        <w:ind w:left="200"/>
        <w:spacing w:after="0"/>
        <w:tabs>
          <w:tab w:leader="none" w:pos="2940" w:val="left"/>
          <w:tab w:leader="none" w:pos="6780" w:val="left"/>
          <w:tab w:leader="none" w:pos="10320" w:val="left"/>
        </w:tabs>
        <w:rPr>
          <w:sz w:val="20"/>
          <w:szCs w:val="20"/>
          <w:color w:val="auto"/>
        </w:rPr>
      </w:pPr>
      <w:r>
        <w:rPr>
          <w:rFonts w:ascii="Arial" w:cs="Arial" w:eastAsia="Arial" w:hAnsi="Arial"/>
          <w:sz w:val="29"/>
          <w:szCs w:val="29"/>
          <w:b w:val="1"/>
          <w:bCs w:val="1"/>
          <w:color w:val="auto"/>
        </w:rPr>
        <w:t>Citigroup</w:t>
      </w:r>
      <w:r>
        <w:rPr>
          <w:sz w:val="20"/>
          <w:szCs w:val="20"/>
          <w:color w:val="auto"/>
        </w:rPr>
        <w:tab/>
      </w:r>
      <w:r>
        <w:rPr>
          <w:rFonts w:ascii="Arial" w:cs="Arial" w:eastAsia="Arial" w:hAnsi="Arial"/>
          <w:sz w:val="29"/>
          <w:szCs w:val="29"/>
          <w:b w:val="1"/>
          <w:bCs w:val="1"/>
          <w:color w:val="auto"/>
        </w:rPr>
        <w:t>Mizuho Securities</w:t>
      </w:r>
      <w:r>
        <w:rPr>
          <w:sz w:val="20"/>
          <w:szCs w:val="20"/>
          <w:color w:val="auto"/>
        </w:rPr>
        <w:tab/>
      </w:r>
      <w:r>
        <w:rPr>
          <w:rFonts w:ascii="Arial" w:cs="Arial" w:eastAsia="Arial" w:hAnsi="Arial"/>
          <w:sz w:val="29"/>
          <w:szCs w:val="29"/>
          <w:b w:val="1"/>
          <w:bCs w:val="1"/>
          <w:color w:val="auto"/>
        </w:rPr>
        <w:t>Morgan Stanley</w:t>
      </w:r>
      <w:r>
        <w:rPr>
          <w:sz w:val="20"/>
          <w:szCs w:val="20"/>
          <w:color w:val="auto"/>
        </w:rPr>
        <w:tab/>
      </w:r>
      <w:r>
        <w:rPr>
          <w:rFonts w:ascii="Arial" w:cs="Arial" w:eastAsia="Arial" w:hAnsi="Arial"/>
          <w:sz w:val="29"/>
          <w:szCs w:val="29"/>
          <w:b w:val="1"/>
          <w:bCs w:val="1"/>
          <w:color w:val="auto"/>
        </w:rPr>
        <w:t>MUFG</w:t>
      </w: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22"/>
          <w:szCs w:val="22"/>
          <w:i w:val="1"/>
          <w:iCs w:val="1"/>
          <w:color w:val="auto"/>
        </w:rPr>
        <w:t>Co-Managers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US Bancorp</w:t>
      </w:r>
    </w:p>
    <w:p>
      <w:pPr>
        <w:spacing w:after="0" w:line="38" w:lineRule="exact"/>
        <w:rPr>
          <w:sz w:val="20"/>
          <w:szCs w:val="20"/>
          <w:color w:val="auto"/>
        </w:rPr>
      </w:pPr>
    </w:p>
    <w:p>
      <w:pPr>
        <w:ind w:left="2900"/>
        <w:spacing w:after="0"/>
        <w:rPr>
          <w:sz w:val="20"/>
          <w:szCs w:val="20"/>
          <w:color w:val="auto"/>
        </w:rPr>
      </w:pPr>
      <w:r>
        <w:rPr>
          <w:rFonts w:ascii="Arial" w:cs="Arial" w:eastAsia="Arial" w:hAnsi="Arial"/>
          <w:sz w:val="25"/>
          <w:szCs w:val="25"/>
          <w:b w:val="1"/>
          <w:bCs w:val="1"/>
          <w:color w:val="auto"/>
        </w:rPr>
        <w:t>The Williams Capital Group, L.P.</w:t>
      </w:r>
    </w:p>
    <w:p>
      <w:pPr>
        <w:spacing w:after="0" w:line="10" w:lineRule="exact"/>
        <w:rPr>
          <w:sz w:val="20"/>
          <w:szCs w:val="20"/>
          <w:color w:val="auto"/>
        </w:rPr>
      </w:pPr>
    </w:p>
    <w:p>
      <w:pPr>
        <w:ind w:left="7820"/>
        <w:spacing w:after="0"/>
        <w:rPr>
          <w:sz w:val="20"/>
          <w:szCs w:val="20"/>
          <w:color w:val="auto"/>
        </w:rPr>
      </w:pPr>
      <w:r>
        <w:rPr>
          <w:rFonts w:ascii="Arial" w:cs="Arial" w:eastAsia="Arial" w:hAnsi="Arial"/>
          <w:sz w:val="25"/>
          <w:szCs w:val="25"/>
          <w:b w:val="1"/>
          <w:bCs w:val="1"/>
          <w:color w:val="auto"/>
        </w:rPr>
        <w:t>BNP PARIBAS</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25"/>
          <w:szCs w:val="25"/>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71755</wp:posOffset>
            </wp:positionV>
            <wp:extent cx="1123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ectPr>
          <w:pgSz w:w="11900" w:h="16838" w:orient="portrait"/>
          <w:cols w:equalWidth="0" w:num="1">
            <w:col w:w="11240"/>
          </w:cols>
          <w:pgMar w:left="240" w:top="459" w:right="419" w:bottom="703" w:gutter="0" w:footer="0" w:header="0"/>
        </w:sectPr>
      </w:pPr>
    </w:p>
    <w:p>
      <w:pPr>
        <w:spacing w:after="0" w:line="32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August 26, 2019</w:t>
      </w:r>
    </w:p>
    <w:p>
      <w:pPr>
        <w:sectPr>
          <w:pgSz w:w="11900" w:h="16838" w:orient="portrait"/>
          <w:cols w:equalWidth="0" w:num="1">
            <w:col w:w="11240"/>
          </w:cols>
          <w:pgMar w:left="240" w:top="459" w:right="419" w:bottom="703"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216535</wp:posOffset>
            </wp:positionV>
            <wp:extent cx="11233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40" w:type="dxa"/>
            <w:vAlign w:val="bottom"/>
            <w:gridSpan w:val="4"/>
          </w:tcPr>
          <w:p>
            <w:pPr>
              <w:jc w:val="right"/>
              <w:ind w:right="4413"/>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43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40" w:type="dxa"/>
            <w:vAlign w:val="bottom"/>
            <w:gridSpan w:val="3"/>
            <w:vMerge w:val="restart"/>
          </w:tcPr>
          <w:p>
            <w:pPr>
              <w:jc w:val="right"/>
              <w:ind w:right="4440"/>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40" w:type="dxa"/>
            <w:vAlign w:val="bottom"/>
            <w:gridSpan w:val="17"/>
            <w:vMerge w:val="restart"/>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Notice Regarding Forward-Looking Statements</w:t>
              </w:r>
            </w:hyperlink>
          </w:p>
        </w:tc>
        <w:tc>
          <w:tcPr>
            <w:tcW w:w="500" w:type="dxa"/>
            <w:vAlign w:val="bottom"/>
            <w:gridSpan w:val="2"/>
            <w:vMerge w:val="restart"/>
          </w:tcPr>
          <w:p>
            <w:pPr>
              <w:spacing w:after="0"/>
              <w:rPr>
                <w:sz w:val="18"/>
                <w:szCs w:val="18"/>
                <w:color w:val="auto"/>
              </w:rPr>
            </w:pPr>
          </w:p>
        </w:tc>
        <w:tc>
          <w:tcPr>
            <w:tcW w:w="6640" w:type="dxa"/>
            <w:vAlign w:val="bottom"/>
            <w:gridSpan w:val="3"/>
            <w:vMerge w:val="continue"/>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89"/>
        </w:trPr>
        <w:tc>
          <w:tcPr>
            <w:tcW w:w="3440" w:type="dxa"/>
            <w:vAlign w:val="bottom"/>
            <w:tcBorders>
              <w:bottom w:val="single" w:sz="8" w:color="0000EE"/>
            </w:tcBorders>
            <w:gridSpan w:val="17"/>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About this Prospectus Supplement</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14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Use of Proceeds</w:t>
              </w:r>
            </w:hyperlink>
          </w:p>
        </w:tc>
        <w:tc>
          <w:tcPr>
            <w:tcW w:w="276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Capitalization</w:t>
              </w:r>
            </w:hyperlink>
          </w:p>
        </w:tc>
        <w:tc>
          <w:tcPr>
            <w:tcW w:w="292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the Notes</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Material U.S. Federal Income Tax Consequences</w:t>
              </w:r>
            </w:hyperlink>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Underwriting</w:t>
              </w:r>
            </w:hyperlink>
          </w:p>
        </w:tc>
        <w:tc>
          <w:tcPr>
            <w:tcW w:w="296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Validity of Securities</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Experts</w:t>
              </w:r>
            </w:hyperlink>
          </w:p>
        </w:tc>
        <w:tc>
          <w:tcPr>
            <w:tcW w:w="960" w:type="dxa"/>
            <w:vAlign w:val="bottom"/>
            <w:tcBorders>
              <w:top w:val="single" w:sz="8" w:color="0000EE"/>
            </w:tcBorders>
            <w:gridSpan w:val="9"/>
          </w:tcPr>
          <w:p>
            <w:pPr>
              <w:spacing w:after="0"/>
              <w:rPr>
                <w:sz w:val="17"/>
                <w:szCs w:val="17"/>
                <w:color w:val="auto"/>
              </w:rPr>
            </w:pPr>
          </w:p>
        </w:tc>
        <w:tc>
          <w:tcPr>
            <w:tcW w:w="24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60" w:type="dxa"/>
            <w:vAlign w:val="bottom"/>
            <w:gridSpan w:val="2"/>
            <w:vMerge w:val="restart"/>
          </w:tcPr>
          <w:p>
            <w:pPr>
              <w:jc w:val="right"/>
              <w:ind w:right="4940"/>
              <w:spacing w:after="0"/>
              <w:rPr>
                <w:sz w:val="20"/>
                <w:szCs w:val="20"/>
                <w:color w:val="auto"/>
              </w:rPr>
            </w:pPr>
            <w:r>
              <w:rPr>
                <w:rFonts w:ascii="Arial" w:cs="Arial" w:eastAsia="Arial" w:hAnsi="Arial"/>
                <w:sz w:val="18"/>
                <w:szCs w:val="18"/>
                <w:b w:val="1"/>
                <w:bCs w:val="1"/>
                <w:color w:val="auto"/>
              </w:rPr>
              <w:t>Prospectus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94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The Company</w:t>
              </w:r>
            </w:hyperlink>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Where You Can Find More Information</w:t>
              </w:r>
            </w:hyperlink>
          </w:p>
        </w:tc>
        <w:tc>
          <w:tcPr>
            <w:tcW w:w="1060" w:type="dxa"/>
            <w:vAlign w:val="bottom"/>
            <w:gridSpan w:val="3"/>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Notice Regarding Forward-Looking Statements</w:t>
              </w:r>
            </w:hyperlink>
          </w:p>
        </w:tc>
        <w:tc>
          <w:tcPr>
            <w:tcW w:w="500" w:type="dxa"/>
            <w:vAlign w:val="bottom"/>
            <w:gridSpan w:val="2"/>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Use of Proceeds</w:t>
              </w:r>
            </w:hyperlink>
          </w:p>
        </w:tc>
        <w:tc>
          <w:tcPr>
            <w:tcW w:w="2760" w:type="dxa"/>
            <w:vAlign w:val="bottom"/>
            <w:gridSpan w:val="13"/>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Description of Capital Stock</w:t>
              </w:r>
            </w:hyperlink>
          </w:p>
        </w:tc>
        <w:tc>
          <w:tcPr>
            <w:tcW w:w="1880" w:type="dxa"/>
            <w:vAlign w:val="bottom"/>
            <w:gridSpan w:val="6"/>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Debt Securities</w:t>
              </w:r>
            </w:hyperlink>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Warrants</w:t>
              </w:r>
            </w:hyperlink>
          </w:p>
        </w:tc>
        <w:tc>
          <w:tcPr>
            <w:tcW w:w="1760" w:type="dxa"/>
            <w:vAlign w:val="bottom"/>
            <w:gridSpan w:val="5"/>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Description of Units</w:t>
              </w:r>
            </w:hyperlink>
          </w:p>
        </w:tc>
        <w:tc>
          <w:tcPr>
            <w:tcW w:w="280" w:type="dxa"/>
            <w:vAlign w:val="bottom"/>
            <w:tcBorders>
              <w:top w:val="single" w:sz="8" w:color="0000EE"/>
            </w:tcBorders>
            <w:gridSpan w:val="3"/>
          </w:tcPr>
          <w:p>
            <w:pPr>
              <w:spacing w:after="0"/>
              <w:rPr>
                <w:sz w:val="17"/>
                <w:szCs w:val="17"/>
                <w:color w:val="auto"/>
              </w:rPr>
            </w:pPr>
          </w:p>
        </w:tc>
        <w:tc>
          <w:tcPr>
            <w:tcW w:w="2180" w:type="dxa"/>
            <w:vAlign w:val="bottom"/>
            <w:gridSpan w:val="7"/>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Forms of Securities</w:t>
              </w:r>
            </w:hyperlink>
          </w:p>
        </w:tc>
        <w:tc>
          <w:tcPr>
            <w:tcW w:w="2520" w:type="dxa"/>
            <w:vAlign w:val="bottom"/>
            <w:gridSpan w:val="12"/>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Plan of Distribution</w:t>
              </w:r>
            </w:hyperlink>
          </w:p>
        </w:tc>
        <w:tc>
          <w:tcPr>
            <w:tcW w:w="2500" w:type="dxa"/>
            <w:vAlign w:val="bottom"/>
            <w:gridSpan w:val="11"/>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Validity of Securities</w:t>
              </w:r>
            </w:hyperlink>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Experts</w:t>
              </w:r>
            </w:hyperlink>
          </w:p>
        </w:tc>
        <w:tc>
          <w:tcPr>
            <w:tcW w:w="960" w:type="dxa"/>
            <w:vAlign w:val="bottom"/>
            <w:tcBorders>
              <w:top w:val="single" w:sz="8" w:color="0000EE"/>
            </w:tcBorders>
            <w:gridSpan w:val="9"/>
          </w:tcPr>
          <w:p>
            <w:pPr>
              <w:spacing w:after="0"/>
              <w:rPr>
                <w:sz w:val="17"/>
                <w:szCs w:val="17"/>
                <w:color w:val="auto"/>
              </w:rPr>
            </w:pPr>
          </w:p>
        </w:tc>
        <w:tc>
          <w:tcPr>
            <w:tcW w:w="2420" w:type="dxa"/>
            <w:vAlign w:val="bottom"/>
            <w:gridSpan w:val="9"/>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860" w:right="2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860" w:right="120" w:hanging="224"/>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30" w:lineRule="exact"/>
        <w:rPr>
          <w:rFonts w:ascii="Arial" w:cs="Arial" w:eastAsia="Arial" w:hAnsi="Arial"/>
          <w:sz w:val="18"/>
          <w:szCs w:val="18"/>
          <w:color w:val="auto"/>
        </w:rPr>
      </w:pPr>
    </w:p>
    <w:p>
      <w:pPr>
        <w:ind w:left="860" w:right="48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860" w:right="2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860" w:right="42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860" w:right="260" w:hanging="224"/>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860" w:hanging="224"/>
        <w:spacing w:after="0" w:line="308"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51" w:lineRule="exact"/>
        <w:rPr>
          <w:rFonts w:ascii="Arial" w:cs="Arial" w:eastAsia="Arial" w:hAnsi="Arial"/>
          <w:sz w:val="17"/>
          <w:szCs w:val="17"/>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the loss of significant distributors;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40" w:hanging="224"/>
        <w:spacing w:after="0" w:line="308"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51" w:lineRule="exact"/>
        <w:rPr>
          <w:rFonts w:ascii="Arial" w:cs="Arial" w:eastAsia="Arial" w:hAnsi="Arial"/>
          <w:sz w:val="17"/>
          <w:szCs w:val="17"/>
          <w:color w:val="auto"/>
        </w:rPr>
      </w:pPr>
    </w:p>
    <w:p>
      <w:pPr>
        <w:ind w:left="860" w:right="300" w:hanging="2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860" w:right="100" w:hanging="2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recruit and retain skilled engineering, management and technical personnel, and effectively manage key employee succession;</w:t>
      </w:r>
    </w:p>
    <w:p>
      <w:pPr>
        <w:spacing w:after="0" w:line="153" w:lineRule="exact"/>
        <w:rPr>
          <w:rFonts w:ascii="Arial" w:cs="Arial" w:eastAsia="Arial" w:hAnsi="Arial"/>
          <w:sz w:val="16"/>
          <w:szCs w:val="16"/>
          <w:color w:val="auto"/>
        </w:rPr>
      </w:pPr>
    </w:p>
    <w:p>
      <w:pPr>
        <w:ind w:left="860" w:right="40" w:hanging="2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00"/>
          </w:cols>
          <w:pgMar w:left="24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2019.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808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2808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28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Texas Instruments Incorporated</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incorporated in Delaware, headquartered in Dallas, Texas, and have design, manufacturing or sales operations in more than 30 countries.</w:t>
      </w:r>
    </w:p>
    <w:p>
      <w:pPr>
        <w:spacing w:after="0" w:line="234" w:lineRule="exact"/>
        <w:rPr>
          <w:sz w:val="20"/>
          <w:szCs w:val="20"/>
          <w:color w:val="auto"/>
        </w:rPr>
      </w:pPr>
    </w:p>
    <w:p>
      <w:pPr>
        <w:jc w:val="both"/>
        <w:ind w:left="380" w:right="220" w:firstLine="426"/>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1" w:lineRule="exact"/>
        <w:rPr>
          <w:sz w:val="20"/>
          <w:szCs w:val="20"/>
          <w:color w:val="auto"/>
        </w:rPr>
      </w:pPr>
    </w:p>
    <w:p>
      <w:pPr>
        <w:ind w:left="380" w:right="60" w:firstLine="426"/>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2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jc w:val="both"/>
        <w:ind w:left="380" w:right="30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Issuer</w:t>
            </w:r>
          </w:p>
        </w:tc>
        <w:tc>
          <w:tcPr>
            <w:tcW w:w="7940" w:type="dxa"/>
            <w:vAlign w:val="bottom"/>
          </w:tcPr>
          <w:p>
            <w:pPr>
              <w:ind w:left="1120"/>
              <w:spacing w:after="0"/>
              <w:rPr>
                <w:sz w:val="20"/>
                <w:szCs w:val="20"/>
                <w:color w:val="auto"/>
              </w:rPr>
            </w:pPr>
            <w:r>
              <w:rPr>
                <w:rFonts w:ascii="Arial" w:cs="Arial" w:eastAsia="Arial" w:hAnsi="Arial"/>
                <w:sz w:val="18"/>
                <w:szCs w:val="18"/>
                <w:color w:val="auto"/>
              </w:rPr>
              <w:t>Texas Instruments Incorporated.</w:t>
            </w: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7940" w:type="dxa"/>
            <w:vAlign w:val="bottom"/>
          </w:tcPr>
          <w:p>
            <w:pPr>
              <w:ind w:left="1120"/>
              <w:spacing w:after="0"/>
              <w:rPr>
                <w:sz w:val="20"/>
                <w:szCs w:val="20"/>
                <w:color w:val="auto"/>
              </w:rPr>
            </w:pPr>
            <w:r>
              <w:rPr>
                <w:rFonts w:ascii="Arial" w:cs="Arial" w:eastAsia="Arial" w:hAnsi="Arial"/>
                <w:sz w:val="18"/>
                <w:szCs w:val="18"/>
                <w:color w:val="auto"/>
              </w:rPr>
              <w:t>$750,000,000 aggregate principal amount of 2.250% Notes due 2029.</w:t>
            </w: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7940" w:type="dxa"/>
            <w:vAlign w:val="bottom"/>
          </w:tcPr>
          <w:p>
            <w:pPr>
              <w:ind w:left="1120"/>
              <w:spacing w:after="0"/>
              <w:rPr>
                <w:sz w:val="20"/>
                <w:szCs w:val="20"/>
                <w:color w:val="auto"/>
              </w:rPr>
            </w:pPr>
            <w:r>
              <w:rPr>
                <w:rFonts w:ascii="Arial" w:cs="Arial" w:eastAsia="Arial" w:hAnsi="Arial"/>
                <w:sz w:val="18"/>
                <w:szCs w:val="18"/>
                <w:color w:val="auto"/>
              </w:rPr>
              <w:t>September 4, 2029.</w:t>
            </w: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7940" w:type="dxa"/>
            <w:vAlign w:val="bottom"/>
          </w:tcPr>
          <w:p>
            <w:pPr>
              <w:ind w:left="1120"/>
              <w:spacing w:after="0"/>
              <w:rPr>
                <w:sz w:val="20"/>
                <w:szCs w:val="20"/>
                <w:color w:val="auto"/>
              </w:rPr>
            </w:pPr>
            <w:r>
              <w:rPr>
                <w:rFonts w:ascii="Arial" w:cs="Arial" w:eastAsia="Arial" w:hAnsi="Arial"/>
                <w:sz w:val="18"/>
                <w:szCs w:val="18"/>
                <w:color w:val="auto"/>
              </w:rPr>
              <w:t>September 4, 2019.</w:t>
            </w: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7940" w:type="dxa"/>
            <w:vAlign w:val="bottom"/>
          </w:tcPr>
          <w:p>
            <w:pPr>
              <w:ind w:left="1120"/>
              <w:spacing w:after="0"/>
              <w:rPr>
                <w:sz w:val="20"/>
                <w:szCs w:val="20"/>
                <w:color w:val="auto"/>
              </w:rPr>
            </w:pPr>
            <w:r>
              <w:rPr>
                <w:rFonts w:ascii="Arial" w:cs="Arial" w:eastAsia="Arial" w:hAnsi="Arial"/>
                <w:sz w:val="18"/>
                <w:szCs w:val="18"/>
                <w:color w:val="auto"/>
              </w:rPr>
              <w:t>Fixed rate of 2.250%.</w:t>
            </w: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940" w:type="dxa"/>
            <w:vAlign w:val="bottom"/>
          </w:tcPr>
          <w:p>
            <w:pPr>
              <w:ind w:left="1120"/>
              <w:spacing w:after="0"/>
              <w:rPr>
                <w:sz w:val="20"/>
                <w:szCs w:val="20"/>
                <w:color w:val="auto"/>
              </w:rPr>
            </w:pPr>
            <w:r>
              <w:rPr>
                <w:rFonts w:ascii="Arial" w:cs="Arial" w:eastAsia="Arial" w:hAnsi="Arial"/>
                <w:sz w:val="18"/>
                <w:szCs w:val="18"/>
                <w:color w:val="auto"/>
                <w:w w:val="97"/>
              </w:rPr>
              <w:t>Each March 4 and September 4, beginning on March 4, 2020, and on the maturity date.</w:t>
            </w:r>
          </w:p>
        </w:tc>
      </w:tr>
      <w:tr>
        <w:trPr>
          <w:trHeight w:val="458"/>
        </w:trPr>
        <w:tc>
          <w:tcPr>
            <w:tcW w:w="3100" w:type="dxa"/>
            <w:vAlign w:val="bottom"/>
          </w:tcPr>
          <w:p>
            <w:pPr>
              <w:ind w:left="180"/>
              <w:spacing w:after="0"/>
              <w:rPr>
                <w:sz w:val="20"/>
                <w:szCs w:val="20"/>
                <w:color w:val="auto"/>
              </w:rPr>
            </w:pPr>
            <w:r>
              <w:rPr>
                <w:rFonts w:ascii="Arial" w:cs="Arial" w:eastAsia="Arial" w:hAnsi="Arial"/>
                <w:sz w:val="18"/>
                <w:szCs w:val="18"/>
                <w:color w:val="auto"/>
              </w:rPr>
              <w:t>Ranking</w:t>
            </w:r>
          </w:p>
        </w:tc>
        <w:tc>
          <w:tcPr>
            <w:tcW w:w="7940" w:type="dxa"/>
            <w:vAlign w:val="bottom"/>
          </w:tcPr>
          <w:p>
            <w:pPr>
              <w:ind w:left="112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8"/>
              </w:rPr>
              <w:t>will rank equally with all of its existing and future senior indebtedness from time to time</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Incorporated will be effectively senior to the Notes.</w:t>
            </w:r>
          </w:p>
        </w:tc>
      </w:tr>
      <w:tr>
        <w:trPr>
          <w:trHeight w:val="445"/>
        </w:trPr>
        <w:tc>
          <w:tcPr>
            <w:tcW w:w="3100" w:type="dxa"/>
            <w:vAlign w:val="bottom"/>
          </w:tcPr>
          <w:p>
            <w:pPr>
              <w:spacing w:after="0"/>
              <w:rPr>
                <w:sz w:val="24"/>
                <w:szCs w:val="24"/>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8"/>
              </w:rPr>
              <w:t>As of June 30, 2019, Texas Instruments Incorporated had approximately $5.8 billion of</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9"/>
              </w:rPr>
              <w:t>outstanding indebtedness. As of June 30, 2019, Texas Instruments had approximately</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4"/>
              </w:rPr>
              <w:t>$8.9 billion of total liabilities on a consolidated basis. Of this amount, subsidiaries of Texas</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Instruments Incorporated had approximately $0.9 billion of liabilities (including trade</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payables and excluding intercompany debt) to which the Notes will be effectively</w:t>
            </w:r>
          </w:p>
        </w:tc>
      </w:tr>
      <w:tr>
        <w:trPr>
          <w:trHeight w:val="230"/>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subordinated.</w:t>
            </w:r>
          </w:p>
        </w:tc>
      </w:tr>
      <w:tr>
        <w:trPr>
          <w:trHeight w:val="445"/>
        </w:trPr>
        <w:tc>
          <w:tcPr>
            <w:tcW w:w="3100" w:type="dxa"/>
            <w:vAlign w:val="bottom"/>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tcPr>
          <w:p>
            <w:pPr>
              <w:ind w:left="1120"/>
              <w:spacing w:after="0"/>
              <w:rPr>
                <w:sz w:val="20"/>
                <w:szCs w:val="20"/>
                <w:color w:val="auto"/>
              </w:rPr>
            </w:pPr>
            <w:r>
              <w:rPr>
                <w:rFonts w:ascii="Arial" w:cs="Arial" w:eastAsia="Arial" w:hAnsi="Arial"/>
                <w:sz w:val="18"/>
                <w:szCs w:val="18"/>
                <w:color w:val="auto"/>
              </w:rPr>
              <w:t>The Notes will be issued in the form of one or more fully registered global securities,</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6"/>
              </w:rPr>
              <w:t>without coupons, in denominations of $2,000 in principal amount and integral multiples of</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3"/>
              </w:rPr>
              <w:t>$1,000 in excess thereof. These global notes will be deposited with the trustee as custodian</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6"/>
              </w:rPr>
              <w:t>for, and registered in the name of, a nominee of The Depository Trust Company, or DTC.</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9"/>
              </w:rPr>
              <w:t>Except in the limited circumstances described under “Description of the Notes—Book-</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9"/>
              </w:rPr>
              <w:t>Entry; Delivery and Form; Global Note,” Notes in certificated form will not be issued or</w:t>
            </w:r>
          </w:p>
        </w:tc>
      </w:tr>
      <w:tr>
        <w:trPr>
          <w:trHeight w:val="230"/>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exchanged for interests in global securities.</w:t>
            </w:r>
          </w:p>
        </w:tc>
      </w:tr>
      <w:tr>
        <w:trPr>
          <w:trHeight w:val="459"/>
        </w:trPr>
        <w:tc>
          <w:tcPr>
            <w:tcW w:w="31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7940" w:type="dxa"/>
            <w:vAlign w:val="bottom"/>
          </w:tcPr>
          <w:p>
            <w:pPr>
              <w:ind w:left="112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31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940" w:type="dxa"/>
            <w:vAlign w:val="bottom"/>
          </w:tcPr>
          <w:p>
            <w:pPr>
              <w:ind w:left="1120"/>
              <w:spacing w:after="0"/>
              <w:rPr>
                <w:sz w:val="20"/>
                <w:szCs w:val="20"/>
                <w:color w:val="auto"/>
              </w:rPr>
            </w:pPr>
            <w:r>
              <w:rPr>
                <w:rFonts w:ascii="Arial" w:cs="Arial" w:eastAsia="Arial" w:hAnsi="Arial"/>
                <w:sz w:val="18"/>
                <w:szCs w:val="18"/>
                <w:color w:val="auto"/>
                <w:w w:val="92"/>
              </w:rPr>
              <w:t>We expect to use the net proceeds of this offering for general corporate purposes. See “Use</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w w:val="94"/>
              </w:rPr>
              <w:t>of Proceeds.” In connection with the issuance of the Notes, we may enter into interest rate</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Arial" w:cs="Arial" w:eastAsia="Arial" w:hAnsi="Arial"/>
                <w:sz w:val="18"/>
                <w:szCs w:val="18"/>
                <w:color w:val="auto"/>
              </w:rPr>
              <w:t>swap agreements with financial institutions, which may include one or more of the</w:t>
            </w:r>
          </w:p>
        </w:tc>
      </w:tr>
      <w:tr>
        <w:trPr>
          <w:trHeight w:val="227"/>
        </w:trPr>
        <w:tc>
          <w:tcPr>
            <w:tcW w:w="310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underwriters or their affiliates.</w:t>
            </w:r>
          </w:p>
        </w:tc>
      </w:tr>
      <w:tr>
        <w:trPr>
          <w:trHeight w:val="361"/>
        </w:trPr>
        <w:tc>
          <w:tcPr>
            <w:tcW w:w="3100" w:type="dxa"/>
            <w:vAlign w:val="bottom"/>
          </w:tcPr>
          <w:p>
            <w:pPr>
              <w:spacing w:after="0"/>
              <w:rPr>
                <w:sz w:val="24"/>
                <w:szCs w:val="24"/>
                <w:color w:val="auto"/>
              </w:rPr>
            </w:pPr>
          </w:p>
        </w:tc>
        <w:tc>
          <w:tcPr>
            <w:tcW w:w="7940" w:type="dxa"/>
            <w:vAlign w:val="bottom"/>
          </w:tcPr>
          <w:p>
            <w:pPr>
              <w:ind w:left="228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806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Texas Instruments Incorporated may create and issue further notes ranking equally and</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ratably with the Notes offered by this prospectus supplement in all respects, so that such</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further notes will be consolidated and form a single series with the Notes offered by this</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Texas Instruments Incorporated may redeem some or all of the Notes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The Notes are a new issue of securities with no established trading market. We do not</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intend to apply for listing of the Notes on any securities exchange. The underwriters have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advised us that they intend to make a market in the Notes, but they are not obligated to do</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so and may discontinue market-making at any time without notice. See “Underwriting” in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this prospectus supplement for more information about possible market-making by the</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27"/>
        </w:trPr>
        <w:tc>
          <w:tcPr>
            <w:tcW w:w="2980" w:type="dxa"/>
            <w:vAlign w:val="bottom"/>
            <w:tcBorders>
              <w:left w:val="single" w:sz="8" w:color="auto"/>
              <w:bottom w:val="single" w:sz="8" w:color="auto"/>
            </w:tcBorders>
          </w:tcPr>
          <w:p>
            <w:pPr>
              <w:spacing w:after="0"/>
              <w:rPr>
                <w:sz w:val="19"/>
                <w:szCs w:val="19"/>
                <w:color w:val="auto"/>
              </w:rPr>
            </w:pPr>
          </w:p>
        </w:tc>
        <w:tc>
          <w:tcPr>
            <w:tcW w:w="806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361"/>
        </w:trPr>
        <w:tc>
          <w:tcPr>
            <w:tcW w:w="2980" w:type="dxa"/>
            <w:vAlign w:val="bottom"/>
          </w:tcPr>
          <w:p>
            <w:pPr>
              <w:spacing w:after="0"/>
              <w:rPr>
                <w:sz w:val="24"/>
                <w:szCs w:val="24"/>
                <w:color w:val="auto"/>
              </w:rPr>
            </w:pPr>
          </w:p>
        </w:tc>
        <w:tc>
          <w:tcPr>
            <w:tcW w:w="806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hereby incorporate by reference risk factors in Item 1A of our Annual Report on Form 10-K for the year ended December 31, 2018.</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301" w:lineRule="exact"/>
        <w:rPr>
          <w:sz w:val="20"/>
          <w:szCs w:val="20"/>
          <w:color w:val="auto"/>
        </w:rPr>
      </w:pPr>
    </w:p>
    <w:p>
      <w:pPr>
        <w:ind w:left="420" w:right="160"/>
        <w:spacing w:after="0" w:line="264"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June 30, 2019, we had approximately $8.9 billion of total liabilities on a consolidated basis. Of this amount, subsidiaries of Texas Instruments Incorporated had approximately $0.9 billion of liabilities (including trade payables and excluding intercompany debt) to which the Notes will be effectively subordinated.</w:t>
      </w:r>
    </w:p>
    <w:p>
      <w:pPr>
        <w:spacing w:after="0" w:line="165"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0" w:lineRule="exact"/>
        <w:rPr>
          <w:sz w:val="20"/>
          <w:szCs w:val="20"/>
          <w:color w:val="auto"/>
        </w:rPr>
      </w:pPr>
    </w:p>
    <w:p>
      <w:pPr>
        <w:ind w:left="42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On an as adjusted basis after giving effect to this offering and the repayment at maturity of $750 million principal amount of our 1.65% Notes due August 3, 2019, as of June 30, 2019, Texas Instruments Incorporated would have had approximately $5.3 billion of total long-term indebtedness (including the Notes), all of which would have been unsecured and unsubordinated.</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7" w:lineRule="exact"/>
        <w:rPr>
          <w:sz w:val="20"/>
          <w:szCs w:val="20"/>
          <w:color w:val="auto"/>
        </w:rPr>
      </w:pPr>
    </w:p>
    <w:p>
      <w:pPr>
        <w:ind w:left="860" w:right="840" w:hanging="2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860" w:right="480" w:hanging="2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its ability to obtain additional financing for working capital, capital expenditures, general corporate and other purposes may be limited.</w:t>
      </w:r>
    </w:p>
    <w:p>
      <w:pPr>
        <w:spacing w:after="0" w:line="237"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anticipate that we will receive net proceeds of approximately $743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40"/>
          </w:cols>
          <w:pgMar w:left="24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June 30, 2019. Our consolidated capitalization, as adjusted, gives effect to the issuance of the Notes offered by this prospectus supplement and the repayment of $750 million aggregate principal amount of our 1.65% Notes due August 3, 2019 at maturity. This table should be read in conjunction with our consolidated financial statements and the related notes incorporated by reference into this prospectus supplement and the accompanying prospectus.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As of June 30, 2019</w:t>
            </w:r>
          </w:p>
        </w:tc>
        <w:tc>
          <w:tcPr>
            <w:tcW w:w="0" w:type="dxa"/>
            <w:vAlign w:val="bottom"/>
          </w:tcPr>
          <w:p>
            <w:pPr>
              <w:spacing w:after="0"/>
              <w:rPr>
                <w:sz w:val="1"/>
                <w:szCs w:val="1"/>
                <w:color w:val="auto"/>
              </w:rPr>
            </w:pPr>
          </w:p>
        </w:tc>
      </w:tr>
      <w:tr>
        <w:trPr>
          <w:trHeight w:val="142"/>
        </w:trPr>
        <w:tc>
          <w:tcPr>
            <w:tcW w:w="85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8"/>
              </w:rPr>
              <w:t>Actual</w:t>
            </w:r>
          </w:p>
        </w:tc>
        <w:tc>
          <w:tcPr>
            <w:tcW w:w="1160" w:type="dxa"/>
            <w:vAlign w:val="bottom"/>
            <w:tcBorders>
              <w:top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offered hereby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Other long-term debt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4,558</w:t>
            </w: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4,558</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70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700"/>
              <w:spacing w:after="0"/>
              <w:rPr>
                <w:sz w:val="20"/>
                <w:szCs w:val="20"/>
                <w:color w:val="auto"/>
              </w:rPr>
            </w:pPr>
            <w:r>
              <w:rPr>
                <w:rFonts w:ascii="Arial" w:cs="Arial" w:eastAsia="Arial" w:hAnsi="Arial"/>
                <w:sz w:val="18"/>
                <w:szCs w:val="18"/>
                <w:color w:val="auto"/>
              </w:rPr>
              <w:t>Shares issued—1,740,815,939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38,974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common stock at cost (806,251,136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(33,775)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 (loss), net of taxes (AOCI)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(457)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ind w:left="106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13,044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Notes offered hereby are shown at the amount of the public offering price, less offering expenses (including underwriting discounts).</w:t>
      </w:r>
    </w:p>
    <w:p>
      <w:pPr>
        <w:spacing w:after="0" w:line="34" w:lineRule="exact"/>
        <w:rPr>
          <w:rFonts w:ascii="Arial" w:cs="Arial" w:eastAsia="Arial" w:hAnsi="Arial"/>
          <w:sz w:val="17"/>
          <w:szCs w:val="17"/>
          <w:color w:val="auto"/>
        </w:rPr>
      </w:pPr>
    </w:p>
    <w:p>
      <w:pPr>
        <w:ind w:left="640" w:right="300" w:hanging="436"/>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$5.9 billion of our existing outstanding notes less net unamortized discounts, premiums and debt issuance costs of $43 million, less $1.2 billion representing the current portion of long-term debt.</w:t>
      </w:r>
    </w:p>
    <w:p>
      <w:pPr>
        <w:ind w:left="640" w:right="300" w:hanging="436"/>
        <w:spacing w:after="0" w:line="26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$5.1 billion of our existing outstanding notes less net unamortized discounts, premiums and debt issuance costs of $43 million, less $499 million representing the current portion of long-term debt.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Notes will mature on September 4, 2029. The Notes will be issued in book-entry form only, in denominations of $2,000 and multiples of $1,000 in excess thereof. Interest on the Notes will accrue from September 4, 2019 at the rate per annum shown on the cover of this prospectus supplement. Interest on the Notes will be payable semi-annually on March 4 and September 4, commencing on March 4, 2020 to the persons in whose names the Notes are registered at the close of business on the fifteenth calendar day immediately preceding the relevant interest payment date (whether or not a business day). Interest on the Notes will be paid to but excluding the relevant interest payment date. Interest on the Notes will be calculated on the basis of a 360-day year comprised of twelve 30-day months.</w:t>
      </w:r>
    </w:p>
    <w:p>
      <w:pPr>
        <w:spacing w:after="0" w:line="17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June 30, 2019, Texas Instruments Incorporated had approximately $5.8 billion of outstanding indebtedness. As of June 30, 2019, we had approximately $8.9 billion of total liabilities on a consolidated basis. Of this amount, subsidiaries of Texas Instruments Incorporated had approximately $0.9 billion of liabilities (including trade payables and excluding intercompany debt) to which the Notes will be effectively subordinated.</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an as adjusted basis after giving effect to this offering and the repayment at maturity of our 1.65% Notes due August 3, 2019, as of June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2019:</w:t>
      </w:r>
    </w:p>
    <w:p>
      <w:pPr>
        <w:spacing w:after="0" w:line="116" w:lineRule="exact"/>
        <w:rPr>
          <w:sz w:val="20"/>
          <w:szCs w:val="20"/>
          <w:color w:val="auto"/>
        </w:rPr>
      </w:pPr>
    </w:p>
    <w:p>
      <w:pPr>
        <w:ind w:left="860" w:right="140" w:hanging="2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$5.3 billion of total long-term indebtedness (including the Notes), all of which would constitute senior and unsubordinated indebtedness;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would have had approximately $8.9 billion of total liabilities on a consolidated basis;</w:t>
      </w:r>
    </w:p>
    <w:p>
      <w:pPr>
        <w:spacing w:after="0" w:line="130" w:lineRule="exact"/>
        <w:rPr>
          <w:rFonts w:ascii="Arial" w:cs="Arial" w:eastAsia="Arial" w:hAnsi="Arial"/>
          <w:sz w:val="18"/>
          <w:szCs w:val="18"/>
          <w:color w:val="auto"/>
        </w:rPr>
      </w:pPr>
    </w:p>
    <w:p>
      <w:pPr>
        <w:ind w:left="860" w:right="260" w:hanging="2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5"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$0.9 billion of liabilities (including trade payables but excluding intercompany debt) to which the Notes would have been structurally subordinated.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by issuing additional Notes in the future on the same terms and conditions, except for any differences in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 xml:space="preserve">the issue price and interest accrued prior to the issue date of the additional Notes. The additional Notes will have the same CUSIP number as the Notes;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additional Notes that are not fungible with the Notes for U.S. federal income tax purposes will be issued under a separate CUSIP</w:t>
      </w:r>
      <w:r>
        <w:rPr>
          <w:rFonts w:ascii="Arial" w:cs="Arial" w:eastAsia="Arial" w:hAnsi="Arial"/>
          <w:sz w:val="18"/>
          <w:szCs w:val="18"/>
          <w:i w:val="1"/>
          <w:iCs w:val="1"/>
          <w:color w:val="auto"/>
        </w:rPr>
        <w:t xml:space="preserve"> </w:t>
      </w:r>
      <w:r>
        <w:rPr>
          <w:rFonts w:ascii="Arial" w:cs="Arial" w:eastAsia="Arial" w:hAnsi="Arial"/>
          <w:sz w:val="18"/>
          <w:szCs w:val="18"/>
          <w:color w:val="auto"/>
        </w:rPr>
        <w:t>number. Texas Instruments Incorporated also may, without the consent of the holders, issue other series of debt securities under the indenture in the future on terms and conditions different from the series of Notes offered hereby.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Prior to June 4, 2029 (the date that is three months prior to the maturity date of the Notes), the Notes will be redeemable, in whole or in part at any time, or from time to time, at Texas Instruments Incorporated’s option, at a “make-whole premium” redemption price calculated by Texas Instruments Incorporated equal to the greater of:</w:t>
      </w:r>
    </w:p>
    <w:p>
      <w:pPr>
        <w:spacing w:after="0" w:line="73" w:lineRule="exact"/>
        <w:rPr>
          <w:sz w:val="20"/>
          <w:szCs w:val="20"/>
          <w:color w:val="auto"/>
        </w:rPr>
      </w:pPr>
    </w:p>
    <w:p>
      <w:pPr>
        <w:ind w:left="1280" w:hanging="212"/>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left="640" w:firstLine="428"/>
        <w:spacing w:after="0" w:line="279" w:lineRule="auto"/>
        <w:tabs>
          <w:tab w:leader="none" w:pos="1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sum of the present values of the principal amount of such Notes and the scheduled payments of interest thereon (not including any portion of such payments of interest accrued as of the date of redemption) from the date of redemption to June 4, 2029 (the date that is three months prior to the maturity date of the Notes), in each case discounted to the date of redemption on a semi-annual basis (assuming a 360-day year consisting of twelve 30-day months) at the Treasury Rate (as defined below), plus 12.5 basis points;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At any time on or after June 4, 2029 (the date that is three months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225"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66"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“Reference Treasury Dealer” means (i) Barclays Capital Inc., BofA Securities, Inc. or J.P. Morgan Securities LLC (or their respective affiliates that are Primary Treasury Dealers) and their respective successors;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Notice of any redemption will be mailed at least 15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860" w:right="20" w:hanging="224"/>
        <w:spacing w:after="0" w:line="34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860" w:right="60" w:hanging="224"/>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ind w:left="860" w:hanging="224"/>
        <w:spacing w:after="0" w:line="30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59" w:lineRule="exact"/>
        <w:rPr>
          <w:rFonts w:ascii="Arial" w:cs="Arial" w:eastAsia="Arial" w:hAnsi="Arial"/>
          <w:sz w:val="16"/>
          <w:szCs w:val="16"/>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620" w:right="440" w:hanging="430"/>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620" w:right="120" w:hanging="430"/>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w:t>
      </w:r>
    </w:p>
    <w:p>
      <w:pPr>
        <w:spacing w:after="0" w:line="142" w:lineRule="exact"/>
        <w:rPr>
          <w:rFonts w:ascii="Arial" w:cs="Arial" w:eastAsia="Arial" w:hAnsi="Arial"/>
          <w:sz w:val="17"/>
          <w:szCs w:val="17"/>
          <w:color w:val="auto"/>
        </w:rPr>
      </w:pPr>
    </w:p>
    <w:p>
      <w:pPr>
        <w:ind w:left="1620" w:hanging="430"/>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620" w:right="340" w:hanging="430"/>
        <w:spacing w:after="0" w:line="277"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6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84" w:lineRule="exact"/>
        <w:rPr>
          <w:sz w:val="20"/>
          <w:szCs w:val="20"/>
          <w:color w:val="auto"/>
        </w:rPr>
      </w:pPr>
    </w:p>
    <w:p>
      <w:pPr>
        <w:ind w:left="5540" w:right="5020" w:hanging="4904"/>
        <w:spacing w:after="0" w:line="536" w:lineRule="auto"/>
        <w:tabs>
          <w:tab w:leader="none" w:pos="8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holder gives the trustee written notice of a continuing event of default; S-12</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2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860" w:right="50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7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7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So long as the depositary, or its nominee, is the registered owner of a registered global note, that depositary or its nominee, as the case may be, will be considered the sole owner or holder of the Notes represented by the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60"/>
          </w:cols>
          <w:pgMar w:left="24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3" w:lineRule="exact"/>
        <w:rPr>
          <w:sz w:val="20"/>
          <w:szCs w:val="20"/>
          <w:color w:val="auto"/>
        </w:rPr>
      </w:pPr>
    </w:p>
    <w:p>
      <w:pPr>
        <w:jc w:val="both"/>
        <w:ind w:left="200" w:right="320" w:firstLine="441"/>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54"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w:t>
      </w:r>
    </w:p>
    <w:p>
      <w:pPr>
        <w:spacing w:after="0" w:line="166"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9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others such as banks, brokers, dealers and trust companies that clear through or maintain a custodial relationship with a Euroclear or Clearstream participant, either directly or indirectly.</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for the Notes.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We maintain ordinary banking relationships with the trustee and its affiliates and in the future may enter into additional such relationships. An affiliate of the trustee is a lender under our credit facility and an affiliate of the trustee is an underwriter of this offering.</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i w:val="1"/>
          <w:iCs w:val="1"/>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81" w:lineRule="exact"/>
        <w:rPr>
          <w:sz w:val="20"/>
          <w:szCs w:val="20"/>
          <w:color w:val="auto"/>
        </w:rPr>
      </w:pPr>
    </w:p>
    <w:p>
      <w:pPr>
        <w:ind w:left="200" w:right="480" w:firstLine="441"/>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860" w:right="500" w:hanging="2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 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860" w:right="320" w:hanging="2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2" w:lineRule="exact"/>
        <w:rPr>
          <w:sz w:val="20"/>
          <w:szCs w:val="20"/>
          <w:color w:val="auto"/>
        </w:rPr>
      </w:pPr>
    </w:p>
    <w:p>
      <w:pPr>
        <w:ind w:left="860" w:hanging="224"/>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860" w:right="160" w:hanging="224"/>
        <w:spacing w:after="0" w:line="342"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29" w:lineRule="exact"/>
        <w:rPr>
          <w:rFonts w:ascii="Arial" w:cs="Arial" w:eastAsia="Arial" w:hAnsi="Arial"/>
          <w:sz w:val="16"/>
          <w:szCs w:val="16"/>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Barclays Capital Inc., BofA Securities, Inc. and J.P. Morgan Securities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w w:val="97"/>
              </w:rPr>
              <w:t>Principal Amount of</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8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Barclays Capital Inc.</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142,500,000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left="200" w:right="420" w:firstLine="441"/>
        <w:spacing w:after="0" w:line="291"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ind w:left="200" w:right="380"/>
        <w:spacing w:after="0" w:line="255" w:lineRule="auto"/>
        <w:rPr>
          <w:sz w:val="20"/>
          <w:szCs w:val="20"/>
          <w:color w:val="auto"/>
        </w:rPr>
      </w:pPr>
      <w:r>
        <w:rPr>
          <w:rFonts w:ascii="Arial" w:cs="Arial" w:eastAsia="Arial" w:hAnsi="Arial"/>
          <w:sz w:val="18"/>
          <w:szCs w:val="18"/>
          <w:color w:val="auto"/>
        </w:rPr>
        <w:t>0.250% per Note. Any such securities dealers may resell any Notes purchased from the underwriters to certain other brokers or dealers at a discount from the initial public offering price not to exceed 0.200% per Note. If all the Notes are not sold at the initial offering price, the underwriters may change the offering price and the other selling terms.</w:t>
      </w:r>
    </w:p>
    <w:p>
      <w:pPr>
        <w:spacing w:after="0" w:line="19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89" w:lineRule="exact"/>
        <w:rPr>
          <w:sz w:val="20"/>
          <w:szCs w:val="20"/>
          <w:color w:val="auto"/>
        </w:rPr>
      </w:pPr>
    </w:p>
    <w:p>
      <w:pPr>
        <w:ind w:left="10180"/>
        <w:spacing w:after="0"/>
        <w:rPr>
          <w:sz w:val="20"/>
          <w:szCs w:val="20"/>
          <w:color w:val="auto"/>
        </w:rPr>
      </w:pPr>
      <w:r>
        <w:rPr>
          <w:rFonts w:ascii="Arial" w:cs="Arial" w:eastAsia="Arial" w:hAnsi="Arial"/>
          <w:sz w:val="14"/>
          <w:szCs w:val="14"/>
          <w:b w:val="1"/>
          <w:bCs w:val="1"/>
          <w:color w:val="auto"/>
        </w:rPr>
        <w:t>Paid by Texas</w:t>
      </w:r>
    </w:p>
    <w:p>
      <w:pPr>
        <w:ind w:left="10220"/>
        <w:spacing w:after="0" w:line="226" w:lineRule="auto"/>
        <w:rPr>
          <w:sz w:val="20"/>
          <w:szCs w:val="20"/>
          <w:color w:val="auto"/>
        </w:rPr>
      </w:pPr>
      <w:r>
        <w:rPr>
          <w:rFonts w:ascii="Arial" w:cs="Arial" w:eastAsia="Arial" w:hAnsi="Arial"/>
          <w:sz w:val="14"/>
          <w:szCs w:val="14"/>
          <w:b w:val="1"/>
          <w:bCs w:val="1"/>
          <w:color w:val="auto"/>
        </w:rPr>
        <w:t>Instruments</w:t>
      </w:r>
    </w:p>
    <w:p>
      <w:pPr>
        <w:ind w:left="10180"/>
        <w:spacing w:after="0" w:line="232" w:lineRule="auto"/>
        <w:rPr>
          <w:sz w:val="20"/>
          <w:szCs w:val="20"/>
          <w:color w:val="auto"/>
        </w:rPr>
      </w:pPr>
      <w:r>
        <w:rPr>
          <w:rFonts w:ascii="Arial" w:cs="Arial" w:eastAsia="Arial" w:hAnsi="Arial"/>
          <w:sz w:val="14"/>
          <w:szCs w:val="14"/>
          <w:b w:val="1"/>
          <w:bCs w:val="1"/>
          <w:color w:val="auto"/>
        </w:rPr>
        <w:t>Incorporated</w:t>
      </w:r>
    </w:p>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9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960" w:type="dxa"/>
            <w:vAlign w:val="bottom"/>
            <w:vMerge w:val="continue"/>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0.450%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estimate that our total expenses for this offering will be approximately $5.0 million, including underwriting discounts.</w:t>
      </w:r>
    </w:p>
    <w:p>
      <w:pPr>
        <w:spacing w:after="0" w:line="225"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860" w:right="50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75" w:lineRule="exact"/>
        <w:rPr>
          <w:rFonts w:ascii="Arial" w:cs="Arial" w:eastAsia="Arial" w:hAnsi="Arial"/>
          <w:sz w:val="18"/>
          <w:szCs w:val="18"/>
          <w:color w:val="auto"/>
        </w:rPr>
      </w:pPr>
    </w:p>
    <w:p>
      <w:pPr>
        <w:ind w:left="860" w:right="54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860" w:right="280" w:hanging="224"/>
        <w:spacing w:after="0" w:line="264"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5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sixth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T+6, to specify alternative settlement arrangements to prevent a failed settlement.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 In addition, an affiliate of one of the underwriters is the trustee for the Notes and our other debt securities outstanding under the indenture.</w:t>
      </w:r>
    </w:p>
    <w:p>
      <w:pPr>
        <w:spacing w:after="0" w:line="17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jc w:val="both"/>
        <w:ind w:left="200" w:right="180" w:firstLine="441"/>
        <w:spacing w:after="0" w:line="288"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w:t>
      </w:r>
    </w:p>
    <w:p>
      <w:pPr>
        <w:ind w:left="200" w:right="500"/>
        <w:spacing w:after="0" w:line="261" w:lineRule="auto"/>
        <w:rPr>
          <w:sz w:val="20"/>
          <w:szCs w:val="20"/>
          <w:color w:val="auto"/>
        </w:rPr>
      </w:pPr>
      <w:r>
        <w:rPr>
          <w:rFonts w:ascii="Arial" w:cs="Arial" w:eastAsia="Arial" w:hAnsi="Arial"/>
          <w:sz w:val="18"/>
          <w:szCs w:val="18"/>
          <w:color w:val="auto"/>
        </w:rPr>
        <w:t>2016/97, where that customer would not qualify as a professional client as defined in point (10) of Article 4(1) of MiFID II; or (iii) not a qualified investor as defined in Regulation (EU) 2017/1129 (as amended or superseded,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Regulation from the requirement to publish a prospectus for offers of Notes. This prospectus is not a prospectus for the purposes of the Prospectus Regulation.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who are (i) persons having professional experience in matters relating to investments falling within Article 19(5) of the Financial Services and Markets Act 2000 (Financial Promotion) Order 2005, as amended (the “Order”), or (ii) high net worth entities, companies or persons to whom it may otherwise be lawfully communicated, falling within Article 49(2)(a) to (d) of the Order, or (iii) persons to whom it would otherwise be lawful to distribute it, all such persons collectively being referred to as “relevant persons”. This document must not be acted on or relied on in the United Kingdom by persons who are not relevant persons. In the United Kingdom, any investment or investment activity to which this document relates is only available to, and any invitation, offer or agreement to subscribe, purchase or otherwise acquire such Notes will be engaged in only with, relevant persons. Any person in the United Kingdom that is not a relevant person should not act or rely on this document or its contents.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291"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79" w:lineRule="auto"/>
        <w:rPr>
          <w:sz w:val="20"/>
          <w:szCs w:val="20"/>
          <w:color w:val="auto"/>
        </w:rPr>
      </w:pPr>
      <w:r>
        <w:rPr>
          <w:rFonts w:ascii="Arial" w:cs="Arial" w:eastAsia="Arial" w:hAnsi="Arial"/>
          <w:sz w:val="17"/>
          <w:szCs w:val="17"/>
          <w:color w:val="auto"/>
        </w:rPr>
        <w:t xml:space="preserve">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(“NI 45-106”) or, in Ontario, as such term is defined in 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(iii) is a “permitted client” as such term is defined in section 1.1 of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Prospectus and 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 with a remedy for damages or rescission, or both, in addition to any other rights they may have at law, where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60" w:lineRule="exact"/>
        <w:rPr>
          <w:sz w:val="20"/>
          <w:szCs w:val="20"/>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860" w:right="40" w:hanging="224"/>
        <w:spacing w:after="0" w:line="264"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860" w:right="60" w:hanging="224"/>
        <w:spacing w:after="0" w:line="342" w:lineRule="auto"/>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 -or-2° -or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àl’épargne</w:t>
      </w:r>
      <w:r>
        <w:rPr>
          <w:rFonts w:ascii="Arial" w:cs="Arial" w:eastAsia="Arial" w:hAnsi="Arial"/>
          <w:sz w:val="16"/>
          <w:szCs w:val="16"/>
          <w:color w:val="auto"/>
        </w:rPr>
        <w:t>).</w:t>
      </w:r>
    </w:p>
    <w:p>
      <w:pPr>
        <w:spacing w:after="0" w:line="12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860" w:right="100" w:hanging="224"/>
        <w:spacing w:after="0" w:line="308"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64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7" w:lineRule="exact"/>
        <w:rPr>
          <w:sz w:val="20"/>
          <w:szCs w:val="20"/>
          <w:color w:val="auto"/>
        </w:rPr>
      </w:pPr>
    </w:p>
    <w:p>
      <w:pPr>
        <w:ind w:left="860" w:hanging="224"/>
        <w:spacing w:after="0" w:line="25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b w:val="1"/>
          <w:bCs w:val="1"/>
          <w:i w:val="1"/>
          <w:iCs w:val="1"/>
          <w:color w:val="auto"/>
        </w:rPr>
        <w:t xml:space="preserve">Singapore Securities and Futures Act Product Classification </w:t>
      </w:r>
      <w:r>
        <w:rPr>
          <w:rFonts w:ascii="Arial" w:cs="Arial" w:eastAsia="Arial" w:hAnsi="Arial"/>
          <w:sz w:val="17"/>
          <w:szCs w:val="17"/>
          <w:color w:val="auto"/>
        </w:rPr>
        <w:t>– Solely for the purposes of its obligations pursuant to sections 309B(1)(a)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Each purchaser of the Notes that is (1) an employee benefit plan subject to Title I of the Employee Retirement Income Security Act of 1974, as amended (“ERISA”), (2) a plan or account subject to Section 4975 of the Internal Revenue Code of 1986, as amended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77" w:lineRule="exact"/>
        <w:rPr>
          <w:sz w:val="20"/>
          <w:szCs w:val="20"/>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independent of the issuer, each underwriter and their respective affiliates (the “Transaction Parties”);</w:t>
      </w:r>
    </w:p>
    <w:p>
      <w:pPr>
        <w:spacing w:after="0" w:line="130" w:lineRule="exact"/>
        <w:rPr>
          <w:rFonts w:ascii="Arial" w:cs="Arial" w:eastAsia="Arial" w:hAnsi="Arial"/>
          <w:sz w:val="18"/>
          <w:szCs w:val="18"/>
          <w:color w:val="auto"/>
        </w:rPr>
      </w:pPr>
    </w:p>
    <w:p>
      <w:pPr>
        <w:ind w:left="1180" w:right="66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86" w:lineRule="exact"/>
        <w:rPr>
          <w:rFonts w:ascii="Arial" w:cs="Arial" w:eastAsia="Arial" w:hAnsi="Arial"/>
          <w:sz w:val="18"/>
          <w:szCs w:val="18"/>
          <w:color w:val="auto"/>
        </w:rPr>
      </w:pPr>
    </w:p>
    <w:p>
      <w:pPr>
        <w:ind w:left="1180" w:right="320" w:hanging="544"/>
        <w:spacing w:after="0" w:line="264"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86" w:lineRule="exact"/>
        <w:rPr>
          <w:rFonts w:ascii="Arial" w:cs="Arial" w:eastAsia="Arial" w:hAnsi="Arial"/>
          <w:sz w:val="18"/>
          <w:szCs w:val="18"/>
          <w:color w:val="auto"/>
        </w:rPr>
      </w:pPr>
    </w:p>
    <w:p>
      <w:pPr>
        <w:ind w:left="1180" w:hanging="544"/>
        <w:spacing w:after="0" w:line="293"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40"/>
          </w:cols>
          <w:pgMar w:left="24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herein. Our financial statements are incorporated by reference in reliance on Ernst &amp; Young LLP’s reports, given on their authority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forms a part and the exhibits and schedules thereto.</w:t>
      </w:r>
    </w:p>
    <w:p>
      <w:pPr>
        <w:spacing w:after="0" w:line="181" w:lineRule="exact"/>
        <w:rPr>
          <w:sz w:val="20"/>
          <w:szCs w:val="20"/>
          <w:color w:val="auto"/>
        </w:rPr>
      </w:pPr>
    </w:p>
    <w:p>
      <w:pPr>
        <w:ind w:left="200" w:right="20" w:firstLine="441"/>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w:t>
      </w:r>
      <w:hyperlink r:id="rId50">
        <w:r>
          <w:rPr>
            <w:rFonts w:ascii="Arial" w:cs="Arial" w:eastAsia="Arial" w:hAnsi="Arial"/>
            <w:sz w:val="16"/>
            <w:szCs w:val="16"/>
            <w:u w:val="single" w:color="auto"/>
            <w:color w:val="0000EE"/>
          </w:rPr>
          <w:t>Form 10-K</w:t>
        </w:r>
      </w:hyperlink>
      <w:r>
        <w:rPr>
          <w:rFonts w:ascii="Arial" w:cs="Arial" w:eastAsia="Arial" w:hAnsi="Arial"/>
          <w:sz w:val="16"/>
          <w:szCs w:val="16"/>
          <w:color w:val="auto"/>
        </w:rPr>
        <w:t xml:space="preserve"> for the year ended December 31, 2018, filed on February 22, 2019, the sections of the Definitive Proxy Statement on </w:t>
      </w:r>
      <w:hyperlink r:id="rId51">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2019 annual meeting of stockholders, filed on March 12, 2019 and incorporated by reference in the Annual Report on </w:t>
      </w:r>
      <w:hyperlink r:id="rId50">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year ended December 31, 2018, the Quarterly Reports on Form 10-Q for the periods ended </w:t>
      </w:r>
      <w:hyperlink r:id="rId52">
        <w:r>
          <w:rPr>
            <w:rFonts w:ascii="Arial" w:cs="Arial" w:eastAsia="Arial" w:hAnsi="Arial"/>
            <w:sz w:val="16"/>
            <w:szCs w:val="16"/>
            <w:u w:val="single" w:color="auto"/>
            <w:color w:val="0000EE"/>
          </w:rPr>
          <w:t>March 31,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53">
        <w:r>
          <w:rPr>
            <w:rFonts w:ascii="Arial" w:cs="Arial" w:eastAsia="Arial" w:hAnsi="Arial"/>
            <w:sz w:val="16"/>
            <w:szCs w:val="16"/>
            <w:u w:val="single" w:color="auto"/>
            <w:color w:val="0000EE"/>
          </w:rPr>
          <w:t>June 30, 2019</w:t>
        </w:r>
      </w:hyperlink>
      <w:r>
        <w:rPr>
          <w:rFonts w:ascii="Arial" w:cs="Arial" w:eastAsia="Arial" w:hAnsi="Arial"/>
          <w:sz w:val="16"/>
          <w:szCs w:val="16"/>
          <w:color w:val="auto"/>
        </w:rPr>
        <w:t xml:space="preserve">, filed on April 30, 2019 and July 31, 2019, respectively, the Current Reports on Form 8-K filed on </w:t>
      </w:r>
      <w:hyperlink r:id="rId54">
        <w:r>
          <w:rPr>
            <w:rFonts w:ascii="Arial" w:cs="Arial" w:eastAsia="Arial" w:hAnsi="Arial"/>
            <w:sz w:val="16"/>
            <w:szCs w:val="16"/>
            <w:u w:val="single" w:color="auto"/>
            <w:color w:val="0000EE"/>
          </w:rPr>
          <w:t>March 11,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55">
        <w:r>
          <w:rPr>
            <w:rFonts w:ascii="Arial" w:cs="Arial" w:eastAsia="Arial" w:hAnsi="Arial"/>
            <w:sz w:val="16"/>
            <w:szCs w:val="16"/>
            <w:u w:val="single" w:color="auto"/>
            <w:color w:val="0000EE"/>
          </w:rPr>
          <w:t>April 29,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67" w:lineRule="exact"/>
        <w:rPr>
          <w:rFonts w:ascii="Arial" w:cs="Arial" w:eastAsia="Arial" w:hAnsi="Arial"/>
          <w:sz w:val="16"/>
          <w:szCs w:val="16"/>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1" w:lineRule="exact"/>
        <w:rPr>
          <w:rFonts w:ascii="Arial" w:cs="Arial" w:eastAsia="Arial" w:hAnsi="Arial"/>
          <w:sz w:val="16"/>
          <w:szCs w:val="16"/>
          <w:color w:val="auto"/>
        </w:rPr>
      </w:pPr>
    </w:p>
    <w:p>
      <w:pPr>
        <w:ind w:left="200" w:firstLine="441"/>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79" w:lineRule="exact"/>
        <w:rPr>
          <w:rFonts w:ascii="Arial" w:cs="Arial" w:eastAsia="Arial" w:hAnsi="Arial"/>
          <w:sz w:val="16"/>
          <w:szCs w:val="16"/>
          <w:color w:val="auto"/>
        </w:rPr>
      </w:pPr>
    </w:p>
    <w:p>
      <w:pPr>
        <w:jc w:val="center"/>
        <w:ind w:right="-2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262255</wp:posOffset>
            </wp:positionV>
            <wp:extent cx="1466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220"/>
          </w:cols>
          <w:pgMar w:left="240" w:top="459" w:right="439" w:bottom="1440" w:gutter="0" w:footer="0" w:header="0"/>
        </w:sectPr>
      </w:pPr>
    </w:p>
    <w:p>
      <w:pPr>
        <w:spacing w:after="0" w:line="7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260" w:space="280"/>
            <w:col w:w="4580" w:space="720"/>
            <w:col w:w="60" w:space="280"/>
            <w:col w:w="50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Units</w:t>
      </w:r>
    </w:p>
    <w:p>
      <w:pPr>
        <w:spacing w:after="0" w:line="140" w:lineRule="exact"/>
        <w:rPr>
          <w:sz w:val="20"/>
          <w:szCs w:val="20"/>
          <w:color w:val="auto"/>
        </w:rPr>
      </w:pPr>
    </w:p>
    <w:p>
      <w:pPr>
        <w:sectPr>
          <w:pgSz w:w="11900" w:h="16838" w:orient="portrait"/>
          <w:cols w:equalWidth="0" w:num="4">
            <w:col w:w="260" w:space="280"/>
            <w:col w:w="4580" w:space="720"/>
            <w:col w:w="60" w:space="280"/>
            <w:col w:w="5040"/>
          </w:cols>
          <w:pgMar w:left="240" w:top="459" w:right="439" w:bottom="1440" w:gutter="0" w:footer="0" w:header="0"/>
          <w:type w:val="continuous"/>
        </w:sectPr>
      </w:pPr>
    </w:p>
    <w:p>
      <w:pPr>
        <w:ind w:left="540" w:hanging="33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Amount payable at maturity</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21, 2019, the reported last sale price on The Nasdaq Global Select Market for our common stock was $106.64.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200" w:right="720" w:firstLine="441"/>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2018,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161925</wp:posOffset>
            </wp:positionV>
            <wp:extent cx="1466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0" w:right="30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is February 22, 2019</w:t>
      </w:r>
    </w:p>
    <w:p>
      <w:pPr>
        <w:sectPr>
          <w:pgSz w:w="11900" w:h="16838" w:orient="portrait"/>
          <w:cols w:equalWidth="0" w:num="1">
            <w:col w:w="11220"/>
          </w:cols>
          <w:pgMar w:left="24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80" w:type="dxa"/>
            <w:vAlign w:val="bottom"/>
            <w:gridSpan w:val="2"/>
          </w:tcPr>
          <w:p>
            <w:pPr>
              <w:jc w:val="right"/>
              <w:ind w:right="44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000" w:type="dxa"/>
            <w:vAlign w:val="bottom"/>
            <w:gridSpan w:val="13"/>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The Company</w:t>
              </w:r>
            </w:hyperlink>
          </w:p>
        </w:tc>
        <w:tc>
          <w:tcPr>
            <w:tcW w:w="698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4000" w:type="dxa"/>
            <w:vAlign w:val="bottom"/>
            <w:gridSpan w:val="13"/>
            <w:vMerge w:val="continue"/>
          </w:tcPr>
          <w:p>
            <w:pPr>
              <w:spacing w:after="0"/>
              <w:rPr>
                <w:sz w:val="13"/>
                <w:szCs w:val="13"/>
                <w:color w:val="auto"/>
              </w:rPr>
            </w:pPr>
          </w:p>
        </w:tc>
        <w:tc>
          <w:tcPr>
            <w:tcW w:w="67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Where You Can Find More Information</w:t>
              </w:r>
            </w:hyperlink>
          </w:p>
        </w:tc>
        <w:tc>
          <w:tcPr>
            <w:tcW w:w="1120" w:type="dxa"/>
            <w:vAlign w:val="bottom"/>
            <w:gridSpan w:val="2"/>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Notice Regarding Forward-Looking Statements</w:t>
              </w:r>
            </w:hyperlink>
          </w:p>
        </w:tc>
        <w:tc>
          <w:tcPr>
            <w:tcW w:w="560" w:type="dxa"/>
            <w:vAlign w:val="bottom"/>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Use of Proceeds</w:t>
              </w:r>
            </w:hyperlink>
          </w:p>
        </w:tc>
        <w:tc>
          <w:tcPr>
            <w:tcW w:w="2820" w:type="dxa"/>
            <w:vAlign w:val="bottom"/>
            <w:gridSpan w:val="10"/>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Description of Capital Stock</w:t>
              </w:r>
            </w:hyperlink>
          </w:p>
        </w:tc>
        <w:tc>
          <w:tcPr>
            <w:tcW w:w="1940" w:type="dxa"/>
            <w:vAlign w:val="bottom"/>
            <w:gridSpan w:val="4"/>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Debt Securities</w:t>
              </w:r>
            </w:hyperlink>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Warrants</w:t>
              </w:r>
            </w:hyperlink>
          </w:p>
        </w:tc>
        <w:tc>
          <w:tcPr>
            <w:tcW w:w="1820" w:type="dxa"/>
            <w:vAlign w:val="bottom"/>
            <w:gridSpan w:val="3"/>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Description of Units</w:t>
              </w:r>
            </w:hyperlink>
          </w:p>
        </w:tc>
        <w:tc>
          <w:tcPr>
            <w:tcW w:w="240" w:type="dxa"/>
            <w:vAlign w:val="bottom"/>
            <w:tcBorders>
              <w:top w:val="single" w:sz="8" w:color="0000EE"/>
            </w:tcBorders>
            <w:gridSpan w:val="2"/>
          </w:tcPr>
          <w:p>
            <w:pPr>
              <w:spacing w:after="0"/>
              <w:rPr>
                <w:sz w:val="17"/>
                <w:szCs w:val="17"/>
                <w:color w:val="auto"/>
              </w:rPr>
            </w:pPr>
          </w:p>
        </w:tc>
        <w:tc>
          <w:tcPr>
            <w:tcW w:w="2280" w:type="dxa"/>
            <w:vAlign w:val="bottom"/>
            <w:gridSpan w:val="5"/>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Forms of Securities</w:t>
              </w:r>
            </w:hyperlink>
          </w:p>
        </w:tc>
        <w:tc>
          <w:tcPr>
            <w:tcW w:w="2580" w:type="dxa"/>
            <w:vAlign w:val="bottom"/>
            <w:gridSpan w:val="9"/>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Plan of Distribution</w:t>
              </w:r>
            </w:hyperlink>
          </w:p>
        </w:tc>
        <w:tc>
          <w:tcPr>
            <w:tcW w:w="2560" w:type="dxa"/>
            <w:vAlign w:val="bottom"/>
            <w:gridSpan w:val="8"/>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Validity of Securities</w:t>
              </w:r>
            </w:hyperlink>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420" w:type="dxa"/>
            <w:vAlign w:val="bottom"/>
            <w:gridSpan w:val="6"/>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442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002145" cy="3442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80" w:right="400" w:firstLine="426"/>
        <w:spacing w:after="0" w:line="264"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81" w:lineRule="exact"/>
        <w:rPr>
          <w:sz w:val="20"/>
          <w:szCs w:val="20"/>
          <w:color w:val="auto"/>
        </w:rPr>
      </w:pPr>
    </w:p>
    <w:p>
      <w:pPr>
        <w:jc w:val="both"/>
        <w:ind w:left="380" w:right="200" w:firstLine="426"/>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380" w:right="20" w:firstLine="42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7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240" w:top="459" w:right="6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200" w:right="40" w:firstLine="441"/>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50">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2018, filed on February 22, 2019, the description of our common stock contained in our registration statement on </w:t>
      </w:r>
      <w:hyperlink r:id="rId66">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1180" w:right="300" w:hanging="544"/>
        <w:spacing w:after="0" w:line="26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2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1180" w:right="74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180" w:right="40" w:hanging="544"/>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1180" w:right="60" w:hanging="544"/>
        <w:spacing w:after="0" w:line="342"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1180" w:right="78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significant distributors;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53" w:lineRule="exact"/>
        <w:rPr>
          <w:rFonts w:ascii="Arial" w:cs="Arial" w:eastAsia="Arial" w:hAnsi="Arial"/>
          <w:sz w:val="16"/>
          <w:szCs w:val="16"/>
          <w:color w:val="auto"/>
        </w:rPr>
      </w:pPr>
    </w:p>
    <w:p>
      <w:pPr>
        <w:ind w:left="1180" w:right="180" w:hanging="544"/>
        <w:spacing w:after="0" w:line="342"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29" w:lineRule="exact"/>
        <w:rPr>
          <w:rFonts w:ascii="Arial" w:cs="Arial" w:eastAsia="Arial" w:hAnsi="Arial"/>
          <w:sz w:val="16"/>
          <w:szCs w:val="16"/>
          <w:color w:val="auto"/>
        </w:rPr>
      </w:pPr>
    </w:p>
    <w:p>
      <w:pPr>
        <w:ind w:left="1180" w:right="4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180" w:right="50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1180" w:right="78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 and effectively manage key employee succession;</w:t>
      </w:r>
    </w:p>
    <w:p>
      <w:pPr>
        <w:spacing w:after="0" w:line="75" w:lineRule="exact"/>
        <w:rPr>
          <w:rFonts w:ascii="Arial" w:cs="Arial" w:eastAsia="Arial" w:hAnsi="Arial"/>
          <w:sz w:val="18"/>
          <w:szCs w:val="18"/>
          <w:color w:val="auto"/>
        </w:rPr>
      </w:pPr>
    </w:p>
    <w:p>
      <w:pPr>
        <w:ind w:left="1180" w:right="54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January 31, 2019, there were 940,020,248 shares of common stock outstanding which were held of record by 13,653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As of January 31, 2019,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180" w:right="320" w:hanging="544"/>
        <w:spacing w:after="0" w:line="308" w:lineRule="auto"/>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180" w:right="180" w:hanging="544"/>
        <w:spacing w:after="0" w:line="342" w:lineRule="auto"/>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2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66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0" w:hanging="544"/>
        <w:spacing w:after="0" w:line="264"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180" w:right="18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200" w:right="120" w:firstLine="4"/>
        <w:spacing w:after="0" w:line="302" w:lineRule="auto"/>
        <w:tabs>
          <w:tab w:leader="none" w:pos="4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2" w:lineRule="exact"/>
        <w:rPr>
          <w:sz w:val="20"/>
          <w:szCs w:val="20"/>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180" w:right="26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180" w:right="40" w:hanging="544"/>
        <w:spacing w:after="0" w:line="259"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180" w:right="40" w:hanging="544"/>
        <w:spacing w:after="0" w:line="276"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77" w:lineRule="exact"/>
        <w:rPr>
          <w:rFonts w:ascii="Arial" w:cs="Arial" w:eastAsia="Arial" w:hAnsi="Arial"/>
          <w:sz w:val="17"/>
          <w:szCs w:val="17"/>
          <w:color w:val="auto"/>
        </w:rPr>
      </w:pPr>
    </w:p>
    <w:p>
      <w:pPr>
        <w:ind w:left="1180" w:right="12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200" w:right="100" w:firstLine="441"/>
        <w:spacing w:after="0" w:line="302"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0" w:lineRule="exact"/>
        <w:rPr>
          <w:sz w:val="20"/>
          <w:szCs w:val="20"/>
          <w:color w:val="auto"/>
        </w:rPr>
      </w:pPr>
    </w:p>
    <w:p>
      <w:pPr>
        <w:ind w:left="1180" w:hanging="544"/>
        <w:spacing w:after="0" w:line="259"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180" w:right="320" w:hanging="544"/>
        <w:spacing w:after="0" w:line="342" w:lineRule="auto"/>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620" w:hanging="430"/>
        <w:spacing w:after="0"/>
        <w:tabs>
          <w:tab w:leader="none" w:pos="16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760" w:hanging="430"/>
        <w:spacing w:after="0" w:line="342" w:lineRule="auto"/>
        <w:tabs>
          <w:tab w:leader="none" w:pos="1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180" w:right="160" w:hanging="544"/>
        <w:spacing w:after="0" w:line="286" w:lineRule="auto"/>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6"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180" w:right="180" w:hanging="544"/>
        <w:spacing w:after="0" w:line="273"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1180" w:right="600" w:hanging="544"/>
        <w:spacing w:after="0" w:line="308" w:lineRule="auto"/>
        <w:tabs>
          <w:tab w:leader="none" w:pos="1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180" w:right="480" w:hanging="544"/>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180" w:right="200" w:hanging="544"/>
        <w:spacing w:after="0" w:line="264"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6"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180" w:hanging="544"/>
        <w:spacing w:after="0" w:line="259"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620" w:right="260" w:hanging="430"/>
        <w:spacing w:after="0" w:line="277"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620" w:right="160" w:hanging="430"/>
        <w:spacing w:after="0" w:line="277"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180" w:hanging="544"/>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620" w:right="400" w:hanging="430"/>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7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2"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w:t>
      </w:r>
    </w:p>
    <w:p>
      <w:pPr>
        <w:ind w:left="200" w:right="200"/>
        <w:spacing w:after="0" w:line="295" w:lineRule="auto"/>
        <w:rPr>
          <w:sz w:val="20"/>
          <w:szCs w:val="20"/>
          <w:color w:val="auto"/>
        </w:rPr>
      </w:pPr>
      <w:r>
        <w:rPr>
          <w:rFonts w:ascii="Arial" w:cs="Arial" w:eastAsia="Arial" w:hAnsi="Arial"/>
          <w:sz w:val="16"/>
          <w:szCs w:val="16"/>
          <w:color w:val="auto"/>
        </w:rPr>
        <w:t>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67" w:lineRule="exact"/>
        <w:rPr>
          <w:sz w:val="20"/>
          <w:szCs w:val="20"/>
          <w:color w:val="auto"/>
        </w:rPr>
      </w:pPr>
    </w:p>
    <w:p>
      <w:pPr>
        <w:ind w:left="1180" w:hanging="54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180" w:right="20" w:hanging="544"/>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180" w:hanging="544"/>
        <w:spacing w:after="0" w:line="293" w:lineRule="auto"/>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180" w:right="40" w:hanging="544"/>
        <w:spacing w:after="0" w:line="270" w:lineRule="auto"/>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7" w:lineRule="exact"/>
        <w:rPr>
          <w:rFonts w:ascii="Arial" w:cs="Arial" w:eastAsia="Arial" w:hAnsi="Arial"/>
          <w:sz w:val="17"/>
          <w:szCs w:val="17"/>
          <w:color w:val="auto"/>
        </w:rPr>
      </w:pPr>
    </w:p>
    <w:p>
      <w:pPr>
        <w:ind w:left="1180" w:right="160" w:hanging="544"/>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180" w:hanging="544"/>
        <w:spacing w:after="0" w:line="25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544"/>
        <w:spacing w:after="0" w:line="264"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180" w:hanging="54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180" w:right="240" w:hanging="544"/>
        <w:spacing w:after="0" w:line="308" w:lineRule="auto"/>
        <w:tabs>
          <w:tab w:leader="none" w:pos="1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180" w:right="4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180" w:right="30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180" w:hanging="544"/>
        <w:spacing w:after="0"/>
        <w:tabs>
          <w:tab w:leader="none" w:pos="1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180" w:hanging="54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80" w:hanging="544"/>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180" w:right="720" w:hanging="544"/>
        <w:spacing w:after="0" w:line="264"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waives a default in respect of a covenant or provision which cannot be modified or amended without the consent of each affected holder.</w:t>
      </w:r>
    </w:p>
    <w:p>
      <w:pPr>
        <w:spacing w:after="0" w:line="24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240" w:top="459"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5"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180" w:hanging="544"/>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200" w:right="180" w:firstLine="441"/>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58" w:lineRule="exact"/>
        <w:rPr>
          <w:sz w:val="20"/>
          <w:szCs w:val="20"/>
          <w:color w:val="auto"/>
        </w:rPr>
      </w:pPr>
    </w:p>
    <w:p>
      <w:pPr>
        <w:jc w:val="both"/>
        <w:ind w:left="200" w:right="240" w:firstLine="441"/>
        <w:spacing w:after="0" w:line="312"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into this prospectus and elsewhere in the registration statement. Our financial statements and our management’s assessment of the effectiveness of internal control over financial reporting as of December 31, 2018, are incorporated by reference in reliance on Ernst &amp; Young LLP’s reports, given on their authority as experts in accounting and auditing.</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240" w:top="459" w:right="5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1386840</wp:posOffset>
            </wp:positionV>
            <wp:extent cx="2872740" cy="677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2872740" cy="6775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$750,000,000 2.250%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1147445</wp:posOffset>
            </wp:positionV>
            <wp:extent cx="7632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August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317500</wp:posOffset>
            </wp:positionV>
            <wp:extent cx="7632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Joint Book-Running Managers</w:t>
      </w:r>
    </w:p>
    <w:p>
      <w:pPr>
        <w:spacing w:after="0" w:line="216" w:lineRule="exact"/>
        <w:rPr>
          <w:sz w:val="20"/>
          <w:szCs w:val="20"/>
          <w:color w:val="auto"/>
        </w:rPr>
      </w:pPr>
    </w:p>
    <w:p>
      <w:pPr>
        <w:ind w:left="200"/>
        <w:spacing w:after="0"/>
        <w:tabs>
          <w:tab w:leader="none" w:pos="4240" w:val="left"/>
          <w:tab w:leader="none" w:pos="9320" w:val="left"/>
        </w:tabs>
        <w:rPr>
          <w:sz w:val="20"/>
          <w:szCs w:val="20"/>
          <w:color w:val="auto"/>
        </w:rPr>
      </w:pPr>
      <w:r>
        <w:rPr>
          <w:rFonts w:ascii="Arial" w:cs="Arial" w:eastAsia="Arial" w:hAnsi="Arial"/>
          <w:sz w:val="36"/>
          <w:szCs w:val="36"/>
          <w:b w:val="1"/>
          <w:bCs w:val="1"/>
          <w:color w:val="auto"/>
        </w:rPr>
        <w:t>Barclays</w:t>
      </w:r>
      <w:r>
        <w:rPr>
          <w:sz w:val="20"/>
          <w:szCs w:val="20"/>
          <w:color w:val="auto"/>
        </w:rPr>
        <w:tab/>
      </w:r>
      <w:r>
        <w:rPr>
          <w:rFonts w:ascii="Arial" w:cs="Arial" w:eastAsia="Arial" w:hAnsi="Arial"/>
          <w:sz w:val="36"/>
          <w:szCs w:val="36"/>
          <w:b w:val="1"/>
          <w:bCs w:val="1"/>
          <w:color w:val="auto"/>
        </w:rPr>
        <w:t>BofA Merrill Lynch</w:t>
      </w:r>
      <w:r>
        <w:rPr>
          <w:sz w:val="20"/>
          <w:szCs w:val="20"/>
          <w:color w:val="auto"/>
        </w:rPr>
        <w:tab/>
      </w:r>
      <w:r>
        <w:rPr>
          <w:rFonts w:ascii="Arial" w:cs="Arial" w:eastAsia="Arial" w:hAnsi="Arial"/>
          <w:sz w:val="33"/>
          <w:szCs w:val="33"/>
          <w:b w:val="1"/>
          <w:bCs w:val="1"/>
          <w:color w:val="auto"/>
        </w:rPr>
        <w:t>J.P. Morgan</w:t>
      </w:r>
    </w:p>
    <w:p>
      <w:pPr>
        <w:spacing w:after="0" w:line="362" w:lineRule="exact"/>
        <w:rPr>
          <w:sz w:val="20"/>
          <w:szCs w:val="20"/>
          <w:color w:val="auto"/>
        </w:rPr>
      </w:pPr>
    </w:p>
    <w:p>
      <w:pPr>
        <w:ind w:left="200"/>
        <w:spacing w:after="0"/>
        <w:tabs>
          <w:tab w:leader="none" w:pos="2760" w:val="left"/>
          <w:tab w:leader="none" w:pos="6580" w:val="left"/>
          <w:tab w:leader="none" w:pos="10320" w:val="left"/>
        </w:tabs>
        <w:rPr>
          <w:sz w:val="20"/>
          <w:szCs w:val="20"/>
          <w:color w:val="auto"/>
        </w:rPr>
      </w:pPr>
      <w:r>
        <w:rPr>
          <w:rFonts w:ascii="Arial" w:cs="Arial" w:eastAsia="Arial" w:hAnsi="Arial"/>
          <w:sz w:val="29"/>
          <w:szCs w:val="29"/>
          <w:b w:val="1"/>
          <w:bCs w:val="1"/>
          <w:color w:val="auto"/>
        </w:rPr>
        <w:t>Citigroup</w:t>
      </w:r>
      <w:r>
        <w:rPr>
          <w:sz w:val="20"/>
          <w:szCs w:val="20"/>
          <w:color w:val="auto"/>
        </w:rPr>
        <w:tab/>
      </w:r>
      <w:r>
        <w:rPr>
          <w:rFonts w:ascii="Arial" w:cs="Arial" w:eastAsia="Arial" w:hAnsi="Arial"/>
          <w:sz w:val="29"/>
          <w:szCs w:val="29"/>
          <w:b w:val="1"/>
          <w:bCs w:val="1"/>
          <w:color w:val="auto"/>
        </w:rPr>
        <w:t>Mizuho Securities</w:t>
      </w:r>
      <w:r>
        <w:rPr>
          <w:sz w:val="20"/>
          <w:szCs w:val="20"/>
          <w:color w:val="auto"/>
        </w:rPr>
        <w:tab/>
      </w:r>
      <w:r>
        <w:rPr>
          <w:rFonts w:ascii="Arial" w:cs="Arial" w:eastAsia="Arial" w:hAnsi="Arial"/>
          <w:sz w:val="29"/>
          <w:szCs w:val="29"/>
          <w:b w:val="1"/>
          <w:bCs w:val="1"/>
          <w:color w:val="auto"/>
        </w:rPr>
        <w:t>Morgan Stanley</w:t>
      </w:r>
      <w:r>
        <w:rPr>
          <w:sz w:val="20"/>
          <w:szCs w:val="20"/>
          <w:color w:val="auto"/>
        </w:rPr>
        <w:tab/>
      </w:r>
      <w:r>
        <w:rPr>
          <w:rFonts w:ascii="Arial" w:cs="Arial" w:eastAsia="Arial" w:hAnsi="Arial"/>
          <w:sz w:val="29"/>
          <w:szCs w:val="29"/>
          <w:b w:val="1"/>
          <w:bCs w:val="1"/>
          <w:color w:val="auto"/>
        </w:rPr>
        <w:t>MUFG</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Co-Managers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US Bancorp</w:t>
      </w:r>
    </w:p>
    <w:p>
      <w:pPr>
        <w:spacing w:after="0" w:line="38" w:lineRule="exact"/>
        <w:rPr>
          <w:sz w:val="20"/>
          <w:szCs w:val="20"/>
          <w:color w:val="auto"/>
        </w:rPr>
      </w:pPr>
    </w:p>
    <w:p>
      <w:pPr>
        <w:ind w:left="2900"/>
        <w:spacing w:after="0"/>
        <w:rPr>
          <w:sz w:val="20"/>
          <w:szCs w:val="20"/>
          <w:color w:val="auto"/>
        </w:rPr>
      </w:pPr>
      <w:r>
        <w:rPr>
          <w:rFonts w:ascii="Arial" w:cs="Arial" w:eastAsia="Arial" w:hAnsi="Arial"/>
          <w:sz w:val="25"/>
          <w:szCs w:val="25"/>
          <w:b w:val="1"/>
          <w:bCs w:val="1"/>
          <w:color w:val="auto"/>
        </w:rPr>
        <w:t>The Williams Capital Group, L.P.</w:t>
      </w:r>
    </w:p>
    <w:p>
      <w:pPr>
        <w:spacing w:after="0" w:line="10" w:lineRule="exact"/>
        <w:rPr>
          <w:sz w:val="20"/>
          <w:szCs w:val="20"/>
          <w:color w:val="auto"/>
        </w:rPr>
      </w:pPr>
    </w:p>
    <w:p>
      <w:pPr>
        <w:ind w:left="7820"/>
        <w:spacing w:after="0"/>
        <w:rPr>
          <w:sz w:val="20"/>
          <w:szCs w:val="20"/>
          <w:color w:val="auto"/>
        </w:rPr>
      </w:pPr>
      <w:r>
        <w:rPr>
          <w:rFonts w:ascii="Arial" w:cs="Arial" w:eastAsia="Arial" w:hAnsi="Arial"/>
          <w:sz w:val="25"/>
          <w:szCs w:val="25"/>
          <w:b w:val="1"/>
          <w:bCs w:val="1"/>
          <w:color w:val="auto"/>
        </w:rPr>
        <w:t>BNP PARIBAS</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24"/>
          <w:szCs w:val="24"/>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181610</wp:posOffset>
            </wp:positionV>
            <wp:extent cx="699770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lowerRoman"/>
      <w:start w:val="1"/>
    </w:lvl>
  </w:abstractNum>
  <w:abstractNum w:abstractNumId="8">
    <w:nsid w:val="54E49EB4"/>
    <w:multiLevelType w:val="hybridMultilevel"/>
    <w:lvl w:ilvl="0">
      <w:lvlJc w:val="left"/>
      <w:lvlText w:val="•"/>
      <w:numFmt w:val="bullet"/>
      <w:start w:val="1"/>
    </w:lvl>
    <w:lvl w:ilvl="1">
      <w:lvlJc w:val="left"/>
      <w:lvlText w:val="(%2)"/>
      <w:numFmt w:val="decimal"/>
      <w:start w:val="1"/>
    </w:lvl>
  </w:abstractNum>
  <w:abstractNum w:abstractNumId="9">
    <w:nsid w:val="71F32454"/>
    <w:multiLevelType w:val="hybridMultilevel"/>
    <w:lvl w:ilvl="0">
      <w:lvlJc w:val="left"/>
      <w:lvlText w:val="•"/>
      <w:numFmt w:val="bullet"/>
      <w:start w:val="1"/>
    </w:lvl>
    <w:lvl w:ilvl="1">
      <w:lvlJc w:val="left"/>
      <w:lvlText w:val="(%2)"/>
      <w:numFmt w:val="decimal"/>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Roman"/>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lvl w:ilvl="1">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lvl w:ilvl="1">
      <w:lvlJc w:val="left"/>
      <w:lvlText w:val="•"/>
      <w:numFmt w:val="bullet"/>
      <w:start w:val="1"/>
    </w:lvl>
  </w:abstractNum>
  <w:abstractNum w:abstractNumId="32">
    <w:nsid w:val="5E884ADC"/>
    <w:multiLevelType w:val="hybridMultilevel"/>
    <w:lvl w:ilvl="0">
      <w:lvlJc w:val="left"/>
      <w:lvlText w:val="•"/>
      <w:numFmt w:val="bullet"/>
      <w:start w:val="1"/>
    </w:lvl>
    <w:lvl w:ilvl="1">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lvl w:ilvl="1">
      <w:lvlJc w:val="left"/>
      <w:lvlText w:val="•"/>
      <w:numFmt w:val="bullet"/>
      <w:start w:val="1"/>
    </w:lvl>
  </w:abstractNum>
  <w:abstractNum w:abstractNumId="36">
    <w:nsid w:val="153EA438"/>
    <w:multiLevelType w:val="hybridMultilevel"/>
    <w:lvl w:ilvl="0">
      <w:lvlJc w:val="left"/>
      <w:lvlText w:val="•"/>
      <w:numFmt w:val="bullet"/>
      <w:start w:val="1"/>
    </w:lvl>
    <w:lvl w:ilvl="1">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jpe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jpe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50" Type="http://schemas.openxmlformats.org/officeDocument/2006/relationships/hyperlink" Target="http://www.sec.gov/Archives/edgar/data/97476/000156459019003839/txn-10k_20181231.htm" TargetMode="External"/><Relationship Id="rId51" Type="http://schemas.openxmlformats.org/officeDocument/2006/relationships/hyperlink" Target="http://www.sec.gov/Archives/edgar/data/97476/000119312519071576/d660704ddef14a.htm" TargetMode="External"/><Relationship Id="rId52" Type="http://schemas.openxmlformats.org/officeDocument/2006/relationships/hyperlink" Target="http://www.sec.gov/Archives/edgar/data/97476/000156459019014051/txn-10q_20190331.htm" TargetMode="External"/><Relationship Id="rId53" Type="http://schemas.openxmlformats.org/officeDocument/2006/relationships/hyperlink" Target="http://www.sec.gov/Archives/edgar/data/97476/000156459019027328/txn-10q_20190630.htm" TargetMode="External"/><Relationship Id="rId54" Type="http://schemas.openxmlformats.org/officeDocument/2006/relationships/hyperlink" Target="http://www.sec.gov/Archives/edgar/data/97476/000119312519070297/d713107d8k.htm" TargetMode="External"/><Relationship Id="rId55" Type="http://schemas.openxmlformats.org/officeDocument/2006/relationships/hyperlink" Target="http://www.sec.gov/Archives/edgar/data/97476/000156459019013410/txn-8k_20190501.htm" TargetMode="External"/><Relationship Id="rId66"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2019-11-29T20:10:05Z</dcterms:created>
  <dcterms:modified xsi:type="dcterms:W3CDTF">2019-11-29T20:10:05Z</dcterms:modified>
</cp:coreProperties>
</file>