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1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$1.00</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r>
    </w:tbl>
    <w:p>
      <w:pPr>
        <w:spacing w:after="0" w:line="18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678180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July 23, 2019, regarding its second quarter results of operations and financial condition is attached hereto as Exhibit 99.</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60"/>
          </w:cols>
          <w:pgMar w:left="240" w:top="557" w:right="39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80"/>
          </w:cols>
          <w:pgMar w:left="240" w:top="557" w:right="39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Registrant’s News Release</w:t>
        </w:r>
      </w:hyperlink>
    </w:p>
    <w:p>
      <w:pPr>
        <w:spacing w:after="0" w:line="23" w:lineRule="exact"/>
        <w:rPr>
          <w:rFonts w:ascii="Arial" w:cs="Arial" w:eastAsia="Arial" w:hAnsi="Arial"/>
          <w:sz w:val="18"/>
          <w:szCs w:val="18"/>
          <w:u w:val="single" w:color="auto"/>
          <w:color w:val="0000EE"/>
        </w:rPr>
      </w:pPr>
    </w:p>
    <w:p>
      <w:pPr>
        <w:ind w:left="1280"/>
        <w:spacing w:after="0"/>
        <w:rPr>
          <w:rFonts w:ascii="Arial" w:cs="Arial" w:eastAsia="Arial" w:hAnsi="Arial"/>
          <w:sz w:val="18"/>
          <w:szCs w:val="18"/>
          <w:u w:val="single" w:color="auto"/>
          <w:color w:val="0000EE"/>
        </w:rPr>
      </w:pPr>
      <w:r>
        <w:rPr>
          <w:rFonts w:ascii="Arial" w:cs="Arial" w:eastAsia="Arial" w:hAnsi="Arial"/>
          <w:sz w:val="16"/>
          <w:szCs w:val="16"/>
          <w:color w:val="auto"/>
        </w:rPr>
        <w:t>Dated July 23, 2019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July 23, 2019</w:t>
            </w: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By:  /s/ Rafael R. Lizardi</w:t>
            </w:r>
          </w:p>
        </w:tc>
      </w:tr>
      <w:tr>
        <w:trPr>
          <w:trHeight w:val="195"/>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2019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DALLAS (July 23, 2019) – Texas Instruments Incorporated (TI) (NASDAQ: TXN) today reported second quarter revenue of $3.67 billion, net income of $1.31 billion and earnings per share of $1.36. Earnings per share include a 7-cent benefit for items that were not in the company’s original guidance.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06" w:lineRule="exact"/>
        <w:rPr>
          <w:sz w:val="20"/>
          <w:szCs w:val="20"/>
          <w:color w:val="auto"/>
        </w:rPr>
      </w:pPr>
    </w:p>
    <w:p>
      <w:pPr>
        <w:ind w:left="520" w:hanging="512"/>
        <w:spacing w:after="0"/>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decreased 9% from the same quarter a year ago due to broad-based weakness.</w:t>
      </w:r>
    </w:p>
    <w:p>
      <w:pPr>
        <w:spacing w:after="0" w:line="98" w:lineRule="exact"/>
        <w:rPr>
          <w:rFonts w:ascii="Arial" w:cs="Arial" w:eastAsia="Arial" w:hAnsi="Arial"/>
          <w:sz w:val="22"/>
          <w:szCs w:val="22"/>
          <w:color w:val="auto"/>
        </w:rPr>
      </w:pPr>
    </w:p>
    <w:p>
      <w:pPr>
        <w:ind w:left="520" w:hanging="512"/>
        <w:spacing w:after="0"/>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 our core businesses, Analog revenue declined 6% and Embedded Processing declined 16% from the same quarter a year ago.</w:t>
      </w:r>
    </w:p>
    <w:p>
      <w:pPr>
        <w:spacing w:after="0" w:line="120" w:lineRule="exact"/>
        <w:rPr>
          <w:rFonts w:ascii="Arial" w:cs="Arial" w:eastAsia="Arial" w:hAnsi="Arial"/>
          <w:sz w:val="22"/>
          <w:szCs w:val="22"/>
          <w:color w:val="auto"/>
        </w:rPr>
      </w:pPr>
    </w:p>
    <w:p>
      <w:pPr>
        <w:ind w:left="520" w:right="100" w:hanging="512"/>
        <w:spacing w:after="0" w:line="238"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cash flow from operations of $7.2 billion for the trailing 12 months again underscored the strength of our business model. Free cash flow for the trailing 12 months was $5.9 billion and 39% of revenue. This reflects the quality of our product portfolio, as well as the efficiency of our manufacturing strategy, including the benefit of 300-millimeter Analog production.</w:t>
      </w:r>
    </w:p>
    <w:p>
      <w:pPr>
        <w:spacing w:after="0" w:line="94" w:lineRule="exact"/>
        <w:rPr>
          <w:rFonts w:ascii="Arial" w:cs="Arial" w:eastAsia="Arial" w:hAnsi="Arial"/>
          <w:sz w:val="22"/>
          <w:szCs w:val="22"/>
          <w:color w:val="auto"/>
        </w:rPr>
      </w:pPr>
    </w:p>
    <w:p>
      <w:pPr>
        <w:ind w:left="520" w:right="360" w:hanging="512"/>
        <w:spacing w:after="0" w:line="251" w:lineRule="auto"/>
        <w:tabs>
          <w:tab w:leader="none" w:pos="52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have returned $8.0 billion to owners in the past 12 months through stock repurchases and dividends. Our strategy is to return all our free cash flow to owners. Over the last 12 months, our dividends represented 47% of free cash flow, underscoring their sustainability.</w:t>
      </w:r>
    </w:p>
    <w:p>
      <w:pPr>
        <w:spacing w:after="0" w:line="83" w:lineRule="exact"/>
        <w:rPr>
          <w:rFonts w:ascii="Arial" w:cs="Arial" w:eastAsia="Arial" w:hAnsi="Arial"/>
          <w:sz w:val="21"/>
          <w:szCs w:val="21"/>
          <w:color w:val="auto"/>
        </w:rPr>
      </w:pPr>
    </w:p>
    <w:p>
      <w:pPr>
        <w:ind w:left="520" w:right="20" w:hanging="512"/>
        <w:spacing w:after="0" w:line="251" w:lineRule="auto"/>
        <w:tabs>
          <w:tab w:leader="none" w:pos="5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“TI’s third quarter outlook is for revenue in the range of $3.65 billion to $3.95 billion, and earnings per share between $1.31 and $1.53, which includes an estimated $10 million discrete tax benefit. We continue to expect our annual operating tax rate to be about 16% in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w w:val="98"/>
              </w:rPr>
              <w:t>TI reports second quarter 2019 financial results and shareholder returns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w w:val="82"/>
              </w:rPr>
              <w:t>Page 2</w:t>
            </w:r>
          </w:p>
        </w:tc>
      </w:tr>
      <w:tr>
        <w:trPr>
          <w:trHeight w:val="716"/>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Earnings summary</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60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2Q19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2Q18</w:t>
            </w:r>
          </w:p>
        </w:tc>
        <w:tc>
          <w:tcPr>
            <w:tcW w:w="1960" w:type="dxa"/>
            <w:vAlign w:val="bottom"/>
            <w:gridSpan w:val="3"/>
          </w:tcPr>
          <w:p>
            <w:pPr>
              <w:ind w:left="300"/>
              <w:spacing w:after="0"/>
              <w:rPr>
                <w:sz w:val="20"/>
                <w:szCs w:val="20"/>
                <w:color w:val="auto"/>
              </w:rPr>
            </w:pPr>
            <w:r>
              <w:rPr>
                <w:rFonts w:ascii="Arial" w:cs="Arial" w:eastAsia="Arial" w:hAnsi="Arial"/>
                <w:sz w:val="18"/>
                <w:szCs w:val="18"/>
                <w:color w:val="auto"/>
              </w:rPr>
              <w:t>Change</w:t>
            </w:r>
          </w:p>
        </w:tc>
      </w:tr>
      <w:tr>
        <w:trPr>
          <w:trHeight w:val="223"/>
        </w:trPr>
        <w:tc>
          <w:tcPr>
            <w:tcW w:w="580" w:type="dxa"/>
            <w:vAlign w:val="bottom"/>
          </w:tcPr>
          <w:p>
            <w:pPr>
              <w:spacing w:after="0"/>
              <w:rPr>
                <w:sz w:val="19"/>
                <w:szCs w:val="19"/>
                <w:color w:val="auto"/>
              </w:rPr>
            </w:pPr>
          </w:p>
        </w:tc>
        <w:tc>
          <w:tcPr>
            <w:tcW w:w="5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1,506</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Trailing 12 Months</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2Q19</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2Q18</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5,926</w:t>
            </w:r>
          </w:p>
        </w:tc>
        <w:tc>
          <w:tcPr>
            <w:tcW w:w="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ind w:left="580"/>
              <w:spacing w:after="0"/>
              <w:rPr>
                <w:sz w:val="20"/>
                <w:szCs w:val="20"/>
                <w:color w:val="auto"/>
              </w:rPr>
            </w:pPr>
            <w:r>
              <w:rPr>
                <w:rFonts w:ascii="Arial" w:cs="Arial" w:eastAsia="Arial" w:hAnsi="Arial"/>
                <w:sz w:val="18"/>
                <w:szCs w:val="18"/>
                <w:color w:val="auto"/>
              </w:rPr>
              <w:t>Free cash flow % of revenue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36.6%</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26"/>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Cash return</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426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7"/>
              </w:rPr>
              <w:t>Trailing 12 Months</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2Q18</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3"/>
              </w:rPr>
              <w:t>2,323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Stock repurchases</w:t>
            </w:r>
          </w:p>
        </w:tc>
        <w:tc>
          <w:tcPr>
            <w:tcW w:w="1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863</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5,224</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420"/>
              <w:spacing w:after="0"/>
              <w:rPr>
                <w:sz w:val="20"/>
                <w:szCs w:val="20"/>
                <w:color w:val="auto"/>
              </w:rPr>
            </w:pPr>
            <w:r>
              <w:rPr>
                <w:rFonts w:ascii="Arial" w:cs="Arial" w:eastAsia="Arial" w:hAnsi="Arial"/>
                <w:sz w:val="18"/>
                <w:szCs w:val="18"/>
                <w:color w:val="auto"/>
                <w:w w:val="93"/>
              </w:rPr>
              <w:t>3,247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18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3"/>
              </w:rPr>
              <w:t>5,570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9"/>
                <w:szCs w:val="19"/>
                <w:color w:val="auto"/>
              </w:rPr>
            </w:pPr>
          </w:p>
        </w:tc>
      </w:tr>
      <w:tr>
        <w:trPr>
          <w:trHeight w:val="1385"/>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TI reports second quarter 2019 financial results and shareholder returns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76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jc w:val="center"/>
              <w:ind w:left="3770"/>
              <w:spacing w:after="0"/>
              <w:rPr>
                <w:sz w:val="20"/>
                <w:szCs w:val="20"/>
                <w:color w:val="auto"/>
              </w:rPr>
            </w:pPr>
            <w:r>
              <w:rPr>
                <w:rFonts w:ascii="Arial" w:cs="Arial" w:eastAsia="Arial" w:hAnsi="Arial"/>
                <w:sz w:val="18"/>
                <w:szCs w:val="18"/>
                <w:b w:val="1"/>
                <w:bCs w:val="1"/>
                <w:color w:val="auto"/>
                <w:w w:val="88"/>
              </w:rPr>
              <w:t>Consolidated Statements of Income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6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4"/>
          </w:tcPr>
          <w:p>
            <w:pPr>
              <w:jc w:val="right"/>
              <w:ind w:right="203"/>
              <w:spacing w:after="0"/>
              <w:rPr>
                <w:sz w:val="20"/>
                <w:szCs w:val="20"/>
                <w:color w:val="auto"/>
              </w:rPr>
            </w:pPr>
            <w:r>
              <w:rPr>
                <w:rFonts w:ascii="Arial" w:cs="Arial" w:eastAsia="Arial" w:hAnsi="Arial"/>
                <w:sz w:val="18"/>
                <w:szCs w:val="18"/>
                <w:b w:val="1"/>
                <w:bCs w:val="1"/>
                <w:color w:val="auto"/>
              </w:rPr>
              <w:t>For Three Months Ended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9"/>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3,668</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2,360</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420</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(36)</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1,506</w:t>
            </w:r>
          </w:p>
        </w:tc>
        <w:tc>
          <w:tcPr>
            <w:tcW w:w="3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1,514</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1,305</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380" w:type="dxa"/>
            <w:vAlign w:val="bottom"/>
          </w:tcPr>
          <w:p>
            <w:pPr>
              <w:spacing w:after="0"/>
              <w:rPr>
                <w:sz w:val="19"/>
                <w:szCs w:val="19"/>
                <w:color w:val="auto"/>
              </w:rPr>
            </w:pP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w:t>
            </w:r>
          </w:p>
        </w:tc>
        <w:tc>
          <w:tcPr>
            <w:tcW w:w="38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953</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22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380" w:type="dxa"/>
            <w:vAlign w:val="bottom"/>
          </w:tcPr>
          <w:p>
            <w:pPr>
              <w:spacing w:after="0"/>
              <w:rPr>
                <w:sz w:val="19"/>
                <w:szCs w:val="19"/>
                <w:color w:val="auto"/>
              </w:rPr>
            </w:pP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jc w:val="center"/>
              <w:ind w:left="3570"/>
              <w:spacing w:after="0"/>
              <w:rPr>
                <w:sz w:val="20"/>
                <w:szCs w:val="20"/>
                <w:color w:val="auto"/>
              </w:rPr>
            </w:pPr>
            <w:r>
              <w:rPr>
                <w:rFonts w:ascii="Arial" w:cs="Arial" w:eastAsia="Arial" w:hAnsi="Arial"/>
                <w:sz w:val="18"/>
                <w:szCs w:val="18"/>
                <w:b w:val="1"/>
                <w:bCs w:val="1"/>
                <w:color w:val="auto"/>
                <w:w w:val="91"/>
              </w:rPr>
              <w:t>Supplemental Information</w:t>
            </w: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jc w:val="center"/>
              <w:ind w:left="3550"/>
              <w:spacing w:after="0"/>
              <w:rPr>
                <w:sz w:val="20"/>
                <w:szCs w:val="20"/>
                <w:color w:val="auto"/>
              </w:rPr>
            </w:pPr>
            <w:r>
              <w:rPr>
                <w:rFonts w:ascii="Arial" w:cs="Arial" w:eastAsia="Arial" w:hAnsi="Arial"/>
                <w:sz w:val="18"/>
                <w:szCs w:val="18"/>
                <w:b w:val="1"/>
                <w:bCs w:val="1"/>
                <w:color w:val="auto"/>
                <w:w w:val="89"/>
              </w:rPr>
              <w:t>(Quarterly, except as noted)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122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380" w:type="dxa"/>
            <w:vAlign w:val="bottom"/>
          </w:tcPr>
          <w:p>
            <w:pPr>
              <w:spacing w:after="0"/>
              <w:rPr>
                <w:sz w:val="19"/>
                <w:szCs w:val="19"/>
                <w:color w:val="auto"/>
              </w:rPr>
            </w:pP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Discrete tax items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(29)</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Provision for income taxes (effective taxes)</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Annual operating tax rate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10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ind w:right="465"/>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380" w:type="dxa"/>
            <w:vAlign w:val="bottom"/>
          </w:tcPr>
          <w:p>
            <w:pPr>
              <w:spacing w:after="0"/>
              <w:rPr>
                <w:sz w:val="20"/>
                <w:szCs w:val="20"/>
                <w:color w:val="auto"/>
              </w:rPr>
            </w:pP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2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(8)</w:t>
            </w:r>
          </w:p>
        </w:tc>
        <w:tc>
          <w:tcPr>
            <w:tcW w:w="6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20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5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TI reports second quarter 2019 financial results and shareholder returns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 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40" w:type="dxa"/>
            <w:vAlign w:val="bottom"/>
            <w:gridSpan w:val="3"/>
          </w:tcPr>
          <w:p>
            <w:pPr>
              <w:jc w:val="center"/>
              <w:ind w:left="2454"/>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34"/>
              <w:spacing w:after="0"/>
              <w:rPr>
                <w:sz w:val="20"/>
                <w:szCs w:val="20"/>
                <w:color w:val="auto"/>
              </w:rPr>
            </w:pPr>
            <w:r>
              <w:rPr>
                <w:rFonts w:ascii="Arial" w:cs="Arial" w:eastAsia="Arial" w:hAnsi="Arial"/>
                <w:sz w:val="18"/>
                <w:szCs w:val="18"/>
                <w:b w:val="1"/>
                <w:bCs w:val="1"/>
                <w:color w:val="auto"/>
                <w:w w:val="87"/>
              </w:rPr>
              <w:t>Consolidated Balance Sheets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4"/>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7"/>
                <w:szCs w:val="17"/>
                <w:b w:val="1"/>
                <w:bCs w:val="1"/>
                <w:color w:val="auto"/>
              </w:rPr>
              <w:t>June 30,</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260" w:type="dxa"/>
            <w:vAlign w:val="bottom"/>
            <w:gridSpan w:val="2"/>
            <w:shd w:val="clear" w:color="auto" w:fill="CFF0FC"/>
          </w:tcPr>
          <w:p>
            <w:pPr>
              <w:jc w:val="right"/>
              <w:ind w:right="81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3,813</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receivable, net of allowances of ($15) and ($9)</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Raw materials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Work in process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Finished goods</w:t>
            </w:r>
          </w:p>
        </w:tc>
        <w:tc>
          <w:tcPr>
            <w:tcW w:w="2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Inventories</w:t>
            </w:r>
          </w:p>
        </w:tc>
        <w:tc>
          <w:tcPr>
            <w:tcW w:w="2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2,079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current assets</w:t>
            </w:r>
          </w:p>
        </w:tc>
        <w:tc>
          <w:tcPr>
            <w:tcW w:w="2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7,956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9,592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7"/>
                <w:szCs w:val="17"/>
                <w:color w:val="auto"/>
              </w:rPr>
              <w:t>Property, plant and equipment at cost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5,706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depreciation</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(2,341)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Property, plant and equipment</w:t>
            </w:r>
          </w:p>
        </w:tc>
        <w:tc>
          <w:tcPr>
            <w:tcW w:w="26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2,855</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Long-term investments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Goodwill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Acquisition-related intangibles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Deferred tax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Capitalized software licenses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Overfunded retirement plans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assets</w:t>
            </w:r>
          </w:p>
        </w:tc>
        <w:tc>
          <w:tcPr>
            <w:tcW w:w="2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portion of long-term debt</w:t>
            </w:r>
          </w:p>
        </w:tc>
        <w:tc>
          <w:tcPr>
            <w:tcW w:w="1260" w:type="dxa"/>
            <w:vAlign w:val="bottom"/>
            <w:gridSpan w:val="2"/>
            <w:shd w:val="clear" w:color="auto" w:fill="CFF0FC"/>
          </w:tcPr>
          <w:p>
            <w:pPr>
              <w:jc w:val="right"/>
              <w:ind w:right="81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1,249</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compensation</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Income taxes payable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liabilities</w:t>
            </w:r>
          </w:p>
        </w:tc>
        <w:tc>
          <w:tcPr>
            <w:tcW w:w="2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4,558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Underfunded retirement plans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liabilities</w:t>
            </w:r>
          </w:p>
        </w:tc>
        <w:tc>
          <w:tcPr>
            <w:tcW w:w="2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2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8,898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7,893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Preferred stock, $25 par value. Authorized – 10,000,000 shares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Participating cumulative preferred – None issued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Common stock, $1 par value. Authorized – 2,400,000,000 shares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Shares issued – 1,740,815,939</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Paid-in capital</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38,974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36,413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Treasury common stock at cost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7"/>
                <w:szCs w:val="17"/>
                <w:color w:val="auto"/>
              </w:rPr>
              <w:t>Shares: June 30, 2019 – 806,251,136; June 30, 2018 – 766,450,417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7"/>
              </w:rPr>
              <w:t>(33,775)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(29,016)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 (loss), net of taxes (AOCI)</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(457)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17,384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18,527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0" w:type="dxa"/>
            <w:vAlign w:val="bottom"/>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TI reports second quarter 2019 financial results and shareholder returns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 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80" w:type="dxa"/>
            <w:vAlign w:val="bottom"/>
            <w:gridSpan w:val="3"/>
          </w:tcPr>
          <w:p>
            <w:pPr>
              <w:jc w:val="center"/>
              <w:ind w:left="241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80" w:type="dxa"/>
            <w:vAlign w:val="bottom"/>
          </w:tcPr>
          <w:p>
            <w:pPr>
              <w:jc w:val="center"/>
              <w:ind w:left="3630"/>
              <w:spacing w:after="0"/>
              <w:rPr>
                <w:sz w:val="20"/>
                <w:szCs w:val="20"/>
                <w:color w:val="auto"/>
              </w:rPr>
            </w:pPr>
            <w:r>
              <w:rPr>
                <w:rFonts w:ascii="Arial" w:cs="Arial" w:eastAsia="Arial" w:hAnsi="Arial"/>
                <w:sz w:val="18"/>
                <w:szCs w:val="18"/>
                <w:b w:val="1"/>
                <w:bCs w:val="1"/>
                <w:color w:val="auto"/>
                <w:w w:val="92"/>
              </w:rPr>
              <w:t>(Millions of dollars)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right"/>
              <w:ind w:right="125"/>
              <w:spacing w:after="0"/>
              <w:rPr>
                <w:sz w:val="20"/>
                <w:szCs w:val="20"/>
                <w:color w:val="auto"/>
              </w:rPr>
            </w:pPr>
            <w:r>
              <w:rPr>
                <w:rFonts w:ascii="Arial" w:cs="Arial" w:eastAsia="Arial" w:hAnsi="Arial"/>
                <w:sz w:val="18"/>
                <w:szCs w:val="18"/>
                <w:b w:val="1"/>
                <w:bCs w:val="1"/>
                <w:color w:val="auto"/>
              </w:rPr>
              <w:t>For Three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160" w:type="dxa"/>
            <w:vAlign w:val="bottom"/>
          </w:tcPr>
          <w:p>
            <w:pPr>
              <w:spacing w:after="0"/>
              <w:rPr>
                <w:sz w:val="19"/>
                <w:szCs w:val="19"/>
                <w:color w:val="auto"/>
              </w:rPr>
            </w:pPr>
          </w:p>
        </w:tc>
        <w:tc>
          <w:tcPr>
            <w:tcW w:w="116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compensation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Gains on sales of 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taxes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Increase (decrease) from changes in: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(284)</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asset sales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short-term investments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debt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(863)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3,813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0" w:type="dxa"/>
            <w:vAlign w:val="bottom"/>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w w:val="96"/>
              </w:rPr>
              <w:t>TI reports second quarter 2019 financial results and shareholder returns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ind w:left="620"/>
              <w:spacing w:after="0"/>
              <w:rPr>
                <w:sz w:val="20"/>
                <w:szCs w:val="20"/>
                <w:color w:val="auto"/>
              </w:rPr>
            </w:pPr>
            <w:r>
              <w:rPr>
                <w:rFonts w:ascii="Arial" w:cs="Arial" w:eastAsia="Arial" w:hAnsi="Arial"/>
                <w:sz w:val="18"/>
                <w:szCs w:val="18"/>
                <w:b w:val="1"/>
                <w:bCs w:val="1"/>
                <w:color w:val="auto"/>
                <w:w w:val="82"/>
              </w:rPr>
              <w:t>Page 6</w:t>
            </w:r>
          </w:p>
        </w:tc>
      </w:tr>
      <w:tr>
        <w:trPr>
          <w:trHeight w:val="392"/>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5"/>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2Q19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2Q18</w:t>
            </w:r>
          </w:p>
        </w:tc>
        <w:tc>
          <w:tcPr>
            <w:tcW w:w="2400" w:type="dxa"/>
            <w:vAlign w:val="bottom"/>
            <w:gridSpan w:val="3"/>
          </w:tcPr>
          <w:p>
            <w:pPr>
              <w:ind w:left="240"/>
              <w:spacing w:after="0"/>
              <w:rPr>
                <w:sz w:val="20"/>
                <w:szCs w:val="20"/>
                <w:color w:val="auto"/>
              </w:rPr>
            </w:pPr>
            <w:r>
              <w:rPr>
                <w:rFonts w:ascii="Arial" w:cs="Arial" w:eastAsia="Arial" w:hAnsi="Arial"/>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Revenue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2,690</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Embedded Processing:</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Revenue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121"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in High Volume, Power and Signal Chain.</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121"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in both product lines.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spacing w:after="0" w:line="121"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decreased by $40 million. Operating profit increased by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tabs>
          <w:tab w:leader="none" w:pos="10880" w:val="left"/>
        </w:tabs>
        <w:rPr>
          <w:sz w:val="20"/>
          <w:szCs w:val="20"/>
          <w:color w:val="auto"/>
        </w:rPr>
      </w:pPr>
      <w:r>
        <w:rPr>
          <w:rFonts w:ascii="Arial" w:cs="Arial" w:eastAsia="Arial" w:hAnsi="Arial"/>
          <w:sz w:val="18"/>
          <w:szCs w:val="18"/>
          <w:b w:val="1"/>
          <w:bCs w:val="1"/>
          <w:color w:val="auto"/>
        </w:rPr>
        <w:t>TI reports second quarter 2019 financial results and shareholder returns</w:t>
      </w:r>
      <w:r>
        <w:rPr>
          <w:sz w:val="20"/>
          <w:szCs w:val="20"/>
          <w:color w:val="auto"/>
        </w:rPr>
        <w:tab/>
      </w:r>
      <w:r>
        <w:rPr>
          <w:rFonts w:ascii="Arial" w:cs="Arial" w:eastAsia="Arial" w:hAnsi="Arial"/>
          <w:sz w:val="15"/>
          <w:szCs w:val="15"/>
          <w:b w:val="1"/>
          <w:bCs w:val="1"/>
          <w:color w:val="auto"/>
        </w:rPr>
        <w:t>Page 7</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12 Months Ended</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7,154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(855)</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5,926</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300" w:type="dxa"/>
            <w:vAlign w:val="bottom"/>
            <w:tcBorders>
              <w:top w:val="single" w:sz="8" w:color="CFF0FC"/>
              <w:bottom w:val="single" w:sz="8" w:color="CFF0FC"/>
            </w:tcBorders>
            <w:shd w:val="clear" w:color="auto" w:fill="CFF0FC"/>
          </w:tcPr>
          <w:p>
            <w:pPr>
              <w:spacing w:after="0"/>
              <w:rPr>
                <w:sz w:val="22"/>
                <w:szCs w:val="22"/>
                <w:color w:val="auto"/>
              </w:rPr>
            </w:pPr>
          </w:p>
        </w:tc>
        <w:tc>
          <w:tcPr>
            <w:tcW w:w="1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46.9%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42.0%</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spacing w:after="0"/>
        <w:tabs>
          <w:tab w:leader="none" w:pos="10880" w:val="left"/>
        </w:tabs>
        <w:rPr>
          <w:sz w:val="20"/>
          <w:szCs w:val="20"/>
          <w:color w:val="auto"/>
        </w:rPr>
      </w:pPr>
      <w:r>
        <w:rPr>
          <w:rFonts w:ascii="Arial" w:cs="Arial" w:eastAsia="Arial" w:hAnsi="Arial"/>
          <w:sz w:val="18"/>
          <w:szCs w:val="18"/>
          <w:b w:val="1"/>
          <w:bCs w:val="1"/>
          <w:color w:val="auto"/>
        </w:rPr>
        <w:t>TI reports second quarter 2019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40"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Market demand for semiconductors, particularly in our end markets;</w:t>
      </w:r>
    </w:p>
    <w:p>
      <w:pPr>
        <w:spacing w:after="0" w:line="98" w:lineRule="exact"/>
        <w:rPr>
          <w:rFonts w:ascii="Arial" w:cs="Arial" w:eastAsia="Arial" w:hAnsi="Arial"/>
          <w:sz w:val="22"/>
          <w:szCs w:val="22"/>
          <w:color w:val="auto"/>
        </w:rPr>
      </w:pPr>
    </w:p>
    <w:p>
      <w:pPr>
        <w:ind w:left="1040" w:hanging="519"/>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compete in products and prices in an intensely competitive industry;</w:t>
      </w:r>
    </w:p>
    <w:p>
      <w:pPr>
        <w:spacing w:after="0" w:line="120" w:lineRule="exact"/>
        <w:rPr>
          <w:rFonts w:ascii="Arial" w:cs="Arial" w:eastAsia="Arial" w:hAnsi="Arial"/>
          <w:sz w:val="22"/>
          <w:szCs w:val="22"/>
          <w:color w:val="auto"/>
        </w:rPr>
      </w:pPr>
    </w:p>
    <w:p>
      <w:pPr>
        <w:ind w:left="1040" w:right="40" w:hanging="519"/>
        <w:spacing w:after="0" w:line="232"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95" w:lineRule="exact"/>
        <w:rPr>
          <w:rFonts w:ascii="Arial" w:cs="Arial" w:eastAsia="Arial" w:hAnsi="Arial"/>
          <w:sz w:val="22"/>
          <w:szCs w:val="22"/>
          <w:color w:val="auto"/>
        </w:rPr>
      </w:pPr>
    </w:p>
    <w:p>
      <w:pPr>
        <w:ind w:left="1040" w:right="140" w:hanging="519"/>
        <w:spacing w:after="0" w:line="238"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2" w:lineRule="exact"/>
        <w:rPr>
          <w:rFonts w:ascii="Arial" w:cs="Arial" w:eastAsia="Arial" w:hAnsi="Arial"/>
          <w:sz w:val="22"/>
          <w:szCs w:val="22"/>
          <w:color w:val="auto"/>
        </w:rPr>
      </w:pPr>
    </w:p>
    <w:p>
      <w:pPr>
        <w:ind w:left="1040" w:hanging="519"/>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20" w:lineRule="exact"/>
        <w:rPr>
          <w:rFonts w:ascii="Arial" w:cs="Arial" w:eastAsia="Arial" w:hAnsi="Arial"/>
          <w:sz w:val="22"/>
          <w:szCs w:val="22"/>
          <w:color w:val="auto"/>
        </w:rPr>
      </w:pPr>
    </w:p>
    <w:p>
      <w:pPr>
        <w:ind w:left="1040" w:right="500" w:hanging="519"/>
        <w:spacing w:after="0" w:line="232"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3" w:lineRule="exact"/>
        <w:rPr>
          <w:rFonts w:ascii="Arial" w:cs="Arial" w:eastAsia="Arial" w:hAnsi="Arial"/>
          <w:sz w:val="22"/>
          <w:szCs w:val="22"/>
          <w:color w:val="auto"/>
        </w:rPr>
      </w:pPr>
    </w:p>
    <w:p>
      <w:pPr>
        <w:ind w:left="1040" w:hanging="519"/>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20" w:lineRule="exact"/>
        <w:rPr>
          <w:rFonts w:ascii="Arial" w:cs="Arial" w:eastAsia="Arial" w:hAnsi="Arial"/>
          <w:sz w:val="22"/>
          <w:szCs w:val="22"/>
          <w:color w:val="auto"/>
        </w:rPr>
      </w:pPr>
    </w:p>
    <w:p>
      <w:pPr>
        <w:ind w:left="1040" w:right="40" w:hanging="519"/>
        <w:spacing w:after="0" w:line="232"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95" w:lineRule="exact"/>
        <w:rPr>
          <w:rFonts w:ascii="Arial" w:cs="Arial" w:eastAsia="Arial" w:hAnsi="Arial"/>
          <w:sz w:val="22"/>
          <w:szCs w:val="22"/>
          <w:color w:val="auto"/>
        </w:rPr>
      </w:pPr>
    </w:p>
    <w:p>
      <w:pPr>
        <w:ind w:left="1040" w:hanging="519"/>
        <w:spacing w:after="0"/>
        <w:tabs>
          <w:tab w:leader="none" w:pos="1040" w:val="left"/>
        </w:tabs>
        <w:numPr>
          <w:ilvl w:val="0"/>
          <w:numId w:val="7"/>
        </w:numPr>
        <w:rPr>
          <w:rFonts w:ascii="Arial" w:cs="Arial" w:eastAsia="Arial" w:hAnsi="Arial"/>
          <w:sz w:val="19"/>
          <w:szCs w:val="19"/>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32" w:lineRule="exact"/>
        <w:rPr>
          <w:rFonts w:ascii="Arial" w:cs="Arial" w:eastAsia="Arial" w:hAnsi="Arial"/>
          <w:sz w:val="19"/>
          <w:szCs w:val="19"/>
          <w:color w:val="auto"/>
        </w:rPr>
      </w:pPr>
    </w:p>
    <w:p>
      <w:pPr>
        <w:ind w:left="1040" w:right="440" w:hanging="519"/>
        <w:spacing w:after="0" w:line="232"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95" w:lineRule="exact"/>
        <w:rPr>
          <w:rFonts w:ascii="Arial" w:cs="Arial" w:eastAsia="Arial" w:hAnsi="Arial"/>
          <w:sz w:val="22"/>
          <w:szCs w:val="22"/>
          <w:color w:val="auto"/>
        </w:rPr>
      </w:pPr>
    </w:p>
    <w:p>
      <w:pPr>
        <w:ind w:left="1040" w:right="260" w:hanging="519"/>
        <w:spacing w:after="0" w:line="238" w:lineRule="auto"/>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94" w:lineRule="exact"/>
        <w:rPr>
          <w:rFonts w:ascii="Arial" w:cs="Arial" w:eastAsia="Arial" w:hAnsi="Arial"/>
          <w:sz w:val="22"/>
          <w:szCs w:val="22"/>
          <w:color w:val="auto"/>
        </w:rPr>
      </w:pPr>
    </w:p>
    <w:p>
      <w:pPr>
        <w:ind w:left="1040" w:right="20" w:hanging="519"/>
        <w:spacing w:after="0" w:line="251" w:lineRule="auto"/>
        <w:tabs>
          <w:tab w:leader="none" w:pos="1040" w:val="left"/>
        </w:tabs>
        <w:numPr>
          <w:ilvl w:val="0"/>
          <w:numId w:val="7"/>
        </w:numPr>
        <w:rPr>
          <w:rFonts w:ascii="Arial" w:cs="Arial" w:eastAsia="Arial" w:hAnsi="Arial"/>
          <w:sz w:val="21"/>
          <w:szCs w:val="21"/>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60" w:lineRule="exact"/>
        <w:rPr>
          <w:rFonts w:ascii="Arial" w:cs="Arial" w:eastAsia="Arial" w:hAnsi="Arial"/>
          <w:sz w:val="21"/>
          <w:szCs w:val="21"/>
          <w:color w:val="auto"/>
        </w:rPr>
      </w:pPr>
    </w:p>
    <w:p>
      <w:pPr>
        <w:ind w:left="1040" w:hanging="519"/>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loss suffered by one of our customers or distributors with respect to TI-consigned inventory;</w:t>
      </w:r>
    </w:p>
    <w:p>
      <w:pPr>
        <w:spacing w:after="0" w:line="109" w:lineRule="exact"/>
        <w:rPr>
          <w:rFonts w:ascii="Arial" w:cs="Arial" w:eastAsia="Arial" w:hAnsi="Arial"/>
          <w:sz w:val="22"/>
          <w:szCs w:val="22"/>
          <w:color w:val="auto"/>
        </w:rPr>
      </w:pPr>
    </w:p>
    <w:p>
      <w:pPr>
        <w:ind w:left="1040" w:hanging="519"/>
        <w:spacing w:after="0"/>
        <w:tabs>
          <w:tab w:leader="none" w:pos="1040" w:val="left"/>
        </w:tabs>
        <w:numPr>
          <w:ilvl w:val="0"/>
          <w:numId w:val="7"/>
        </w:numPr>
        <w:rPr>
          <w:rFonts w:ascii="Arial" w:cs="Arial" w:eastAsia="Arial" w:hAnsi="Arial"/>
          <w:sz w:val="21"/>
          <w:szCs w:val="21"/>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120" w:lineRule="exact"/>
        <w:rPr>
          <w:rFonts w:ascii="Arial" w:cs="Arial" w:eastAsia="Arial" w:hAnsi="Arial"/>
          <w:sz w:val="21"/>
          <w:szCs w:val="21"/>
          <w:color w:val="auto"/>
        </w:rPr>
      </w:pPr>
    </w:p>
    <w:p>
      <w:pPr>
        <w:ind w:left="1040" w:hanging="519"/>
        <w:spacing w:after="0"/>
        <w:tabs>
          <w:tab w:leader="none" w:pos="1040" w:val="left"/>
        </w:tabs>
        <w:numPr>
          <w:ilvl w:val="0"/>
          <w:numId w:val="7"/>
        </w:numPr>
        <w:rPr>
          <w:rFonts w:ascii="Arial" w:cs="Arial" w:eastAsia="Arial" w:hAnsi="Arial"/>
          <w:sz w:val="19"/>
          <w:szCs w:val="19"/>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32" w:lineRule="exact"/>
        <w:rPr>
          <w:rFonts w:ascii="Arial" w:cs="Arial" w:eastAsia="Arial" w:hAnsi="Arial"/>
          <w:sz w:val="19"/>
          <w:szCs w:val="19"/>
          <w:color w:val="auto"/>
        </w:rPr>
      </w:pPr>
    </w:p>
    <w:p>
      <w:pPr>
        <w:ind w:left="1040" w:right="260" w:hanging="519"/>
        <w:spacing w:after="0" w:line="251" w:lineRule="auto"/>
        <w:tabs>
          <w:tab w:leader="none" w:pos="1040" w:val="left"/>
        </w:tabs>
        <w:numPr>
          <w:ilvl w:val="0"/>
          <w:numId w:val="7"/>
        </w:numPr>
        <w:rPr>
          <w:rFonts w:ascii="Arial" w:cs="Arial" w:eastAsia="Arial" w:hAnsi="Arial"/>
          <w:sz w:val="21"/>
          <w:szCs w:val="21"/>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spacing w:after="0"/>
        <w:tabs>
          <w:tab w:leader="none" w:pos="10880" w:val="left"/>
        </w:tabs>
        <w:rPr>
          <w:sz w:val="20"/>
          <w:szCs w:val="20"/>
          <w:color w:val="auto"/>
        </w:rPr>
      </w:pPr>
      <w:r>
        <w:rPr>
          <w:rFonts w:ascii="Arial" w:cs="Arial" w:eastAsia="Arial" w:hAnsi="Arial"/>
          <w:sz w:val="18"/>
          <w:szCs w:val="18"/>
          <w:b w:val="1"/>
          <w:bCs w:val="1"/>
          <w:color w:val="auto"/>
        </w:rPr>
        <w:t>TI reports second quarter 2019 financial results and shareholder returns</w:t>
      </w:r>
      <w:r>
        <w:rPr>
          <w:sz w:val="20"/>
          <w:szCs w:val="20"/>
          <w:color w:val="auto"/>
        </w:rPr>
        <w:tab/>
      </w:r>
      <w:r>
        <w:rPr>
          <w:rFonts w:ascii="Arial" w:cs="Arial" w:eastAsia="Arial" w:hAnsi="Arial"/>
          <w:sz w:val="15"/>
          <w:szCs w:val="15"/>
          <w:b w:val="1"/>
          <w:bCs w:val="1"/>
          <w:color w:val="auto"/>
        </w:rPr>
        <w:t>Page 9</w:t>
      </w:r>
    </w:p>
    <w:p>
      <w:pPr>
        <w:spacing w:after="0" w:line="337" w:lineRule="exact"/>
        <w:rPr>
          <w:sz w:val="20"/>
          <w:szCs w:val="20"/>
          <w:color w:val="auto"/>
        </w:rPr>
      </w:pPr>
    </w:p>
    <w:p>
      <w:pPr>
        <w:ind w:left="1040" w:right="400" w:hanging="519"/>
        <w:spacing w:after="0" w:line="232" w:lineRule="auto"/>
        <w:tabs>
          <w:tab w:leader="none" w:pos="104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95" w:lineRule="exact"/>
        <w:rPr>
          <w:rFonts w:ascii="Arial" w:cs="Arial" w:eastAsia="Arial" w:hAnsi="Arial"/>
          <w:sz w:val="22"/>
          <w:szCs w:val="22"/>
          <w:color w:val="auto"/>
        </w:rPr>
      </w:pPr>
    </w:p>
    <w:p>
      <w:pPr>
        <w:ind w:left="1040" w:right="220" w:hanging="519"/>
        <w:spacing w:after="0" w:line="232" w:lineRule="auto"/>
        <w:tabs>
          <w:tab w:leader="none" w:pos="104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3" w:lineRule="exact"/>
        <w:rPr>
          <w:rFonts w:ascii="Arial" w:cs="Arial" w:eastAsia="Arial" w:hAnsi="Arial"/>
          <w:sz w:val="22"/>
          <w:szCs w:val="22"/>
          <w:color w:val="auto"/>
        </w:rPr>
      </w:pPr>
    </w:p>
    <w:p>
      <w:pPr>
        <w:ind w:left="1040" w:hanging="519"/>
        <w:spacing w:after="0"/>
        <w:tabs>
          <w:tab w:leader="none" w:pos="104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Increases in health care and pension benefit costs;</w:t>
      </w:r>
    </w:p>
    <w:p>
      <w:pPr>
        <w:spacing w:after="0" w:line="120" w:lineRule="exact"/>
        <w:rPr>
          <w:rFonts w:ascii="Arial" w:cs="Arial" w:eastAsia="Arial" w:hAnsi="Arial"/>
          <w:sz w:val="22"/>
          <w:szCs w:val="22"/>
          <w:color w:val="auto"/>
        </w:rPr>
      </w:pPr>
    </w:p>
    <w:p>
      <w:pPr>
        <w:ind w:left="1040" w:hanging="519"/>
        <w:spacing w:after="0"/>
        <w:tabs>
          <w:tab w:leader="none" w:pos="1040" w:val="left"/>
        </w:tabs>
        <w:numPr>
          <w:ilvl w:val="0"/>
          <w:numId w:val="8"/>
        </w:numPr>
        <w:rPr>
          <w:rFonts w:ascii="Arial" w:cs="Arial" w:eastAsia="Arial" w:hAnsi="Arial"/>
          <w:sz w:val="19"/>
          <w:szCs w:val="19"/>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32" w:lineRule="exact"/>
        <w:rPr>
          <w:rFonts w:ascii="Arial" w:cs="Arial" w:eastAsia="Arial" w:hAnsi="Arial"/>
          <w:sz w:val="19"/>
          <w:szCs w:val="19"/>
          <w:color w:val="auto"/>
        </w:rPr>
      </w:pPr>
    </w:p>
    <w:p>
      <w:pPr>
        <w:ind w:left="1040" w:right="160" w:hanging="519"/>
        <w:spacing w:after="0" w:line="232" w:lineRule="auto"/>
        <w:tabs>
          <w:tab w:leader="none" w:pos="104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3" w:lineRule="exact"/>
        <w:rPr>
          <w:rFonts w:ascii="Arial" w:cs="Arial" w:eastAsia="Arial" w:hAnsi="Arial"/>
          <w:sz w:val="22"/>
          <w:szCs w:val="22"/>
          <w:color w:val="auto"/>
        </w:rPr>
      </w:pPr>
    </w:p>
    <w:p>
      <w:pPr>
        <w:ind w:left="1040" w:hanging="519"/>
        <w:spacing w:after="0"/>
        <w:tabs>
          <w:tab w:leader="none" w:pos="1040" w:val="left"/>
        </w:tabs>
        <w:numPr>
          <w:ilvl w:val="0"/>
          <w:numId w:val="8"/>
        </w:numPr>
        <w:rPr>
          <w:rFonts w:ascii="Arial" w:cs="Arial" w:eastAsia="Arial" w:hAnsi="Arial"/>
          <w:sz w:val="22"/>
          <w:szCs w:val="22"/>
          <w:color w:val="auto"/>
        </w:rPr>
      </w:pPr>
      <w:r>
        <w:rPr>
          <w:rFonts w:ascii="Arial" w:cs="Arial" w:eastAsia="Arial" w:hAnsi="Arial"/>
          <w:sz w:val="18"/>
          <w:szCs w:val="18"/>
          <w:color w:val="auto"/>
        </w:rPr>
        <w:t>Impairments of our non-financial assets.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From connected cars and intelligent homes to self-monitoring health devices and automated factories, Texas Instruments Incorporated (TI) (NASDAQ: TXN) products are at work in virtually every type of electronic system. With operations in more than 30 countries, we engineer, manufacture, test and sell analog and embedded semiconductor chips. Our employees, about 30,000 worldwide, are driven by core values of integrity, innovation and commitment, and work every day to shape the future of technology. Learn more at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2019-12-28T10:35:27Z</dcterms:created>
  <dcterms:modified xsi:type="dcterms:W3CDTF">2019-12-28T10:35:27Z</dcterms:modified>
</cp:coreProperties>
</file>