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217805</wp:posOffset>
            </wp:positionH>
            <wp:positionV relativeFrom="page">
              <wp:posOffset>492125</wp:posOffset>
            </wp:positionV>
            <wp:extent cx="7134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890"/>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397510</wp:posOffset>
            </wp:positionV>
            <wp:extent cx="71348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257" w:lineRule="exact"/>
        <w:rPr>
          <w:sz w:val="24"/>
          <w:szCs w:val="24"/>
          <w:color w:val="auto"/>
        </w:rPr>
      </w:pPr>
    </w:p>
    <w:p>
      <w:pPr>
        <w:ind w:left="580" w:right="1900" w:hanging="545"/>
        <w:spacing w:after="0" w:line="501" w:lineRule="auto"/>
        <w:tabs>
          <w:tab w:leader="none" w:pos="48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2013</w:t>
      </w:r>
    </w:p>
    <w:p>
      <w:pPr>
        <w:spacing w:after="0" w:line="135"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UNDER SECTION 13 OR 15(d) OF THE SECURITIES EXCHANGE ACT OF 1934</w:t>
      </w:r>
    </w:p>
    <w:p>
      <w:pPr>
        <w:spacing w:after="0" w:line="19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001-03761</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TEXAS INSTRUMENTS INCORPORATED</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200" w:lineRule="exact"/>
        <w:rPr>
          <w:sz w:val="24"/>
          <w:szCs w:val="24"/>
          <w:color w:val="auto"/>
        </w:rPr>
      </w:pPr>
    </w:p>
    <w:p>
      <w:pPr>
        <w:spacing w:after="0" w:line="273"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75-0289970</w:t>
            </w:r>
          </w:p>
        </w:tc>
      </w:tr>
      <w:tr>
        <w:trPr>
          <w:trHeight w:val="270"/>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567"/>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89"/>
              </w:rPr>
              <w:t>75266-0199</w:t>
            </w:r>
          </w:p>
        </w:tc>
      </w:tr>
      <w:tr>
        <w:trPr>
          <w:trHeight w:val="270"/>
        </w:trPr>
        <w:tc>
          <w:tcPr>
            <w:tcW w:w="5140" w:type="dxa"/>
            <w:vAlign w:val="bottom"/>
          </w:tcPr>
          <w:p>
            <w:pPr>
              <w:jc w:val="center"/>
              <w:ind w:right="10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(Zip Code)</w:t>
            </w:r>
          </w:p>
        </w:tc>
      </w:tr>
    </w:tbl>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214-479-3773</w:t>
      </w:r>
    </w:p>
    <w:p>
      <w:pPr>
        <w:spacing w:after="0" w:line="26" w:lineRule="exact"/>
        <w:rPr>
          <w:sz w:val="24"/>
          <w:szCs w:val="24"/>
          <w:color w:val="auto"/>
        </w:rPr>
      </w:pPr>
    </w:p>
    <w:p>
      <w:pPr>
        <w:ind w:left="27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w:t>
      </w:r>
    </w:p>
    <w:p>
      <w:pPr>
        <w:spacing w:after="0" w:line="90" w:lineRule="exact"/>
        <w:rPr>
          <w:sz w:val="24"/>
          <w:szCs w:val="24"/>
          <w:color w:val="auto"/>
        </w:rPr>
      </w:pPr>
    </w:p>
    <w:p>
      <w:pPr>
        <w:ind w:right="42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3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7"/>
          <w:szCs w:val="17"/>
          <w:color w:val="auto"/>
        </w:rPr>
        <w:t xml:space="preserve">Yes x  No </w:t>
      </w:r>
      <w:r>
        <w:rPr>
          <w:rFonts w:ascii="MS PGothic" w:cs="MS PGothic" w:eastAsia="MS PGothic" w:hAnsi="MS PGothic"/>
          <w:sz w:val="17"/>
          <w:szCs w:val="17"/>
          <w:color w:val="auto"/>
        </w:rPr>
        <w:t>☐</w:t>
      </w:r>
    </w:p>
    <w:p>
      <w:pPr>
        <w:spacing w:after="0" w:line="108"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w:t>
      </w:r>
    </w:p>
    <w:p>
      <w:pPr>
        <w:spacing w:after="0" w:line="1" w:lineRule="exact"/>
        <w:rPr>
          <w:sz w:val="24"/>
          <w:szCs w:val="24"/>
          <w:color w:val="auto"/>
        </w:rPr>
      </w:pPr>
    </w:p>
    <w:p>
      <w:pPr>
        <w:spacing w:after="0" w:line="207" w:lineRule="exact"/>
        <w:tabs>
          <w:tab w:leader="none" w:pos="4380" w:val="left"/>
        </w:tabs>
        <w:rPr>
          <w:sz w:val="20"/>
          <w:szCs w:val="20"/>
          <w:color w:val="auto"/>
        </w:rPr>
      </w:pPr>
      <w:r>
        <w:rPr>
          <w:rFonts w:ascii="Arial" w:cs="Arial" w:eastAsia="Arial" w:hAnsi="Arial"/>
          <w:sz w:val="18"/>
          <w:szCs w:val="18"/>
          <w:color w:val="auto"/>
        </w:rPr>
        <w:t>registrant was required to submit and post such files).</w:t>
      </w:r>
      <w:r>
        <w:rPr>
          <w:sz w:val="20"/>
          <w:szCs w:val="20"/>
          <w:color w:val="auto"/>
        </w:rPr>
        <w:tab/>
      </w:r>
      <w:r>
        <w:rPr>
          <w:rFonts w:ascii="Arial" w:cs="Arial" w:eastAsia="Arial" w:hAnsi="Arial"/>
          <w:sz w:val="17"/>
          <w:szCs w:val="17"/>
          <w:color w:val="auto"/>
        </w:rPr>
        <w:t xml:space="preserve">Yes x  No </w:t>
      </w:r>
      <w:r>
        <w:rPr>
          <w:rFonts w:ascii="MS PGothic" w:cs="MS PGothic" w:eastAsia="MS PGothic" w:hAnsi="MS PGothic"/>
          <w:sz w:val="17"/>
          <w:szCs w:val="17"/>
          <w:color w:val="auto"/>
        </w:rPr>
        <w:t>☐</w:t>
      </w:r>
    </w:p>
    <w:p>
      <w:pPr>
        <w:spacing w:after="0" w:line="108"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882"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1940" w:space="720"/>
            <w:col w:w="4780" w:space="720"/>
            <w:col w:w="1900" w:space="720"/>
            <w:col w:w="640"/>
          </w:cols>
          <w:pgMar w:left="240" w:top="882"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3" w:lineRule="exact"/>
        <w:rPr>
          <w:sz w:val="24"/>
          <w:szCs w:val="24"/>
          <w:color w:val="auto"/>
        </w:rPr>
      </w:pPr>
    </w:p>
    <w:p>
      <w:pPr>
        <w:sectPr>
          <w:pgSz w:w="11900" w:h="16838" w:orient="portrait"/>
          <w:cols w:equalWidth="0" w:num="5">
            <w:col w:w="1940" w:space="720"/>
            <w:col w:w="160" w:space="540"/>
            <w:col w:w="4080" w:space="720"/>
            <w:col w:w="1960" w:space="660"/>
            <w:col w:w="640"/>
          </w:cols>
          <w:pgMar w:left="240" w:top="882" w:right="239" w:bottom="1440" w:gutter="0" w:footer="0" w:header="0"/>
          <w:type w:val="continuous"/>
        </w:sectPr>
      </w:pPr>
    </w:p>
    <w:p>
      <w:pPr>
        <w:spacing w:after="0" w:line="43" w:lineRule="exact"/>
        <w:rPr>
          <w:sz w:val="24"/>
          <w:szCs w:val="24"/>
          <w:color w:val="auto"/>
        </w:rPr>
      </w:pPr>
    </w:p>
    <w:p>
      <w:pPr>
        <w:spacing w:after="0" w:line="207" w:lineRule="exact"/>
        <w:tabs>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1,101,172,804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June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177165</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91440</wp:posOffset>
            </wp:positionV>
            <wp:extent cx="71348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960" w:type="dxa"/>
            <w:vAlign w:val="bottom"/>
            <w:gridSpan w:val="6"/>
          </w:tcPr>
          <w:p>
            <w:pPr>
              <w:ind w:left="420"/>
              <w:spacing w:after="0"/>
              <w:rPr>
                <w:sz w:val="20"/>
                <w:szCs w:val="20"/>
                <w:color w:val="auto"/>
              </w:rPr>
            </w:pPr>
            <w:r>
              <w:rPr>
                <w:rFonts w:ascii="Arial" w:cs="Arial" w:eastAsia="Arial" w:hAnsi="Arial"/>
                <w:sz w:val="18"/>
                <w:szCs w:val="18"/>
                <w:b w:val="1"/>
                <w:bCs w:val="1"/>
                <w:color w:val="auto"/>
              </w:rPr>
              <w:t>For Three Months Ended</w:t>
            </w:r>
          </w:p>
        </w:tc>
        <w:tc>
          <w:tcPr>
            <w:tcW w:w="320" w:type="dxa"/>
            <w:vAlign w:val="bottom"/>
          </w:tcPr>
          <w:p>
            <w:pPr>
              <w:spacing w:after="0"/>
              <w:rPr>
                <w:sz w:val="18"/>
                <w:szCs w:val="18"/>
                <w:color w:val="auto"/>
              </w:rPr>
            </w:pPr>
          </w:p>
        </w:tc>
        <w:tc>
          <w:tcPr>
            <w:tcW w:w="25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For Six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3,047</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5,932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 (COR)</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1,477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2,988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1,570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2,944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(R&amp;D)</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471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931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charges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Restructuring charges/other</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(267)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 net (OI&amp;E)</w:t>
            </w:r>
          </w:p>
        </w:tc>
        <w:tc>
          <w:tcPr>
            <w:tcW w:w="8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debt expense</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882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1,256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660</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1,022</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.90</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Average shares outstanding (millions):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1,103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1,117</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1,120</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See accompanying notes.</w:t>
            </w: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6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5620" w:type="dxa"/>
            <w:vAlign w:val="bottom"/>
          </w:tcPr>
          <w:p>
            <w:pPr>
              <w:spacing w:after="0"/>
              <w:rPr>
                <w:sz w:val="24"/>
                <w:szCs w:val="24"/>
                <w:color w:val="auto"/>
              </w:rPr>
            </w:pPr>
          </w:p>
        </w:tc>
        <w:tc>
          <w:tcPr>
            <w:tcW w:w="860" w:type="dxa"/>
            <w:vAlign w:val="bottom"/>
          </w:tcPr>
          <w:p>
            <w:pPr>
              <w:jc w:val="right"/>
              <w:ind w:right="630"/>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For Six Months Ended</w:t>
            </w:r>
          </w:p>
        </w:tc>
      </w:tr>
      <w:tr>
        <w:trPr>
          <w:trHeight w:val="234"/>
        </w:trPr>
        <w:tc>
          <w:tcPr>
            <w:tcW w:w="5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r>
      <w:tr>
        <w:trPr>
          <w:trHeight w:val="27"/>
        </w:trPr>
        <w:tc>
          <w:tcPr>
            <w:tcW w:w="5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6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660</w:t>
            </w:r>
          </w:p>
        </w:tc>
        <w:tc>
          <w:tcPr>
            <w:tcW w:w="120" w:type="dxa"/>
            <w:vAlign w:val="bottom"/>
          </w:tcPr>
          <w:p>
            <w:pPr>
              <w:spacing w:after="0"/>
              <w:rPr>
                <w:sz w:val="21"/>
                <w:szCs w:val="21"/>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446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1,022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711</w:t>
            </w: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Available-for-sale investments:</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gains (losses), net of taxes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actuarial gains (losses) of defined benefit plans:</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 net of taxes</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Reclassification of recognized transactions, net of taxes</w:t>
            </w:r>
          </w:p>
        </w:tc>
        <w:tc>
          <w:tcPr>
            <w:tcW w:w="9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service cost of defined benefit plans:</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Adjustment, net of taxes</w:t>
            </w:r>
          </w:p>
        </w:tc>
        <w:tc>
          <w:tcPr>
            <w:tcW w:w="9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of recognized transactions, net of taxes</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Derivative instrument:</w:t>
            </w: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net of taxes</w:t>
            </w:r>
          </w:p>
        </w:tc>
        <w:tc>
          <w:tcPr>
            <w:tcW w:w="9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Reclassification of recognized transactions, net of taxes</w:t>
            </w:r>
          </w:p>
        </w:tc>
        <w:tc>
          <w:tcPr>
            <w:tcW w:w="94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net of taxes</w:t>
            </w:r>
          </w:p>
        </w:tc>
        <w:tc>
          <w:tcPr>
            <w:tcW w:w="9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720</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447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1,131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746</w:t>
            </w:r>
          </w:p>
        </w:tc>
      </w:tr>
      <w:tr>
        <w:trPr>
          <w:trHeight w:val="20"/>
        </w:trPr>
        <w:tc>
          <w:tcPr>
            <w:tcW w:w="5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2,064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($31) and ($31)</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Raw materials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693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1,070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8,038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8,230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(3,068)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Acquisition-related intangibles, net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2,388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Capitalized software licenses, net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463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2,802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Underfunded retirement plans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credits and other liabilities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539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358"/>
        </w:trPr>
        <w:tc>
          <w:tcPr>
            <w:tcW w:w="8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Preferred stock, $25 par value. Authorized – 10,000,000 shares. Participating cumulative preferred. None</w:t>
            </w:r>
          </w:p>
        </w:tc>
        <w:tc>
          <w:tcPr>
            <w:tcW w:w="28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issued.</w:t>
            </w: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Common stock, $1 par value. Authorized – 2,400,000,000 shares. Shares issued – 1,740,815,939</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27,677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27,205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treasury common stock at cost. Shares: June 30, 2013 – 639,643,135; December 31, 2012 –</w:t>
            </w:r>
          </w:p>
        </w:tc>
        <w:tc>
          <w:tcPr>
            <w:tcW w:w="28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(18,877)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632,636,970</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(18,462)</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 net of taxes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10,961</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19,398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20,021</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ectPr>
          <w:pgSz w:w="11900" w:h="16849" w:orient="portrait"/>
          <w:cols w:equalWidth="0" w:num="1">
            <w:col w:w="11420"/>
          </w:cols>
          <w:pgMar w:left="240" w:top="580" w:right="239"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49" w:orient="portrait"/>
          <w:cols w:equalWidth="0" w:num="1">
            <w:col w:w="11420"/>
          </w:cols>
          <w:pgMar w:left="240" w:top="580" w:right="239"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369"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For Six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Adjustments to net income: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Amortization of acquisition-related intangibles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Gains on sales of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Increase (decrease) from changes in:</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funded status of retirement plans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asset sales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short-term investments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(2,402)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short-term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long-term investments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 of debt and commercial paper borrowings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 repurchases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common stock transactions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Excess tax benefit from share-based payments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(1,602)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1,180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financial statements</w:t>
      </w:r>
    </w:p>
    <w:p>
      <w:pPr>
        <w:spacing w:after="0" w:line="153" w:lineRule="exact"/>
        <w:rPr>
          <w:sz w:val="20"/>
          <w:szCs w:val="20"/>
          <w:color w:val="auto"/>
        </w:rPr>
      </w:pPr>
    </w:p>
    <w:p>
      <w:pPr>
        <w:ind w:left="320" w:hanging="318"/>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Description of business and significant accounting policies and practices</w:t>
      </w:r>
    </w:p>
    <w:p>
      <w:pPr>
        <w:spacing w:after="0" w:line="27" w:lineRule="exact"/>
        <w:rPr>
          <w:rFonts w:ascii="Arial" w:cs="Arial" w:eastAsia="Arial" w:hAnsi="Arial"/>
          <w:sz w:val="18"/>
          <w:szCs w:val="18"/>
          <w:color w:val="auto"/>
        </w:rPr>
      </w:pPr>
    </w:p>
    <w:p>
      <w:pPr>
        <w:ind w:left="320"/>
        <w:spacing w:after="0" w:line="261" w:lineRule="auto"/>
        <w:rPr>
          <w:rFonts w:ascii="Arial" w:cs="Arial" w:eastAsia="Arial" w:hAnsi="Arial"/>
          <w:sz w:val="18"/>
          <w:szCs w:val="18"/>
          <w:color w:val="auto"/>
        </w:rPr>
      </w:pPr>
      <w:r>
        <w:rPr>
          <w:rFonts w:ascii="Arial" w:cs="Arial" w:eastAsia="Arial" w:hAnsi="Arial"/>
          <w:sz w:val="18"/>
          <w:szCs w:val="18"/>
          <w:color w:val="auto"/>
        </w:rPr>
        <w:t>At Texas Instruments (TI), we design and make semiconductors that we sell to electronics designers and manufacturers all over the world. Effective January 1, 2013, we have two reportable segments, which are established along major categories of products as follows:</w:t>
      </w:r>
    </w:p>
    <w:p>
      <w:pPr>
        <w:spacing w:after="0" w:line="183" w:lineRule="exact"/>
        <w:rPr>
          <w:rFonts w:ascii="Arial" w:cs="Arial" w:eastAsia="Arial" w:hAnsi="Arial"/>
          <w:sz w:val="18"/>
          <w:szCs w:val="18"/>
          <w:color w:val="auto"/>
        </w:rPr>
      </w:pPr>
    </w:p>
    <w:p>
      <w:pPr>
        <w:ind w:left="880" w:hanging="244"/>
        <w:spacing w:after="0" w:line="258" w:lineRule="auto"/>
        <w:tabs>
          <w:tab w:leader="none" w:pos="812" w:val="left"/>
        </w:tabs>
        <w:numPr>
          <w:ilvl w:val="1"/>
          <w:numId w:val="3"/>
        </w:numPr>
        <w:rPr>
          <w:rFonts w:ascii="Arial" w:cs="Arial" w:eastAsia="Arial" w:hAnsi="Arial"/>
          <w:sz w:val="18"/>
          <w:szCs w:val="18"/>
          <w:color w:val="auto"/>
        </w:rPr>
      </w:pPr>
      <w:r>
        <w:rPr>
          <w:rFonts w:ascii="Arial" w:cs="Arial" w:eastAsia="Arial" w:hAnsi="Arial"/>
          <w:sz w:val="18"/>
          <w:szCs w:val="18"/>
          <w:color w:val="auto"/>
        </w:rPr>
        <w:t>Analog - consists of the following major product lines: High Volume Analog &amp; Logic (HVAL), Power Management (Power), High Performance Analog (HPA) and Silicon Valley Analog (SVA); and</w:t>
      </w:r>
    </w:p>
    <w:p>
      <w:pPr>
        <w:spacing w:after="0" w:line="1" w:lineRule="exact"/>
        <w:rPr>
          <w:rFonts w:ascii="Arial" w:cs="Arial" w:eastAsia="Arial" w:hAnsi="Arial"/>
          <w:sz w:val="18"/>
          <w:szCs w:val="18"/>
          <w:color w:val="auto"/>
        </w:rPr>
      </w:pPr>
    </w:p>
    <w:p>
      <w:pPr>
        <w:ind w:left="820" w:hanging="184"/>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Embedded Processing - consists of the following major product lines: Processors, Microcontrollers and Connectivity.</w:t>
      </w:r>
    </w:p>
    <w:p>
      <w:pPr>
        <w:spacing w:after="0" w:line="211" w:lineRule="exact"/>
        <w:rPr>
          <w:sz w:val="20"/>
          <w:szCs w:val="20"/>
          <w:color w:val="auto"/>
        </w:rPr>
      </w:pPr>
    </w:p>
    <w:p>
      <w:pPr>
        <w:jc w:val="both"/>
        <w:ind w:left="320"/>
        <w:spacing w:after="0" w:line="291" w:lineRule="auto"/>
        <w:rPr>
          <w:sz w:val="20"/>
          <w:szCs w:val="20"/>
          <w:color w:val="auto"/>
        </w:rPr>
      </w:pPr>
      <w:r>
        <w:rPr>
          <w:rFonts w:ascii="Arial" w:cs="Arial" w:eastAsia="Arial" w:hAnsi="Arial"/>
          <w:sz w:val="16"/>
          <w:szCs w:val="16"/>
          <w:color w:val="auto"/>
        </w:rPr>
        <w:t>We report the results of our remaining business activities in Other. As previously announced, we restructured our Wireless business to focus our OMAP™ applications processors and connectivity products (formerly Wireless products) on embedded applications with long life cycles. Consistent with this restructuring, effective January 1, 2013, the Wireless segment was eliminated. Financial results for embedded OMAP applications processors and embedded connectivity products, both of which have many of the same characteristics as the products in our Embedded Processing segment, are now reported in that segment. Financial results for baseband products and Wireless products for the smartphone and consumer tablet markets, both of which are product lines that we have announced we are exiting, are included in Other and are collectively referred to as “legacy wireless products.” We also reclassified certain product lines, primarily radio frequency identification (RFID) products, from Other to Embedded Processing.</w:t>
      </w:r>
    </w:p>
    <w:p>
      <w:pPr>
        <w:spacing w:after="0" w:line="167" w:lineRule="exact"/>
        <w:rPr>
          <w:sz w:val="20"/>
          <w:szCs w:val="20"/>
          <w:color w:val="auto"/>
        </w:rPr>
      </w:pPr>
    </w:p>
    <w:p>
      <w:pPr>
        <w:jc w:val="both"/>
        <w:ind w:left="320"/>
        <w:spacing w:after="0" w:line="308" w:lineRule="auto"/>
        <w:rPr>
          <w:sz w:val="20"/>
          <w:szCs w:val="20"/>
          <w:color w:val="auto"/>
        </w:rPr>
      </w:pPr>
      <w:r>
        <w:rPr>
          <w:rFonts w:ascii="Arial" w:cs="Arial" w:eastAsia="Arial" w:hAnsi="Arial"/>
          <w:sz w:val="17"/>
          <w:szCs w:val="17"/>
          <w:color w:val="auto"/>
        </w:rPr>
        <w:t>See Note 11 for the results of our business segments. On May 3, 2013, we filed a Form 8-K to update our Form 10-K for the year ended December 31, 2012, to reflect these changes. Prior period segment presentations have been recast to conform to this new reporting structure.</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ind w:left="320" w:right="120"/>
        <w:spacing w:after="0" w:line="286"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U.S. (U.S. GAAP) and on the same basis as the audited financial statements included in our annual report on Form 10-K for the year ended December 31, 2012, and as updated by the Form 8-K. The consolidated statements of income, statements of comprehensive income and statements of cash flows for the periods ended June 30, 2013 and 2012, and the balance sheet as of June 30, 2013 are not audited but reflect all adjustments that are of a normal recurring nature and are necessary for a fair statement of the results of the periods shown.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2012, as updated by the Form 8-K. The results for the three- and six-month periods are not necessarily indicative of a full year’s results.</w:t>
      </w:r>
    </w:p>
    <w:p>
      <w:pPr>
        <w:spacing w:after="0" w:line="170" w:lineRule="exact"/>
        <w:rPr>
          <w:sz w:val="20"/>
          <w:szCs w:val="20"/>
          <w:color w:val="auto"/>
        </w:rPr>
      </w:pPr>
    </w:p>
    <w:p>
      <w:pPr>
        <w:ind w:left="320" w:right="340"/>
        <w:spacing w:after="0" w:line="264"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Earnings per share (EPS)</w:t>
      </w:r>
    </w:p>
    <w:p>
      <w:pPr>
        <w:spacing w:after="0" w:line="23" w:lineRule="exact"/>
        <w:rPr>
          <w:sz w:val="20"/>
          <w:szCs w:val="20"/>
          <w:color w:val="auto"/>
        </w:rPr>
      </w:pPr>
    </w:p>
    <w:p>
      <w:pPr>
        <w:ind w:left="320" w:right="180"/>
        <w:spacing w:after="0" w:line="254" w:lineRule="auto"/>
        <w:rPr>
          <w:sz w:val="20"/>
          <w:szCs w:val="20"/>
          <w:color w:val="auto"/>
        </w:rPr>
      </w:pPr>
      <w:r>
        <w:rPr>
          <w:rFonts w:ascii="Arial" w:cs="Arial" w:eastAsia="Arial" w:hAnsi="Arial"/>
          <w:sz w:val="18"/>
          <w:szCs w:val="18"/>
          <w:color w:val="auto"/>
        </w:rPr>
        <w:t>Unvested awards of share-based payments with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364"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Three Months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Three Months Ended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30, 2013</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 2012</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Net Income</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Net Income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27"/>
        </w:trPr>
        <w:tc>
          <w:tcPr>
            <w:tcW w:w="4000" w:type="dxa"/>
            <w:vAlign w:val="bottom"/>
            <w:gridSpan w:val="4"/>
            <w:vMerge w:val="restart"/>
          </w:tcPr>
          <w:p>
            <w:pPr>
              <w:ind w:left="40"/>
              <w:spacing w:after="0"/>
              <w:rPr>
                <w:sz w:val="20"/>
                <w:szCs w:val="20"/>
                <w:color w:val="auto"/>
              </w:rPr>
            </w:pPr>
            <w:r>
              <w:rPr>
                <w:rFonts w:ascii="Arial" w:cs="Arial" w:eastAsia="Arial" w:hAnsi="Arial"/>
                <w:sz w:val="18"/>
                <w:szCs w:val="18"/>
                <w:i w:val="1"/>
                <w:iCs w:val="1"/>
                <w:color w:val="auto"/>
              </w:rPr>
              <w:t>Basic EPS:</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gridSpan w:val="4"/>
          </w:tcPr>
          <w:p>
            <w:pPr>
              <w:ind w:left="40"/>
              <w:spacing w:after="0"/>
              <w:rPr>
                <w:sz w:val="20"/>
                <w:szCs w:val="20"/>
                <w:color w:val="auto"/>
              </w:rPr>
            </w:pPr>
            <w:r>
              <w:rPr>
                <w:rFonts w:ascii="Arial" w:cs="Arial" w:eastAsia="Arial" w:hAnsi="Arial"/>
                <w:sz w:val="18"/>
                <w:szCs w:val="18"/>
                <w:color w:val="auto"/>
              </w:rPr>
              <w:t>Less income allocated to RSUs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 basic EPS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649</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1,103</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9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Adjustment for dilutive shares: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Stock-based compensation plans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000" w:type="dxa"/>
            <w:vAlign w:val="bottom"/>
            <w:gridSpan w:val="4"/>
          </w:tcPr>
          <w:p>
            <w:pPr>
              <w:ind w:left="40"/>
              <w:spacing w:after="0" w:line="202" w:lineRule="exact"/>
              <w:rPr>
                <w:sz w:val="20"/>
                <w:szCs w:val="20"/>
                <w:color w:val="auto"/>
              </w:rPr>
            </w:pPr>
            <w:r>
              <w:rPr>
                <w:rFonts w:ascii="Arial" w:cs="Arial" w:eastAsia="Arial" w:hAnsi="Arial"/>
                <w:sz w:val="18"/>
                <w:szCs w:val="18"/>
                <w:i w:val="1"/>
                <w:iCs w:val="1"/>
                <w:color w:val="auto"/>
              </w:rPr>
              <w:t>Diluted EPS: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gridSpan w:val="4"/>
          </w:tcPr>
          <w:p>
            <w:pPr>
              <w:ind w:left="40"/>
              <w:spacing w:after="0"/>
              <w:rPr>
                <w:sz w:val="20"/>
                <w:szCs w:val="20"/>
                <w:color w:val="auto"/>
              </w:rPr>
            </w:pPr>
            <w:r>
              <w:rPr>
                <w:rFonts w:ascii="Arial" w:cs="Arial" w:eastAsia="Arial" w:hAnsi="Arial"/>
                <w:sz w:val="18"/>
                <w:szCs w:val="18"/>
                <w:color w:val="auto"/>
              </w:rPr>
              <w:t>Less income allocated to RSUs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7"/>
              </w:rPr>
              <w:t>Income allocated to common stock for diluted EPS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649</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1,117</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9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5"/>
          </w:tcPr>
          <w:p>
            <w:pPr>
              <w:jc w:val="center"/>
              <w:ind w:left="550"/>
              <w:spacing w:after="0"/>
              <w:rPr>
                <w:sz w:val="20"/>
                <w:szCs w:val="20"/>
                <w:color w:val="auto"/>
              </w:rPr>
            </w:pPr>
            <w:r>
              <w:rPr>
                <w:rFonts w:ascii="Arial" w:cs="Arial" w:eastAsia="Arial" w:hAnsi="Arial"/>
                <w:sz w:val="18"/>
                <w:szCs w:val="18"/>
                <w:b w:val="1"/>
                <w:bCs w:val="1"/>
                <w:color w:val="auto"/>
                <w:w w:val="92"/>
              </w:rPr>
              <w:t>For Six Months Ended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91"/>
              </w:rPr>
              <w:t>For Six Months Ended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30, 2013</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 2012</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Income</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Income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36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27"/>
        </w:trPr>
        <w:tc>
          <w:tcPr>
            <w:tcW w:w="4000" w:type="dxa"/>
            <w:vAlign w:val="bottom"/>
            <w:gridSpan w:val="4"/>
            <w:vMerge w:val="restart"/>
          </w:tcPr>
          <w:p>
            <w:pPr>
              <w:ind w:left="40"/>
              <w:spacing w:after="0"/>
              <w:rPr>
                <w:sz w:val="20"/>
                <w:szCs w:val="20"/>
                <w:color w:val="auto"/>
              </w:rPr>
            </w:pPr>
            <w:r>
              <w:rPr>
                <w:rFonts w:ascii="Arial" w:cs="Arial" w:eastAsia="Arial" w:hAnsi="Arial"/>
                <w:sz w:val="18"/>
                <w:szCs w:val="18"/>
                <w:i w:val="1"/>
                <w:iCs w:val="1"/>
                <w:color w:val="auto"/>
              </w:rPr>
              <w:t>Basic EPS:</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gridSpan w:val="4"/>
          </w:tcPr>
          <w:p>
            <w:pPr>
              <w:ind w:left="40"/>
              <w:spacing w:after="0"/>
              <w:rPr>
                <w:sz w:val="20"/>
                <w:szCs w:val="20"/>
                <w:color w:val="auto"/>
              </w:rPr>
            </w:pPr>
            <w:r>
              <w:rPr>
                <w:rFonts w:ascii="Arial" w:cs="Arial" w:eastAsia="Arial" w:hAnsi="Arial"/>
                <w:sz w:val="18"/>
                <w:szCs w:val="18"/>
                <w:color w:val="auto"/>
              </w:rPr>
              <w:t>Less income allocated to RSUs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 basic EPS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1,004</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1,105</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9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Adjustment for dilutive shares: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Stock-based compensation plans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000" w:type="dxa"/>
            <w:vAlign w:val="bottom"/>
            <w:gridSpan w:val="4"/>
          </w:tcPr>
          <w:p>
            <w:pPr>
              <w:ind w:left="40"/>
              <w:spacing w:after="0" w:line="202" w:lineRule="exact"/>
              <w:rPr>
                <w:sz w:val="20"/>
                <w:szCs w:val="20"/>
                <w:color w:val="auto"/>
              </w:rPr>
            </w:pPr>
            <w:r>
              <w:rPr>
                <w:rFonts w:ascii="Arial" w:cs="Arial" w:eastAsia="Arial" w:hAnsi="Arial"/>
                <w:sz w:val="18"/>
                <w:szCs w:val="18"/>
                <w:i w:val="1"/>
                <w:iCs w:val="1"/>
                <w:color w:val="auto"/>
              </w:rPr>
              <w:t>Diluted EPS: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gridSpan w:val="4"/>
          </w:tcPr>
          <w:p>
            <w:pPr>
              <w:ind w:left="40"/>
              <w:spacing w:after="0"/>
              <w:rPr>
                <w:sz w:val="20"/>
                <w:szCs w:val="20"/>
                <w:color w:val="auto"/>
              </w:rPr>
            </w:pPr>
            <w:r>
              <w:rPr>
                <w:rFonts w:ascii="Arial" w:cs="Arial" w:eastAsia="Arial" w:hAnsi="Arial"/>
                <w:sz w:val="18"/>
                <w:szCs w:val="18"/>
                <w:color w:val="auto"/>
              </w:rPr>
              <w:t>Less income allocated to RSUs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7"/>
              </w:rPr>
              <w:t>Income allocated to common stock for diluted EPS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1,004</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1,120</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96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calculation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20"/>
        <w:spacing w:after="0" w:line="286" w:lineRule="auto"/>
        <w:rPr>
          <w:sz w:val="20"/>
          <w:szCs w:val="20"/>
          <w:color w:val="auto"/>
        </w:rPr>
      </w:pPr>
      <w:r>
        <w:rPr>
          <w:rFonts w:ascii="Arial" w:cs="Arial" w:eastAsia="Arial" w:hAnsi="Arial"/>
          <w:sz w:val="17"/>
          <w:szCs w:val="17"/>
          <w:color w:val="auto"/>
        </w:rPr>
        <w:t>Potentially dilutive securities representing 13 million and 53 million shares of common stock that were outstanding during the second quarters of 2013 and 2012, respectively, and 23 million and 51 million shares outstanding during the first six months of 2013 and 2012, respectively, were excluded from the computation of diluted earnings per common share for these periods because their effect would have been anti-dilutive.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Derivatives and hedging</w:t>
      </w:r>
    </w:p>
    <w:p>
      <w:pPr>
        <w:spacing w:after="0" w:line="23" w:lineRule="exact"/>
        <w:rPr>
          <w:sz w:val="20"/>
          <w:szCs w:val="20"/>
          <w:color w:val="auto"/>
        </w:rPr>
      </w:pPr>
    </w:p>
    <w:p>
      <w:pPr>
        <w:ind w:left="340" w:right="20"/>
        <w:spacing w:after="0" w:line="253" w:lineRule="auto"/>
        <w:rPr>
          <w:sz w:val="20"/>
          <w:szCs w:val="20"/>
          <w:color w:val="auto"/>
        </w:rPr>
      </w:pPr>
      <w:r>
        <w:rPr>
          <w:rFonts w:ascii="Arial" w:cs="Arial" w:eastAsia="Arial" w:hAnsi="Arial"/>
          <w:sz w:val="18"/>
          <w:szCs w:val="18"/>
          <w:color w:val="auto"/>
        </w:rPr>
        <w:t>In connection with the issuance of variable-rate long-term debt in May 2011, we entered into an interest rate swap designated as a hedge of the variability of cash flows related to interest payments. Gains and losses from changes in the fair value of the interest rate swap were credited or charged to Accumulated other comprehensive income (loss), net of taxes (AOCI). In connection with the repayment of this long-term debt in the second quarter of 2013, this interest rate swap has been settled for no gain or loss. In association with the issuance of long-term debt, we use financial derivatives such as treasury rate lock agreements, the results of which have not been material.</w:t>
      </w:r>
    </w:p>
    <w:p>
      <w:pPr>
        <w:spacing w:after="0" w:line="191" w:lineRule="exact"/>
        <w:rPr>
          <w:sz w:val="20"/>
          <w:szCs w:val="20"/>
          <w:color w:val="auto"/>
        </w:rPr>
      </w:pPr>
    </w:p>
    <w:p>
      <w:pPr>
        <w:ind w:left="340" w:right="100"/>
        <w:spacing w:after="0" w:line="279" w:lineRule="auto"/>
        <w:rPr>
          <w:sz w:val="20"/>
          <w:szCs w:val="20"/>
          <w:color w:val="auto"/>
        </w:rPr>
      </w:pPr>
      <w:r>
        <w:rPr>
          <w:rFonts w:ascii="Arial" w:cs="Arial" w:eastAsia="Arial" w:hAnsi="Arial"/>
          <w:sz w:val="17"/>
          <w:szCs w:val="17"/>
          <w:color w:val="auto"/>
        </w:rPr>
        <w:t>We also use derivative financial instruments to manage exposure to foreign exchange risk. These instruments are primarily forward foreign currency exchange contracts that are used as economic hedges to reduce the earnings impact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ectPr>
          <w:pgSz w:w="11900" w:h="16838" w:orient="portrait"/>
          <w:cols w:equalWidth="0" w:num="1">
            <w:col w:w="11420"/>
          </w:cols>
          <w:pgMar w:left="240" w:top="368"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68" w:right="239" w:bottom="1440" w:gutter="0" w:footer="0" w:header="0"/>
          <w:type w:val="continuous"/>
        </w:sectPr>
      </w:pPr>
    </w:p>
    <w:bookmarkStart w:id="7" w:name="page8"/>
    <w:bookmarkEnd w:id="7"/>
    <w:p>
      <w:pPr>
        <w:ind w:left="340"/>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23" w:lineRule="exact"/>
        <w:rPr>
          <w:sz w:val="20"/>
          <w:szCs w:val="20"/>
          <w:color w:val="auto"/>
        </w:rPr>
      </w:pPr>
    </w:p>
    <w:p>
      <w:pPr>
        <w:ind w:left="340" w:right="60"/>
        <w:spacing w:after="0" w:line="253" w:lineRule="auto"/>
        <w:rPr>
          <w:sz w:val="20"/>
          <w:szCs w:val="20"/>
          <w:color w:val="auto"/>
        </w:rPr>
      </w:pPr>
      <w:r>
        <w:rPr>
          <w:rFonts w:ascii="Arial" w:cs="Arial" w:eastAsia="Arial" w:hAnsi="Arial"/>
          <w:sz w:val="18"/>
          <w:szCs w:val="18"/>
          <w:color w:val="auto"/>
        </w:rPr>
        <w:t>The fair values of our derivative financial instruments were not significant at June 30, 2013. Our investments in cash equivalents, short-term investments and certain long-term investments, as well as our deferred compensation liabilities, are carried at fair value and are discussed in Note 5.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based on Level 2 inputs. See Note 5 for the definition of Level 2 inputs.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Changes in Accounting Standards</w:t>
      </w:r>
    </w:p>
    <w:p>
      <w:pPr>
        <w:spacing w:after="0" w:line="23" w:lineRule="exact"/>
        <w:rPr>
          <w:sz w:val="20"/>
          <w:szCs w:val="20"/>
          <w:color w:val="auto"/>
        </w:rPr>
      </w:pPr>
    </w:p>
    <w:p>
      <w:pPr>
        <w:ind w:left="340" w:right="300"/>
        <w:spacing w:after="0" w:line="290" w:lineRule="auto"/>
        <w:rPr>
          <w:sz w:val="20"/>
          <w:szCs w:val="20"/>
          <w:color w:val="auto"/>
        </w:rPr>
      </w:pPr>
      <w:r>
        <w:rPr>
          <w:rFonts w:ascii="Arial" w:cs="Arial" w:eastAsia="Arial" w:hAnsi="Arial"/>
          <w:sz w:val="16"/>
          <w:szCs w:val="16"/>
          <w:color w:val="auto"/>
        </w:rPr>
        <w:t xml:space="preserve">In January 2013, the FASB issued Accounting Standards Update (ASU) No. 2013-01, </w:t>
      </w:r>
      <w:r>
        <w:rPr>
          <w:rFonts w:ascii="Arial" w:cs="Arial" w:eastAsia="Arial" w:hAnsi="Arial"/>
          <w:sz w:val="16"/>
          <w:szCs w:val="16"/>
          <w:i w:val="1"/>
          <w:iCs w:val="1"/>
          <w:color w:val="auto"/>
        </w:rPr>
        <w:t>Balance Sheet (Topic 210): Clarifying the Scope of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Offsetting Assets and Liabilities</w:t>
      </w:r>
      <w:r>
        <w:rPr>
          <w:rFonts w:ascii="Arial" w:cs="Arial" w:eastAsia="Arial" w:hAnsi="Arial"/>
          <w:sz w:val="16"/>
          <w:szCs w:val="16"/>
          <w:color w:val="auto"/>
        </w:rPr>
        <w:t>. This standard clarifies that a previously issued standard on disclosure requirements of offsetting (or netting)</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applies only to derivatives, repurchase agreements and certain securities lending transactions. The required disclosures are both gross and net information about instruments and transactions eligible for offset in the statement of financial position and instruments and transactions subject to an agreement similar to a master netting arrangement. This standard is effective as of the first quarter of 2013 and did not have a material impact on our financial disclosures because the derivatives to which it applies are not significant.</w:t>
      </w:r>
    </w:p>
    <w:p>
      <w:pPr>
        <w:spacing w:after="0" w:line="124" w:lineRule="exact"/>
        <w:rPr>
          <w:sz w:val="20"/>
          <w:szCs w:val="20"/>
          <w:color w:val="auto"/>
        </w:rPr>
      </w:pPr>
    </w:p>
    <w:p>
      <w:pPr>
        <w:ind w:left="340" w:right="340"/>
        <w:spacing w:after="0" w:line="259" w:lineRule="auto"/>
        <w:rPr>
          <w:sz w:val="20"/>
          <w:szCs w:val="20"/>
          <w:color w:val="auto"/>
        </w:rPr>
      </w:pPr>
      <w:r>
        <w:rPr>
          <w:rFonts w:ascii="Arial" w:cs="Arial" w:eastAsia="Arial" w:hAnsi="Arial"/>
          <w:sz w:val="18"/>
          <w:szCs w:val="18"/>
          <w:color w:val="auto"/>
        </w:rPr>
        <w:t xml:space="preserve">In February 2013, the FASB issued ASU No. 2013-02, </w:t>
      </w:r>
      <w:r>
        <w:rPr>
          <w:rFonts w:ascii="Arial" w:cs="Arial" w:eastAsia="Arial" w:hAnsi="Arial"/>
          <w:sz w:val="18"/>
          <w:szCs w:val="18"/>
          <w:i w:val="1"/>
          <w:iCs w:val="1"/>
          <w:color w:val="auto"/>
        </w:rPr>
        <w:t>Comprehensive Income (Topic 220): Reporting of Amounts Reclassified Out of Accumulated</w:t>
      </w:r>
      <w:r>
        <w:rPr>
          <w:rFonts w:ascii="Arial" w:cs="Arial" w:eastAsia="Arial" w:hAnsi="Arial"/>
          <w:sz w:val="18"/>
          <w:szCs w:val="18"/>
          <w:color w:val="auto"/>
        </w:rPr>
        <w:t xml:space="preserve"> </w:t>
      </w:r>
      <w:r>
        <w:rPr>
          <w:rFonts w:ascii="Arial" w:cs="Arial" w:eastAsia="Arial" w:hAnsi="Arial"/>
          <w:sz w:val="18"/>
          <w:szCs w:val="18"/>
          <w:i w:val="1"/>
          <w:iCs w:val="1"/>
          <w:color w:val="auto"/>
        </w:rPr>
        <w:t>Other Comprehensive Income</w:t>
      </w:r>
      <w:r>
        <w:rPr>
          <w:rFonts w:ascii="Arial" w:cs="Arial" w:eastAsia="Arial" w:hAnsi="Arial"/>
          <w:sz w:val="18"/>
          <w:szCs w:val="18"/>
          <w:color w:val="auto"/>
        </w:rPr>
        <w:t>. This standard requires an entity to disclose information about amounts reclassified out of AOCI by component and by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income line item. This standard is effective as of the first quarter of 2013 and is applied prospectively. See Note 10 for the required disclosure.</w:t>
      </w:r>
    </w:p>
    <w:p>
      <w:pPr>
        <w:spacing w:after="0" w:line="18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Acquisition-related charges</w:t>
      </w:r>
    </w:p>
    <w:p>
      <w:pPr>
        <w:spacing w:after="0" w:line="27" w:lineRule="exact"/>
        <w:rPr>
          <w:rFonts w:ascii="Arial" w:cs="Arial" w:eastAsia="Arial" w:hAnsi="Arial"/>
          <w:sz w:val="18"/>
          <w:szCs w:val="18"/>
          <w:color w:val="auto"/>
        </w:rPr>
      </w:pPr>
    </w:p>
    <w:p>
      <w:pPr>
        <w:jc w:val="both"/>
        <w:ind w:left="340" w:right="60"/>
        <w:spacing w:after="0" w:line="323" w:lineRule="auto"/>
        <w:rPr>
          <w:rFonts w:ascii="Arial" w:cs="Arial" w:eastAsia="Arial" w:hAnsi="Arial"/>
          <w:sz w:val="18"/>
          <w:szCs w:val="18"/>
          <w:color w:val="auto"/>
        </w:rPr>
      </w:pPr>
      <w:r>
        <w:rPr>
          <w:rFonts w:ascii="Arial" w:cs="Arial" w:eastAsia="Arial" w:hAnsi="Arial"/>
          <w:sz w:val="16"/>
          <w:szCs w:val="16"/>
          <w:color w:val="auto"/>
        </w:rPr>
        <w:t>We completed the acquisition of National Semiconductor Corporation (National) in September 2011. Various costs incurred as a result of that acquisition are included in Other, consistent with how management measures the performance of its segments. These total acquisition-related charges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For Three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For Six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6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Acquisition charges:</w:t>
            </w: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98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Retention bonuses</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and other benefits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 and other costs</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As recorded in Acquisition charges</w:t>
            </w:r>
          </w:p>
        </w:tc>
        <w:tc>
          <w:tcPr>
            <w:tcW w:w="9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104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Distributor contract termination recorded in COR</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acquisition-related costs</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104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color w:val="auto"/>
        </w:rPr>
        <w:t>The amount of recognized amortization of acquired intangible assets resulting from the National acquisition is based on estimated useful lives varying between two and ten years. See Note 6 for additional information.</w:t>
      </w:r>
    </w:p>
    <w:p>
      <w:pPr>
        <w:spacing w:after="0" w:line="170" w:lineRule="exact"/>
        <w:rPr>
          <w:sz w:val="20"/>
          <w:szCs w:val="20"/>
          <w:color w:val="auto"/>
        </w:rPr>
      </w:pPr>
    </w:p>
    <w:p>
      <w:pPr>
        <w:ind w:left="340" w:right="220"/>
        <w:spacing w:after="0" w:line="277" w:lineRule="auto"/>
        <w:rPr>
          <w:sz w:val="20"/>
          <w:szCs w:val="20"/>
          <w:color w:val="auto"/>
        </w:rPr>
      </w:pPr>
      <w:r>
        <w:rPr>
          <w:rFonts w:ascii="Arial" w:cs="Arial" w:eastAsia="Arial" w:hAnsi="Arial"/>
          <w:sz w:val="18"/>
          <w:szCs w:val="18"/>
          <w:color w:val="auto"/>
        </w:rPr>
        <w:t>Retention bonuses reflect amounts already or expected to be paid to former National employees who fulfill agreed-upon service period obligations and are recognized ratably over the required service period.</w:t>
      </w:r>
    </w:p>
    <w:p>
      <w:pPr>
        <w:spacing w:after="0" w:line="170" w:lineRule="exact"/>
        <w:rPr>
          <w:sz w:val="20"/>
          <w:szCs w:val="20"/>
          <w:color w:val="auto"/>
        </w:rPr>
      </w:pPr>
    </w:p>
    <w:p>
      <w:pPr>
        <w:ind w:left="340" w:right="200"/>
        <w:spacing w:after="0" w:line="264" w:lineRule="auto"/>
        <w:rPr>
          <w:sz w:val="20"/>
          <w:szCs w:val="20"/>
          <w:color w:val="auto"/>
        </w:rPr>
      </w:pPr>
      <w:r>
        <w:rPr>
          <w:rFonts w:ascii="Arial" w:cs="Arial" w:eastAsia="Arial" w:hAnsi="Arial"/>
          <w:sz w:val="18"/>
          <w:szCs w:val="18"/>
          <w:color w:val="auto"/>
        </w:rPr>
        <w:t>Severance and other benefits costs were for former National employees who were terminated after the closing date. About 350 jobs were eliminated by the end of 2012 as a result of redundancies and cost efficiency measures. As of June 30, 2013, a total of $86 million in cumulative charges have been recognized, of which $81 million has been paid.</w:t>
      </w:r>
    </w:p>
    <w:p>
      <w:pPr>
        <w:spacing w:after="0" w:line="181" w:lineRule="exact"/>
        <w:rPr>
          <w:sz w:val="20"/>
          <w:szCs w:val="20"/>
          <w:color w:val="auto"/>
        </w:rPr>
      </w:pPr>
    </w:p>
    <w:p>
      <w:pPr>
        <w:ind w:left="340" w:right="40"/>
        <w:spacing w:after="0" w:line="277" w:lineRule="auto"/>
        <w:rPr>
          <w:sz w:val="20"/>
          <w:szCs w:val="20"/>
          <w:color w:val="auto"/>
        </w:rPr>
      </w:pPr>
      <w:r>
        <w:rPr>
          <w:rFonts w:ascii="Arial" w:cs="Arial" w:eastAsia="Arial" w:hAnsi="Arial"/>
          <w:sz w:val="18"/>
          <w:szCs w:val="18"/>
          <w:color w:val="auto"/>
        </w:rPr>
        <w:t>Stock-based compensation was recognized for the accelerated vesting of equity awards upon the termination of employees, with additional compensation being recognized over the applicable vesting period for the remaining grantees.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color w:val="auto"/>
        </w:rPr>
        <w:t>Transaction and other costs include various expenses incurred in connection with the National acquisition.</w:t>
      </w:r>
    </w:p>
    <w:p>
      <w:pPr>
        <w:spacing w:after="0" w:line="225"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In 2011, we discontinued using one of National’s distributors. We acquired the distributor’s inventory at fair value, resulting in an incremental charge of $21 million to COR upon sale of the inventory in 2012.</w:t>
      </w:r>
    </w:p>
    <w:p>
      <w:pPr>
        <w:spacing w:after="0" w:line="16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Restructuring charges/other</w:t>
      </w:r>
    </w:p>
    <w:p>
      <w:pPr>
        <w:spacing w:after="0" w:line="2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Restructuring charges/other is included in Other and is comprised of the following components: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gridSpan w:val="5"/>
          </w:tcPr>
          <w:p>
            <w:pPr>
              <w:ind w:left="220"/>
              <w:spacing w:after="0"/>
              <w:rPr>
                <w:sz w:val="20"/>
                <w:szCs w:val="20"/>
                <w:color w:val="auto"/>
              </w:rPr>
            </w:pPr>
            <w:r>
              <w:rPr>
                <w:rFonts w:ascii="Arial" w:cs="Arial" w:eastAsia="Arial" w:hAnsi="Arial"/>
                <w:sz w:val="18"/>
                <w:szCs w:val="18"/>
                <w:b w:val="1"/>
                <w:bCs w:val="1"/>
                <w:color w:val="auto"/>
              </w:rPr>
              <w:t>For Three Months Ended</w:t>
            </w:r>
          </w:p>
        </w:tc>
        <w:tc>
          <w:tcPr>
            <w:tcW w:w="340" w:type="dxa"/>
            <w:vAlign w:val="bottom"/>
          </w:tcPr>
          <w:p>
            <w:pPr>
              <w:spacing w:after="0"/>
              <w:rPr>
                <w:sz w:val="18"/>
                <w:szCs w:val="18"/>
                <w:color w:val="auto"/>
              </w:rPr>
            </w:pPr>
          </w:p>
        </w:tc>
        <w:tc>
          <w:tcPr>
            <w:tcW w:w="23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For Six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2"/>
              </w:rPr>
              <w:t>Cumulative</w:t>
            </w: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700" w:type="dxa"/>
            <w:vAlign w:val="bottom"/>
            <w:gridSpan w:val="3"/>
            <w:vMerge w:val="restart"/>
          </w:tcPr>
          <w:p>
            <w:pPr>
              <w:ind w:left="900"/>
              <w:spacing w:after="0"/>
              <w:rPr>
                <w:sz w:val="20"/>
                <w:szCs w:val="20"/>
                <w:color w:val="auto"/>
              </w:rPr>
            </w:pPr>
            <w:r>
              <w:rPr>
                <w:rFonts w:ascii="Arial" w:cs="Arial" w:eastAsia="Arial" w:hAnsi="Arial"/>
                <w:sz w:val="18"/>
                <w:szCs w:val="18"/>
                <w:b w:val="1"/>
                <w:bCs w:val="1"/>
                <w:color w:val="auto"/>
              </w:rPr>
              <w:t>June 30,</w:t>
            </w: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300" w:type="dxa"/>
            <w:vAlign w:val="bottom"/>
            <w:gridSpan w:val="3"/>
            <w:vMerge w:val="restart"/>
          </w:tcPr>
          <w:p>
            <w:pPr>
              <w:jc w:val="right"/>
              <w:ind w:right="690"/>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center"/>
              <w:ind w:right="90"/>
              <w:spacing w:after="0" w:line="194" w:lineRule="exact"/>
              <w:rPr>
                <w:sz w:val="20"/>
                <w:szCs w:val="20"/>
                <w:color w:val="auto"/>
              </w:rPr>
            </w:pPr>
            <w:r>
              <w:rPr>
                <w:rFonts w:ascii="Arial" w:cs="Arial" w:eastAsia="Arial" w:hAnsi="Arial"/>
                <w:sz w:val="18"/>
                <w:szCs w:val="18"/>
                <w:b w:val="1"/>
                <w:bCs w:val="1"/>
                <w:color w:val="auto"/>
                <w:w w:val="85"/>
              </w:rPr>
              <w:t>since Actions</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ind w:left="22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Initiated</w:t>
            </w:r>
          </w:p>
        </w:tc>
        <w:tc>
          <w:tcPr>
            <w:tcW w:w="0" w:type="dxa"/>
            <w:vAlign w:val="bottom"/>
          </w:tcPr>
          <w:p>
            <w:pPr>
              <w:spacing w:after="0"/>
              <w:rPr>
                <w:sz w:val="1"/>
                <w:szCs w:val="1"/>
                <w:color w:val="auto"/>
              </w:rPr>
            </w:pPr>
          </w:p>
        </w:tc>
      </w:tr>
      <w:tr>
        <w:trPr>
          <w:trHeight w:val="27"/>
        </w:trPr>
        <w:tc>
          <w:tcPr>
            <w:tcW w:w="3540" w:type="dxa"/>
            <w:vAlign w:val="bottom"/>
            <w:gridSpan w:val="4"/>
            <w:vMerge w:val="restart"/>
          </w:tcPr>
          <w:p>
            <w:pPr>
              <w:ind w:left="40"/>
              <w:spacing w:after="0"/>
              <w:rPr>
                <w:sz w:val="20"/>
                <w:szCs w:val="20"/>
                <w:color w:val="auto"/>
              </w:rPr>
            </w:pPr>
            <w:r>
              <w:rPr>
                <w:rFonts w:ascii="Arial" w:cs="Arial" w:eastAsia="Arial" w:hAnsi="Arial"/>
                <w:sz w:val="18"/>
                <w:szCs w:val="18"/>
                <w:color w:val="auto"/>
              </w:rPr>
              <w:t>Restructuring charges: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40" w:type="dxa"/>
            <w:vAlign w:val="bottom"/>
            <w:gridSpan w:val="4"/>
            <w:vMerge w:val="continue"/>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2012 Wireless action</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Severance and benefits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275</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Accelerated depreciation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3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exit costs</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389</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80" w:type="dxa"/>
            <w:vAlign w:val="bottom"/>
            <w:shd w:val="clear" w:color="auto" w:fill="CCEEFF"/>
          </w:tcPr>
          <w:p>
            <w:pPr>
              <w:spacing w:after="0"/>
              <w:rPr>
                <w:sz w:val="15"/>
                <w:szCs w:val="15"/>
                <w:color w:val="auto"/>
              </w:rPr>
            </w:pPr>
          </w:p>
        </w:tc>
        <w:tc>
          <w:tcPr>
            <w:tcW w:w="326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2011 actions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7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Severance and benefits cost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Accelerated 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w:t>
            </w: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Other exit costs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7"/>
        </w:trPr>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Total restructuring charges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560</w:t>
            </w:r>
          </w:p>
        </w:tc>
        <w:tc>
          <w:tcPr>
            <w:tcW w:w="0" w:type="dxa"/>
            <w:vAlign w:val="bottom"/>
          </w:tcPr>
          <w:p>
            <w:pPr>
              <w:spacing w:after="0"/>
              <w:rPr>
                <w:sz w:val="1"/>
                <w:szCs w:val="1"/>
                <w:color w:val="auto"/>
              </w:rPr>
            </w:pPr>
          </w:p>
        </w:tc>
      </w:tr>
      <w:tr>
        <w:trPr>
          <w:trHeight w:val="67"/>
        </w:trPr>
        <w:tc>
          <w:tcPr>
            <w:tcW w:w="28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1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3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Gain on technology transfer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gridSpan w:val="4"/>
          </w:tcPr>
          <w:p>
            <w:pPr>
              <w:ind w:left="40"/>
              <w:spacing w:after="0"/>
              <w:rPr>
                <w:sz w:val="20"/>
                <w:szCs w:val="20"/>
                <w:color w:val="auto"/>
              </w:rPr>
            </w:pPr>
            <w:r>
              <w:rPr>
                <w:rFonts w:ascii="Arial" w:cs="Arial" w:eastAsia="Arial" w:hAnsi="Arial"/>
                <w:sz w:val="18"/>
                <w:szCs w:val="18"/>
                <w:color w:val="auto"/>
              </w:rPr>
              <w:t>Total Restructuring charges/other</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(282)</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(267)</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60"/>
        <w:spacing w:after="0" w:line="277" w:lineRule="auto"/>
        <w:rPr>
          <w:sz w:val="20"/>
          <w:szCs w:val="20"/>
          <w:color w:val="auto"/>
        </w:rPr>
      </w:pPr>
      <w:r>
        <w:rPr>
          <w:rFonts w:ascii="Arial" w:cs="Arial" w:eastAsia="Arial" w:hAnsi="Arial"/>
          <w:sz w:val="18"/>
          <w:szCs w:val="18"/>
          <w:color w:val="auto"/>
        </w:rPr>
        <w:t>Restructuring actions related to the acquisition of National are discussed in Note 2 and are reflected on the Acquisition charges line of our Consolidated statements of income.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2012 Wireless action</w:t>
      </w:r>
    </w:p>
    <w:p>
      <w:pPr>
        <w:spacing w:after="0" w:line="23" w:lineRule="exact"/>
        <w:rPr>
          <w:sz w:val="20"/>
          <w:szCs w:val="20"/>
          <w:color w:val="auto"/>
        </w:rPr>
      </w:pPr>
    </w:p>
    <w:p>
      <w:pPr>
        <w:ind w:left="340" w:right="80"/>
        <w:spacing w:after="0" w:line="254" w:lineRule="auto"/>
        <w:rPr>
          <w:sz w:val="20"/>
          <w:szCs w:val="20"/>
          <w:color w:val="auto"/>
        </w:rPr>
      </w:pPr>
      <w:r>
        <w:rPr>
          <w:rFonts w:ascii="Arial" w:cs="Arial" w:eastAsia="Arial" w:hAnsi="Arial"/>
          <w:sz w:val="18"/>
          <w:szCs w:val="18"/>
          <w:color w:val="auto"/>
        </w:rPr>
        <w:t>In November 2012, we announced an action concerning our former Wireless segment that, when complete, is expected to reduce annualized expenses by about $450 million and will focus our investments on embedded markets with greater potential for sustainable growth. About 1,700 jobs worldwide are expected to be eliminated. We estimate that this action will be substantially complete by the end of 2013. As of June 30, 2013, $48 million has been paid to terminated employees for severance and benefits related to this action.</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2011 actions</w:t>
      </w:r>
    </w:p>
    <w:p>
      <w:pPr>
        <w:spacing w:after="0" w:line="23" w:lineRule="exact"/>
        <w:rPr>
          <w:sz w:val="20"/>
          <w:szCs w:val="20"/>
          <w:color w:val="auto"/>
        </w:rPr>
      </w:pPr>
    </w:p>
    <w:p>
      <w:pPr>
        <w:ind w:left="340" w:right="200"/>
        <w:spacing w:after="0" w:line="255" w:lineRule="auto"/>
        <w:rPr>
          <w:sz w:val="20"/>
          <w:szCs w:val="20"/>
          <w:color w:val="auto"/>
        </w:rPr>
      </w:pPr>
      <w:r>
        <w:rPr>
          <w:rFonts w:ascii="Arial" w:cs="Arial" w:eastAsia="Arial" w:hAnsi="Arial"/>
          <w:sz w:val="18"/>
          <w:szCs w:val="18"/>
          <w:color w:val="auto"/>
        </w:rPr>
        <w:t>Beginning in the fourth quarter of 2011, we recognized restructuring charges associated with the announced plans to close two older semiconductor manufacturing facilities in Houston, Texas, and Hiji, Japan, in 2013. As of June 30, 2013, about $52 million has been paid to terminated employees for severance and benefits related to this action.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The table below reflects the changes in accrued restructuring balances associated with these actions: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5"/>
          </w:tcPr>
          <w:p>
            <w:pPr>
              <w:ind w:left="120"/>
              <w:spacing w:after="0"/>
              <w:rPr>
                <w:sz w:val="20"/>
                <w:szCs w:val="20"/>
                <w:color w:val="auto"/>
              </w:rPr>
            </w:pPr>
            <w:r>
              <w:rPr>
                <w:rFonts w:ascii="Arial" w:cs="Arial" w:eastAsia="Arial" w:hAnsi="Arial"/>
                <w:sz w:val="18"/>
                <w:szCs w:val="18"/>
                <w:b w:val="1"/>
                <w:bCs w:val="1"/>
                <w:color w:val="auto"/>
              </w:rPr>
              <w:t>2012 Wireless Action</w:t>
            </w:r>
          </w:p>
        </w:tc>
        <w:tc>
          <w:tcPr>
            <w:tcW w:w="140" w:type="dxa"/>
            <w:vAlign w:val="bottom"/>
          </w:tcPr>
          <w:p>
            <w:pPr>
              <w:spacing w:after="0"/>
              <w:rPr>
                <w:sz w:val="20"/>
                <w:szCs w:val="20"/>
                <w:color w:val="auto"/>
              </w:rPr>
            </w:pPr>
          </w:p>
        </w:tc>
        <w:tc>
          <w:tcPr>
            <w:tcW w:w="2100" w:type="dxa"/>
            <w:vAlign w:val="bottom"/>
            <w:gridSpan w:val="5"/>
          </w:tcPr>
          <w:p>
            <w:pPr>
              <w:ind w:left="460"/>
              <w:spacing w:after="0"/>
              <w:rPr>
                <w:sz w:val="20"/>
                <w:szCs w:val="20"/>
                <w:color w:val="auto"/>
              </w:rPr>
            </w:pPr>
            <w:r>
              <w:rPr>
                <w:rFonts w:ascii="Arial" w:cs="Arial" w:eastAsia="Arial" w:hAnsi="Arial"/>
                <w:sz w:val="18"/>
                <w:szCs w:val="18"/>
                <w:b w:val="1"/>
                <w:bCs w:val="1"/>
                <w:color w:val="auto"/>
              </w:rPr>
              <w:t>2011 Actions</w:t>
            </w:r>
          </w:p>
        </w:tc>
        <w:tc>
          <w:tcPr>
            <w:tcW w:w="160" w:type="dxa"/>
            <w:vAlign w:val="bottom"/>
          </w:tcPr>
          <w:p>
            <w:pPr>
              <w:spacing w:after="0"/>
              <w:rPr>
                <w:sz w:val="20"/>
                <w:szCs w:val="20"/>
                <w:color w:val="auto"/>
              </w:rPr>
            </w:pPr>
          </w:p>
        </w:tc>
        <w:tc>
          <w:tcPr>
            <w:tcW w:w="2100" w:type="dxa"/>
            <w:vAlign w:val="bottom"/>
            <w:gridSpan w:val="5"/>
          </w:tcPr>
          <w:p>
            <w:pPr>
              <w:ind w:left="420"/>
              <w:spacing w:after="0"/>
              <w:rPr>
                <w:sz w:val="20"/>
                <w:szCs w:val="20"/>
                <w:color w:val="auto"/>
              </w:rPr>
            </w:pPr>
            <w:r>
              <w:rPr>
                <w:rFonts w:ascii="Arial" w:cs="Arial" w:eastAsia="Arial" w:hAnsi="Arial"/>
                <w:sz w:val="18"/>
                <w:szCs w:val="18"/>
                <w:b w:val="1"/>
                <w:bCs w:val="1"/>
                <w:color w:val="auto"/>
              </w:rPr>
              <w:t>Prior Actions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18"/>
        </w:trPr>
        <w:tc>
          <w:tcPr>
            <w:tcW w:w="378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Severance and</w:t>
            </w: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Severance</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Severance</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Benefits</w:t>
            </w:r>
          </w:p>
        </w:tc>
        <w:tc>
          <w:tcPr>
            <w:tcW w:w="120" w:type="dxa"/>
            <w:vAlign w:val="bottom"/>
          </w:tcPr>
          <w:p>
            <w:pPr>
              <w:spacing w:after="0"/>
              <w:rPr>
                <w:sz w:val="20"/>
                <w:szCs w:val="2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Charges</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and Benefits</w:t>
            </w: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Charges</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and Benefits</w:t>
            </w: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Charges</w:t>
            </w:r>
          </w:p>
        </w:tc>
        <w:tc>
          <w:tcPr>
            <w:tcW w:w="16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Total</w:t>
            </w: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accrual at December 31, 2012</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Restructuring charges</w:t>
            </w:r>
          </w:p>
        </w:tc>
        <w:tc>
          <w:tcPr>
            <w:tcW w:w="2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b w:val="1"/>
                <w:bCs w:val="1"/>
                <w:color w:val="auto"/>
              </w:rPr>
              <w:t>48</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items (a)</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Payments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(94)</w:t>
            </w:r>
          </w:p>
        </w:tc>
      </w:tr>
      <w:tr>
        <w:trPr>
          <w:trHeight w:val="27"/>
        </w:trPr>
        <w:tc>
          <w:tcPr>
            <w:tcW w:w="3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Remaining accrual at June 30, 2013</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292</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8"/>
          <w:szCs w:val="18"/>
          <w:color w:val="auto"/>
        </w:rPr>
        <w:t>(a) Reflects charges for stock-based compensation, impacts of postretirement benefit plans and accelerated depreciation.</w:t>
      </w:r>
    </w:p>
    <w:p>
      <w:pPr>
        <w:spacing w:after="0" w:line="211" w:lineRule="exact"/>
        <w:rPr>
          <w:sz w:val="20"/>
          <w:szCs w:val="20"/>
          <w:color w:val="auto"/>
        </w:rPr>
      </w:pPr>
    </w:p>
    <w:p>
      <w:pPr>
        <w:ind w:left="360" w:right="800"/>
        <w:spacing w:after="0" w:line="277" w:lineRule="auto"/>
        <w:rPr>
          <w:sz w:val="20"/>
          <w:szCs w:val="20"/>
          <w:color w:val="auto"/>
        </w:rPr>
      </w:pPr>
      <w:r>
        <w:rPr>
          <w:rFonts w:ascii="Arial" w:cs="Arial" w:eastAsia="Arial" w:hAnsi="Arial"/>
          <w:sz w:val="18"/>
          <w:szCs w:val="18"/>
          <w:color w:val="auto"/>
        </w:rPr>
        <w:t>The accrual balances above are primarily a component of Accrued expenses and other liabilities or Deferred credits and other liabilities on our Consolidated balance sheets, depending on the expected timing of payment.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Gain on technology transfer</w:t>
      </w:r>
    </w:p>
    <w:p>
      <w:pPr>
        <w:spacing w:after="0" w:line="9" w:lineRule="exact"/>
        <w:rPr>
          <w:sz w:val="20"/>
          <w:szCs w:val="20"/>
          <w:color w:val="auto"/>
        </w:rPr>
      </w:pPr>
    </w:p>
    <w:p>
      <w:pPr>
        <w:ind w:left="340" w:right="520"/>
        <w:spacing w:after="0" w:line="323" w:lineRule="auto"/>
        <w:rPr>
          <w:sz w:val="20"/>
          <w:szCs w:val="20"/>
          <w:color w:val="auto"/>
        </w:rPr>
      </w:pPr>
      <w:r>
        <w:rPr>
          <w:rFonts w:ascii="Arial" w:cs="Arial" w:eastAsia="Arial" w:hAnsi="Arial"/>
          <w:sz w:val="16"/>
          <w:szCs w:val="16"/>
          <w:color w:val="auto"/>
        </w:rPr>
        <w:t>During the second quarter of 2013, we entered into an agreement to transfer wireless connectivity technology to a customer. This technology was associated with the former Wireless business that we have previously announced we are exiting. As a result, we recognized a gain of $315 million.</w:t>
      </w:r>
    </w:p>
    <w:p>
      <w:pPr>
        <w:spacing w:after="0" w:line="13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Income taxes</w:t>
      </w:r>
    </w:p>
    <w:p>
      <w:pPr>
        <w:spacing w:after="0" w:line="27" w:lineRule="exact"/>
        <w:rPr>
          <w:rFonts w:ascii="Arial" w:cs="Arial" w:eastAsia="Arial" w:hAnsi="Arial"/>
          <w:sz w:val="18"/>
          <w:szCs w:val="18"/>
          <w:color w:val="auto"/>
        </w:rPr>
      </w:pPr>
    </w:p>
    <w:p>
      <w:pPr>
        <w:ind w:left="340" w:right="140"/>
        <w:spacing w:after="0" w:line="252" w:lineRule="auto"/>
        <w:rPr>
          <w:rFonts w:ascii="Arial" w:cs="Arial" w:eastAsia="Arial" w:hAnsi="Arial"/>
          <w:sz w:val="18"/>
          <w:szCs w:val="18"/>
          <w:color w:val="auto"/>
        </w:rPr>
      </w:pPr>
      <w:r>
        <w:rPr>
          <w:rFonts w:ascii="Arial" w:cs="Arial" w:eastAsia="Arial" w:hAnsi="Arial"/>
          <w:sz w:val="18"/>
          <w:szCs w:val="18"/>
          <w:color w:val="auto"/>
        </w:rPr>
        <w:t>Federal income taxes for the interim periods presented have been included in the accompanying financial statements on the basis of an estimated annual effective tax rate. As of June 30, 2013, the estimated annual effective tax rate for 2013 is about 24 percent, which differs from the 35 percent statutory corporate tax rate due to lower statutory tax rates applicable to our operations in many of the jurisdictions in which we operate and from U.S. tax benefits. These lower tax rates are generally statutory in nature, without expiration and available to companies that operate in those taxing jurisdictions. The first quarter 2013 tax provision included a $65 million discrete tax benefit from the reinstatement of the federal research tax credit retroactive to the beginning of 2012.</w:t>
      </w:r>
    </w:p>
    <w:p>
      <w:pPr>
        <w:spacing w:after="0" w:line="190" w:lineRule="exact"/>
        <w:rPr>
          <w:rFonts w:ascii="Arial" w:cs="Arial" w:eastAsia="Arial" w:hAnsi="Arial"/>
          <w:sz w:val="18"/>
          <w:szCs w:val="18"/>
          <w:color w:val="auto"/>
        </w:rPr>
      </w:pPr>
    </w:p>
    <w:p>
      <w:pPr>
        <w:ind w:left="340" w:right="628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Valuation of debt and equity investments and certain liabilities </w:t>
      </w:r>
      <w:r>
        <w:rPr>
          <w:rFonts w:ascii="Arial" w:cs="Arial" w:eastAsia="Arial" w:hAnsi="Arial"/>
          <w:sz w:val="18"/>
          <w:szCs w:val="18"/>
          <w:u w:val="single" w:color="auto"/>
          <w:color w:val="auto"/>
        </w:rPr>
        <w:t>Debt and equity investments</w:t>
      </w:r>
    </w:p>
    <w:p>
      <w:pPr>
        <w:ind w:left="340"/>
        <w:spacing w:after="0"/>
        <w:rPr>
          <w:rFonts w:ascii="Arial" w:cs="Arial" w:eastAsia="Arial" w:hAnsi="Arial"/>
          <w:sz w:val="18"/>
          <w:szCs w:val="18"/>
          <w:color w:val="auto"/>
        </w:rPr>
      </w:pPr>
      <w:r>
        <w:rPr>
          <w:rFonts w:ascii="Arial" w:cs="Arial" w:eastAsia="Arial" w:hAnsi="Arial"/>
          <w:sz w:val="16"/>
          <w:szCs w:val="16"/>
          <w:color w:val="auto"/>
        </w:rPr>
        <w:t>We classify our investments as available for sale, trading, equity method or cost method. Most of our investments are classified as available for sale.</w:t>
      </w:r>
    </w:p>
    <w:p>
      <w:pPr>
        <w:spacing w:after="0" w:line="233" w:lineRule="exact"/>
        <w:rPr>
          <w:rFonts w:ascii="Arial" w:cs="Arial" w:eastAsia="Arial" w:hAnsi="Arial"/>
          <w:sz w:val="18"/>
          <w:szCs w:val="18"/>
          <w:color w:val="auto"/>
        </w:rPr>
      </w:pPr>
    </w:p>
    <w:p>
      <w:pPr>
        <w:ind w:left="340"/>
        <w:spacing w:after="0" w:line="259" w:lineRule="auto"/>
        <w:rPr>
          <w:rFonts w:ascii="Arial" w:cs="Arial" w:eastAsia="Arial" w:hAnsi="Arial"/>
          <w:sz w:val="18"/>
          <w:szCs w:val="18"/>
          <w:color w:val="auto"/>
        </w:rPr>
      </w:pPr>
      <w:r>
        <w:rPr>
          <w:rFonts w:ascii="Arial" w:cs="Arial" w:eastAsia="Arial" w:hAnsi="Arial"/>
          <w:sz w:val="18"/>
          <w:szCs w:val="18"/>
          <w:color w:val="auto"/>
        </w:rPr>
        <w:t>Available-for-sale and trading securities are stated at fair value, which is generally based on market prices, broker quotes or, when necessary, financial models (see fair-value discussion 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87" w:lineRule="exact"/>
        <w:rPr>
          <w:sz w:val="20"/>
          <w:szCs w:val="20"/>
          <w:color w:val="auto"/>
        </w:rPr>
      </w:pPr>
    </w:p>
    <w:p>
      <w:pPr>
        <w:ind w:left="340" w:right="80"/>
        <w:spacing w:after="0" w:line="286" w:lineRule="auto"/>
        <w:rPr>
          <w:sz w:val="20"/>
          <w:szCs w:val="20"/>
          <w:color w:val="auto"/>
        </w:rPr>
      </w:pPr>
      <w:r>
        <w:rPr>
          <w:rFonts w:ascii="Arial" w:cs="Arial" w:eastAsia="Arial" w:hAnsi="Arial"/>
          <w:sz w:val="17"/>
          <w:szCs w:val="17"/>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 Changes in the fair value of debt securities classified as trading securities are recorded in OI&amp;E.</w:t>
      </w:r>
    </w:p>
    <w:p>
      <w:pPr>
        <w:spacing w:after="0" w:line="166" w:lineRule="exact"/>
        <w:rPr>
          <w:sz w:val="20"/>
          <w:szCs w:val="20"/>
          <w:color w:val="auto"/>
        </w:rPr>
      </w:pPr>
    </w:p>
    <w:p>
      <w:pPr>
        <w:ind w:left="360" w:right="20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color w:val="auto"/>
        </w:rPr>
        <w:t>Details of our investments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June 30, 2013</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Cash and Cash</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Short-term</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Long-term</w:t>
            </w: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Short-term</w:t>
            </w:r>
          </w:p>
        </w:tc>
        <w:tc>
          <w:tcPr>
            <w:tcW w:w="12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Long-term</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Equivalents</w:t>
            </w: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Investments</w:t>
            </w: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Corporate obligations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Government agency and Treasury</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Trading securities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1,025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2,064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159</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Equity-method investments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Cost-method investments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on hand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1,180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2,064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right="60"/>
        <w:spacing w:after="0" w:line="308" w:lineRule="auto"/>
        <w:rPr>
          <w:sz w:val="20"/>
          <w:szCs w:val="20"/>
          <w:color w:val="auto"/>
        </w:rPr>
      </w:pPr>
      <w:r>
        <w:rPr>
          <w:rFonts w:ascii="Arial" w:cs="Arial" w:eastAsia="Arial" w:hAnsi="Arial"/>
          <w:sz w:val="17"/>
          <w:szCs w:val="17"/>
          <w:color w:val="auto"/>
        </w:rPr>
        <w:t>As of June 30, 2013, and December 31, 2012, we had no significant unrealized gains or losses associated with our available-for-sale investments. For the six months ended June 30, 2013 and 2012, we did not recognize in earnings any credit losses related to these investments.</w:t>
      </w:r>
    </w:p>
    <w:p>
      <w:pPr>
        <w:spacing w:after="0" w:line="147"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For the six months ended June 30, 2013 and 2012, the proceeds from sales, redemptions and maturities of short-term available-for-sale investments were $2.88 billion and $1.47 billion, respectively. Gross realized gains and losses from these sales were not significant.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aggregate maturities of investments in debt securities classified as available for sale at June 30, 2013:</w:t>
      </w:r>
    </w:p>
    <w:p>
      <w:pPr>
        <w:spacing w:after="0" w:line="383"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Due</w:t>
            </w:r>
          </w:p>
        </w:tc>
        <w:tc>
          <w:tcPr>
            <w:tcW w:w="18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r>
      <w:tr>
        <w:trPr>
          <w:trHeight w:val="27"/>
        </w:trPr>
        <w:tc>
          <w:tcPr>
            <w:tcW w:w="7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One year or less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2,799</w:t>
            </w: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One to three years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7"/>
        </w:trPr>
        <w:tc>
          <w:tcPr>
            <w:tcW w:w="7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Fair-value considerations</w:t>
      </w:r>
    </w:p>
    <w:p>
      <w:pPr>
        <w:spacing w:after="0" w:line="23"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Uses unadjusted quoted prices that are available in active markets for identical assets or liabilities as of the reporting date.</w:t>
      </w:r>
    </w:p>
    <w:p>
      <w:pPr>
        <w:spacing w:after="0" w:line="225" w:lineRule="exact"/>
        <w:rPr>
          <w:sz w:val="20"/>
          <w:szCs w:val="20"/>
          <w:color w:val="auto"/>
        </w:rPr>
      </w:pPr>
    </w:p>
    <w:p>
      <w:pPr>
        <w:jc w:val="both"/>
        <w:ind w:left="340" w:right="240"/>
        <w:spacing w:after="0" w:line="297" w:lineRule="auto"/>
        <w:rPr>
          <w:sz w:val="20"/>
          <w:szCs w:val="20"/>
          <w:color w:val="auto"/>
        </w:rPr>
      </w:pPr>
      <w:r>
        <w:rPr>
          <w:rFonts w:ascii="Arial" w:cs="Arial" w:eastAsia="Arial" w:hAnsi="Arial"/>
          <w:sz w:val="16"/>
          <w:szCs w:val="16"/>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Our Level 2 assets consist of corporate obligations and some U.S. government agency and Treasury securities. We utilize a third-party data service to provide Level 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1" w:name="page12"/>
    <w:bookmarkEnd w:id="11"/>
    <w:p>
      <w:pPr>
        <w:ind w:left="340" w:right="260"/>
        <w:spacing w:after="0" w:line="277" w:lineRule="auto"/>
        <w:rPr>
          <w:sz w:val="20"/>
          <w:szCs w:val="20"/>
          <w:color w:val="auto"/>
        </w:rPr>
      </w:pPr>
      <w:r>
        <w:rPr>
          <w:rFonts w:ascii="Arial" w:cs="Arial" w:eastAsia="Arial" w:hAnsi="Arial"/>
          <w:sz w:val="18"/>
          <w:szCs w:val="18"/>
          <w:color w:val="auto"/>
        </w:rPr>
        <w:t>valuations, verifying these valuations for reasonableness relative to unadjusted quotes obtained from brokers or dealers based on observable prices for similar assets in active markets.</w:t>
      </w:r>
    </w:p>
    <w:p>
      <w:pPr>
        <w:spacing w:after="0" w:line="170" w:lineRule="exact"/>
        <w:rPr>
          <w:sz w:val="20"/>
          <w:szCs w:val="20"/>
          <w:color w:val="auto"/>
        </w:rPr>
      </w:pPr>
    </w:p>
    <w:p>
      <w:pPr>
        <w:jc w:val="both"/>
        <w:ind w:left="340" w:right="320"/>
        <w:spacing w:after="0" w:line="308" w:lineRule="auto"/>
        <w:rPr>
          <w:sz w:val="20"/>
          <w:szCs w:val="20"/>
          <w:color w:val="auto"/>
        </w:rPr>
      </w:pPr>
      <w:r>
        <w:rPr>
          <w:rFonts w:ascii="Arial" w:cs="Arial" w:eastAsia="Arial" w:hAnsi="Arial"/>
          <w:sz w:val="17"/>
          <w:szCs w:val="17"/>
          <w:color w:val="auto"/>
        </w:rPr>
        <w:t>Level 3 — 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147" w:lineRule="exact"/>
        <w:rPr>
          <w:sz w:val="20"/>
          <w:szCs w:val="20"/>
          <w:color w:val="auto"/>
        </w:rPr>
      </w:pPr>
    </w:p>
    <w:p>
      <w:pPr>
        <w:jc w:val="both"/>
        <w:ind w:left="340" w:right="340"/>
        <w:spacing w:after="0" w:line="264"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as of June 30, 2013, and December 31, 2012. For these periods, we had no Level 3 assets or liabilities. These tables do not include cash on hand, assets held by our postretirement plans, or assets and liabilities that are measured at historical cost or any basis other than fair value.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Fair Value</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277</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277</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U.S. Government agency and Treasury securities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2,468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1,517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951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3,248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1,953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1,295</w:t>
            </w:r>
          </w:p>
        </w:tc>
        <w:tc>
          <w:tcPr>
            <w:tcW w:w="0" w:type="dxa"/>
            <w:vAlign w:val="bottom"/>
          </w:tcPr>
          <w:p>
            <w:pPr>
              <w:spacing w:after="0"/>
              <w:rPr>
                <w:sz w:val="1"/>
                <w:szCs w:val="1"/>
                <w:color w:val="auto"/>
              </w:rPr>
            </w:pPr>
          </w:p>
        </w:tc>
      </w:tr>
      <w:tr>
        <w:trPr>
          <w:trHeight w:val="257"/>
        </w:trPr>
        <w:tc>
          <w:tcPr>
            <w:tcW w:w="6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178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6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Fair Value</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U.S. Government agency and Treasury securities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3,902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1,515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57"/>
        </w:trPr>
        <w:tc>
          <w:tcPr>
            <w:tcW w:w="69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340"/>
              <w:spacing w:after="0"/>
              <w:rPr>
                <w:sz w:val="20"/>
                <w:szCs w:val="20"/>
                <w:color w:val="auto"/>
              </w:rPr>
            </w:pPr>
            <w:r>
              <w:rPr>
                <w:rFonts w:ascii="Arial" w:cs="Arial" w:eastAsia="Arial" w:hAnsi="Arial"/>
                <w:sz w:val="18"/>
                <w:szCs w:val="18"/>
                <w:color w:val="auto"/>
              </w:rPr>
              <w:t>The following table summarizes the change in the fair values for Level 3 assets:</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6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510"/>
              <w:spacing w:after="0"/>
              <w:rPr>
                <w:sz w:val="20"/>
                <w:szCs w:val="20"/>
                <w:color w:val="auto"/>
              </w:rPr>
            </w:pPr>
            <w:r>
              <w:rPr>
                <w:rFonts w:ascii="Arial" w:cs="Arial" w:eastAsia="Arial" w:hAnsi="Arial"/>
                <w:sz w:val="18"/>
                <w:szCs w:val="18"/>
                <w:b w:val="1"/>
                <w:bCs w:val="1"/>
                <w:color w:val="auto"/>
                <w:w w:val="88"/>
              </w:rPr>
              <w:t>Level 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2"/>
              </w:rPr>
              <w:t>Auction-rate</w:t>
            </w:r>
          </w:p>
        </w:tc>
        <w:tc>
          <w:tcPr>
            <w:tcW w:w="0" w:type="dxa"/>
            <w:vAlign w:val="bottom"/>
          </w:tcPr>
          <w:p>
            <w:pPr>
              <w:spacing w:after="0"/>
              <w:rPr>
                <w:sz w:val="1"/>
                <w:szCs w:val="1"/>
                <w:color w:val="auto"/>
              </w:rPr>
            </w:pPr>
          </w:p>
        </w:tc>
      </w:tr>
      <w:tr>
        <w:trPr>
          <w:trHeight w:val="23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Changes in fair value during the period (pre-tax):</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Change in unrealized loss – included in AOCI</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Redemptions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Sales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June 30, 2012</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no Level 3 assets as of either December 31, 2012, or June 30, 2013.</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68" w:right="239" w:bottom="1440" w:gutter="0" w:footer="0" w:header="0"/>
          <w:type w:val="continuous"/>
        </w:sectPr>
      </w:pPr>
    </w:p>
    <w:bookmarkStart w:id="12" w:name="page13"/>
    <w:bookmarkEnd w:id="12"/>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Goodwill and acquisition-related intangibles</w:t>
      </w:r>
    </w:p>
    <w:p>
      <w:pPr>
        <w:spacing w:after="0" w:line="27" w:lineRule="exact"/>
        <w:rPr>
          <w:rFonts w:ascii="Arial" w:cs="Arial" w:eastAsia="Arial" w:hAnsi="Arial"/>
          <w:sz w:val="18"/>
          <w:szCs w:val="18"/>
          <w:color w:val="auto"/>
        </w:rPr>
      </w:pPr>
    </w:p>
    <w:p>
      <w:pPr>
        <w:jc w:val="both"/>
        <w:ind w:left="340" w:right="280"/>
        <w:spacing w:after="0" w:line="255" w:lineRule="auto"/>
        <w:rPr>
          <w:rFonts w:ascii="Arial" w:cs="Arial" w:eastAsia="Arial" w:hAnsi="Arial"/>
          <w:sz w:val="18"/>
          <w:szCs w:val="18"/>
          <w:color w:val="auto"/>
        </w:rPr>
      </w:pPr>
      <w:r>
        <w:rPr>
          <w:rFonts w:ascii="Arial" w:cs="Arial" w:eastAsia="Arial" w:hAnsi="Arial"/>
          <w:sz w:val="18"/>
          <w:szCs w:val="18"/>
          <w:color w:val="auto"/>
        </w:rPr>
        <w:t>Goodwill was $4.362 billion net of accumulated impairment of $90 million as of June 30, 2013, and December 31, 2012. There was no impairment of goodwill during the six months ended June 30, 2013. The following table shows the components of acquisition-related intangible assets as of June 30, 2013, and December 31, 2012:</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June 30, 2013</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88"/>
              </w:rPr>
              <w:t>December 31, 2012</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8"/>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Carrying</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4"/>
        </w:trPr>
        <w:tc>
          <w:tcPr>
            <w:tcW w:w="264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Acquisition-related Intangibles</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Period (Years)</w:t>
            </w:r>
          </w:p>
        </w:tc>
        <w:tc>
          <w:tcPr>
            <w:tcW w:w="16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b w:val="1"/>
                <w:bCs w:val="1"/>
                <w:color w:val="auto"/>
              </w:rPr>
              <w:t>Net</w:t>
            </w: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5 - 10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w:t>
            </w: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5 - 8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821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b w:val="1"/>
                <w:bCs w:val="1"/>
                <w:color w:val="auto"/>
              </w:rPr>
              <w:t>188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633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684</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2 - 5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2640" w:type="dxa"/>
            <w:vAlign w:val="bottom"/>
            <w:gridSpan w:val="2"/>
          </w:tcPr>
          <w:p>
            <w:pPr>
              <w:ind w:left="180"/>
              <w:spacing w:after="0"/>
              <w:rPr>
                <w:sz w:val="20"/>
                <w:szCs w:val="20"/>
                <w:color w:val="auto"/>
              </w:rPr>
            </w:pPr>
            <w:r>
              <w:rPr>
                <w:rFonts w:ascii="Arial" w:cs="Arial" w:eastAsia="Arial" w:hAnsi="Arial"/>
                <w:sz w:val="18"/>
                <w:szCs w:val="18"/>
                <w:color w:val="auto"/>
              </w:rPr>
              <w:t>In-process R&amp;D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w:t>
            </w:r>
          </w:p>
        </w:tc>
        <w:tc>
          <w:tcPr>
            <w:tcW w:w="1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940"/>
              <w:spacing w:after="0"/>
              <w:rPr>
                <w:sz w:val="20"/>
                <w:szCs w:val="20"/>
                <w:color w:val="auto"/>
              </w:rPr>
            </w:pPr>
            <w:r>
              <w:rPr>
                <w:rFonts w:ascii="Arial" w:cs="Arial" w:eastAsia="Arial" w:hAnsi="Arial"/>
                <w:sz w:val="18"/>
                <w:szCs w:val="18"/>
                <w:b w:val="1"/>
                <w:bCs w:val="1"/>
                <w:color w:val="auto"/>
              </w:rPr>
              <w:t>n/a</w:t>
            </w: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2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2,388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3,043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2,558</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500" w:hanging="8"/>
        <w:spacing w:after="0" w:line="277" w:lineRule="auto"/>
        <w:tabs>
          <w:tab w:leader="none" w:pos="58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In-process R&amp;D is not amortized until the associated project has been completed. Alternatively, if the associated project is determined not to be viable, it will be expensed.</w:t>
      </w:r>
    </w:p>
    <w:p>
      <w:pPr>
        <w:spacing w:after="0" w:line="170"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color w:val="auto"/>
        </w:rPr>
        <w:t>Amortization of acquisition-related intangibles was $85 million and $86 million for the three months ($170 million and $171 million for the six months) ended June 30, 2013 and 2012.</w:t>
      </w:r>
    </w:p>
    <w:p>
      <w:pPr>
        <w:spacing w:after="0" w:line="16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Postretirement benefit plans</w:t>
      </w:r>
    </w:p>
    <w:p>
      <w:pPr>
        <w:spacing w:after="0" w:line="2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Components of net periodic employee benefit cost are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U.S.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5"/>
              </w:rPr>
              <w:t>U.S.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2"/>
              </w:rPr>
              <w:t>Non-U.S.</w:t>
            </w:r>
          </w:p>
        </w:tc>
        <w:tc>
          <w:tcPr>
            <w:tcW w:w="7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Defined Benefit</w:t>
            </w:r>
          </w:p>
        </w:tc>
        <w:tc>
          <w:tcPr>
            <w:tcW w:w="220" w:type="dxa"/>
            <w:vAlign w:val="bottom"/>
          </w:tcPr>
          <w:p>
            <w:pPr>
              <w:spacing w:after="0"/>
              <w:rPr>
                <w:sz w:val="20"/>
                <w:szCs w:val="20"/>
                <w:color w:val="auto"/>
              </w:rPr>
            </w:pPr>
          </w:p>
        </w:tc>
        <w:tc>
          <w:tcPr>
            <w:tcW w:w="2040" w:type="dxa"/>
            <w:vAlign w:val="bottom"/>
            <w:gridSpan w:val="6"/>
          </w:tcPr>
          <w:p>
            <w:pPr>
              <w:ind w:left="100"/>
              <w:spacing w:after="0"/>
              <w:rPr>
                <w:sz w:val="20"/>
                <w:szCs w:val="20"/>
                <w:color w:val="auto"/>
              </w:rPr>
            </w:pPr>
            <w:r>
              <w:rPr>
                <w:rFonts w:ascii="Arial" w:cs="Arial" w:eastAsia="Arial" w:hAnsi="Arial"/>
                <w:sz w:val="18"/>
                <w:szCs w:val="18"/>
                <w:b w:val="1"/>
                <w:bCs w:val="1"/>
                <w:color w:val="auto"/>
              </w:rPr>
              <w:t>Retiree Health Care</w:t>
            </w:r>
          </w:p>
        </w:tc>
        <w:tc>
          <w:tcPr>
            <w:tcW w:w="220" w:type="dxa"/>
            <w:vAlign w:val="bottom"/>
          </w:tcPr>
          <w:p>
            <w:pPr>
              <w:spacing w:after="0"/>
              <w:rPr>
                <w:sz w:val="20"/>
                <w:szCs w:val="20"/>
                <w:color w:val="auto"/>
              </w:rPr>
            </w:pPr>
          </w:p>
        </w:tc>
        <w:tc>
          <w:tcPr>
            <w:tcW w:w="19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0"/>
              </w:rPr>
              <w:t>Defined Benefit</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For Three Months Ended June 30</w:t>
            </w:r>
          </w:p>
        </w:tc>
        <w:tc>
          <w:tcPr>
            <w:tcW w:w="22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2012</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4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Settlement loss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gain</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including other postretirement (gains) losses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47"/>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1"/>
              </w:rPr>
              <w:t>U.S.</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5"/>
              </w:rPr>
              <w:t>U.S.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2"/>
              </w:rPr>
              <w:t>Non-U.S.</w:t>
            </w:r>
          </w:p>
        </w:tc>
        <w:tc>
          <w:tcPr>
            <w:tcW w:w="700" w:type="dxa"/>
            <w:vAlign w:val="bottom"/>
          </w:tcPr>
          <w:p>
            <w:pPr>
              <w:spacing w:after="0"/>
              <w:rPr>
                <w:sz w:val="24"/>
                <w:szCs w:val="24"/>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Defined Benefit</w:t>
            </w:r>
          </w:p>
        </w:tc>
        <w:tc>
          <w:tcPr>
            <w:tcW w:w="220" w:type="dxa"/>
            <w:vAlign w:val="bottom"/>
          </w:tcPr>
          <w:p>
            <w:pPr>
              <w:spacing w:after="0"/>
              <w:rPr>
                <w:sz w:val="20"/>
                <w:szCs w:val="20"/>
                <w:color w:val="auto"/>
              </w:rPr>
            </w:pPr>
          </w:p>
        </w:tc>
        <w:tc>
          <w:tcPr>
            <w:tcW w:w="2040" w:type="dxa"/>
            <w:vAlign w:val="bottom"/>
            <w:gridSpan w:val="6"/>
          </w:tcPr>
          <w:p>
            <w:pPr>
              <w:ind w:left="100"/>
              <w:spacing w:after="0"/>
              <w:rPr>
                <w:sz w:val="20"/>
                <w:szCs w:val="20"/>
                <w:color w:val="auto"/>
              </w:rPr>
            </w:pPr>
            <w:r>
              <w:rPr>
                <w:rFonts w:ascii="Arial" w:cs="Arial" w:eastAsia="Arial" w:hAnsi="Arial"/>
                <w:sz w:val="18"/>
                <w:szCs w:val="18"/>
                <w:b w:val="1"/>
                <w:bCs w:val="1"/>
                <w:color w:val="auto"/>
              </w:rPr>
              <w:t>Retiree Health Care</w:t>
            </w:r>
          </w:p>
        </w:tc>
        <w:tc>
          <w:tcPr>
            <w:tcW w:w="220" w:type="dxa"/>
            <w:vAlign w:val="bottom"/>
          </w:tcPr>
          <w:p>
            <w:pPr>
              <w:spacing w:after="0"/>
              <w:rPr>
                <w:sz w:val="20"/>
                <w:szCs w:val="20"/>
                <w:color w:val="auto"/>
              </w:rPr>
            </w:pPr>
          </w:p>
        </w:tc>
        <w:tc>
          <w:tcPr>
            <w:tcW w:w="194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0"/>
              </w:rPr>
              <w:t>Defined Benefit</w:t>
            </w: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For Six Months Ended June 30</w:t>
            </w:r>
          </w:p>
        </w:tc>
        <w:tc>
          <w:tcPr>
            <w:tcW w:w="22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ind w:left="10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2012</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4"/>
        </w:trPr>
        <w:tc>
          <w:tcPr>
            <w:tcW w:w="47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Settlement loss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gain</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Special termination benefit gain</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including other postretirement (gains) losses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4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color w:val="auto"/>
        </w:rPr>
        <w:t>In the second quarter of 2013, as a result of increased retirement activities, we remeasured our U.S. and Japan defined benefit plans. These remeasurements resulted in a net actuarial gain on a pre-tax basis of $65 million in Other comprehensive income. Of this gain, $17 million related to the U.S. plans and $48 million was for Japan. For the six</w:t>
      </w:r>
    </w:p>
    <w:p>
      <w:pPr>
        <w:sectPr>
          <w:pgSz w:w="11900" w:h="16838" w:orient="portrait"/>
          <w:cols w:equalWidth="0" w:num="1">
            <w:col w:w="11420"/>
          </w:cols>
          <w:pgMar w:left="240" w:top="580" w:right="239" w:bottom="1054"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0" w:right="239" w:bottom="1054" w:gutter="0" w:footer="0" w:header="0"/>
          <w:type w:val="continuous"/>
        </w:sectPr>
      </w:pPr>
    </w:p>
    <w:bookmarkStart w:id="13" w:name="page14"/>
    <w:bookmarkEnd w:id="13"/>
    <w:p>
      <w:pPr>
        <w:jc w:val="both"/>
        <w:ind w:left="340" w:right="300"/>
        <w:spacing w:after="0" w:line="302" w:lineRule="auto"/>
        <w:rPr>
          <w:sz w:val="20"/>
          <w:szCs w:val="20"/>
          <w:color w:val="auto"/>
        </w:rPr>
      </w:pPr>
      <w:r>
        <w:rPr>
          <w:rFonts w:ascii="Arial" w:cs="Arial" w:eastAsia="Arial" w:hAnsi="Arial"/>
          <w:sz w:val="16"/>
          <w:szCs w:val="16"/>
          <w:color w:val="auto"/>
        </w:rPr>
        <w:t>months ended June 30, 2013, we have also recognized a settlement loss of $13 million on our U.S. defined benefit plans and a $3 million curtailment gain related to Japan. On our Consolidated balance sheets, our Overfunded retirement plans changed from $68 million at December 31, 2012, to $106 million at June 30, 2013, and our Underfunded retirement plans changed from $269 million at December 31, 2012, to $240 million at June 30, 2013, primarily as a result of these remeasurements and the effects of foreign currency exchange rate fluctuations.</w:t>
      </w:r>
    </w:p>
    <w:p>
      <w:pPr>
        <w:spacing w:after="0" w:line="150" w:lineRule="exact"/>
        <w:rPr>
          <w:sz w:val="20"/>
          <w:szCs w:val="20"/>
          <w:color w:val="auto"/>
        </w:rPr>
      </w:pPr>
    </w:p>
    <w:p>
      <w:pPr>
        <w:ind w:left="340" w:right="9300" w:hanging="332"/>
        <w:spacing w:after="0" w:line="293"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Debt and lines of credit </w:t>
      </w:r>
      <w:r>
        <w:rPr>
          <w:rFonts w:ascii="Arial" w:cs="Arial" w:eastAsia="Arial" w:hAnsi="Arial"/>
          <w:sz w:val="16"/>
          <w:szCs w:val="16"/>
          <w:u w:val="single" w:color="auto"/>
          <w:color w:val="auto"/>
        </w:rPr>
        <w:t>Short-term borrowings</w:t>
      </w:r>
    </w:p>
    <w:p>
      <w:pPr>
        <w:spacing w:after="0" w:line="1" w:lineRule="exact"/>
        <w:rPr>
          <w:rFonts w:ascii="Arial" w:cs="Arial" w:eastAsia="Arial" w:hAnsi="Arial"/>
          <w:sz w:val="16"/>
          <w:szCs w:val="16"/>
          <w:color w:val="auto"/>
        </w:rPr>
      </w:pPr>
    </w:p>
    <w:p>
      <w:pPr>
        <w:ind w:left="340" w:right="60"/>
        <w:spacing w:after="0" w:line="254" w:lineRule="auto"/>
        <w:rPr>
          <w:rFonts w:ascii="Arial" w:cs="Arial" w:eastAsia="Arial" w:hAnsi="Arial"/>
          <w:sz w:val="16"/>
          <w:szCs w:val="16"/>
          <w:color w:val="auto"/>
        </w:rPr>
      </w:pPr>
      <w:r>
        <w:rPr>
          <w:rFonts w:ascii="Arial" w:cs="Arial" w:eastAsia="Arial" w:hAnsi="Arial"/>
          <w:sz w:val="18"/>
          <w:szCs w:val="18"/>
          <w:color w:val="auto"/>
        </w:rPr>
        <w:t>We maintain a line of credit to support commercial paper borrowings, if any, and to provide additional liquidity through bank loans. As of June 30, 2013, we have a variable-rate revolving credit facility from a consortium of investment-grade banks that allows us to borrow up to $2 billion through March 2018. The interest rate on borrowings under this credit facility, if drawn, is indexed to the applicable London Interbank Offered Rate (LIBOR). As of June 30, 2013, our credit facility was undrawn and we have no commercial paper outstanding.</w:t>
      </w:r>
    </w:p>
    <w:p>
      <w:pPr>
        <w:spacing w:after="0" w:line="18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u w:val="single" w:color="auto"/>
          <w:color w:val="auto"/>
        </w:rPr>
        <w:t>Long-term debt</w:t>
      </w:r>
    </w:p>
    <w:p>
      <w:pPr>
        <w:spacing w:after="0" w:line="23" w:lineRule="exact"/>
        <w:rPr>
          <w:rFonts w:ascii="Arial" w:cs="Arial" w:eastAsia="Arial" w:hAnsi="Arial"/>
          <w:sz w:val="16"/>
          <w:szCs w:val="16"/>
          <w:color w:val="auto"/>
        </w:rPr>
      </w:pPr>
    </w:p>
    <w:p>
      <w:pPr>
        <w:ind w:left="340" w:right="160"/>
        <w:spacing w:after="0" w:line="273" w:lineRule="auto"/>
        <w:rPr>
          <w:rFonts w:ascii="Arial" w:cs="Arial" w:eastAsia="Arial" w:hAnsi="Arial"/>
          <w:sz w:val="16"/>
          <w:szCs w:val="16"/>
          <w:color w:val="auto"/>
        </w:rPr>
      </w:pPr>
      <w:r>
        <w:rPr>
          <w:rFonts w:ascii="Arial" w:cs="Arial" w:eastAsia="Arial" w:hAnsi="Arial"/>
          <w:sz w:val="17"/>
          <w:szCs w:val="17"/>
          <w:color w:val="auto"/>
        </w:rPr>
        <w:t>In May 2013, we issued an aggregate principal amount of $1.0 billion of fixed-rate long-term debt, with $500 million due in 2018 and $500 million due in 2023. The proceeds of the offering were $986 million net of the original issuance discount and were used toward the repayment of $1.5 billion of maturing debt, including floating rate notes. In connection with this repayment, we settled the associated interest rate swap. We also incurred $7 million of issuance and other related costs that are being amortized to Interest and debt expense over the term of the debt.</w:t>
      </w:r>
    </w:p>
    <w:p>
      <w:pPr>
        <w:spacing w:after="0" w:line="176" w:lineRule="exact"/>
        <w:rPr>
          <w:rFonts w:ascii="Arial" w:cs="Arial" w:eastAsia="Arial" w:hAnsi="Arial"/>
          <w:sz w:val="16"/>
          <w:szCs w:val="16"/>
          <w:color w:val="auto"/>
        </w:rPr>
      </w:pPr>
    </w:p>
    <w:p>
      <w:pPr>
        <w:ind w:left="340" w:right="40"/>
        <w:spacing w:after="0" w:line="264" w:lineRule="auto"/>
        <w:rPr>
          <w:rFonts w:ascii="Arial" w:cs="Arial" w:eastAsia="Arial" w:hAnsi="Arial"/>
          <w:sz w:val="16"/>
          <w:szCs w:val="16"/>
          <w:color w:val="auto"/>
        </w:rPr>
      </w:pPr>
      <w:r>
        <w:rPr>
          <w:rFonts w:ascii="Arial" w:cs="Arial" w:eastAsia="Arial" w:hAnsi="Arial"/>
          <w:sz w:val="18"/>
          <w:szCs w:val="18"/>
          <w:color w:val="auto"/>
        </w:rPr>
        <w:t>In August 2012, we issued an aggregate principal amount of $1.5 billion of fixed-rate long-term debt, with $750 million due in 2015 and $750 million due in 2019. The proceeds of the offering were $1.492 billion, net of the original issuance discount. We also incurred $7 million of issuance costs that are being amortized to Interest and debt expense over the term of the debt.</w:t>
      </w:r>
    </w:p>
    <w:p>
      <w:pPr>
        <w:spacing w:after="0" w:line="18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following table summarizes the total long-term debt outstanding as of June 30, 2013 and December 31, 2012:</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Floating-rate notes due 2013 (swapped to a 0.922% fixed rate)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2013 at 0.875%</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2014 at 1.375%</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2015 at 3.95% (assumed with National acquisition)</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2015 at 0.45%</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2016 at 2.375%</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2017 at 6.60% (assumed with National acquisition)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2018 at 1.00%</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2019 at 1.65%</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Notes due 2023 at 2.25%</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Add net unamortized premium</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4,165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4,186</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308" w:lineRule="auto"/>
        <w:rPr>
          <w:sz w:val="20"/>
          <w:szCs w:val="20"/>
          <w:color w:val="auto"/>
        </w:rPr>
      </w:pPr>
      <w:r>
        <w:rPr>
          <w:rFonts w:ascii="Arial" w:cs="Arial" w:eastAsia="Arial" w:hAnsi="Arial"/>
          <w:sz w:val="17"/>
          <w:szCs w:val="17"/>
          <w:color w:val="auto"/>
        </w:rPr>
        <w:t>Interest incurred on debt, net of the amortization of the debt premium and other debt issuance costs, was $24 million and $20 million for the three months ($47 million and $41 million for the six months) ended June 30, 2013 and 2012, respectively. Capitalized interest was not material.</w:t>
      </w:r>
    </w:p>
    <w:p>
      <w:pPr>
        <w:spacing w:after="0" w:line="170" w:lineRule="exact"/>
        <w:rPr>
          <w:sz w:val="20"/>
          <w:szCs w:val="20"/>
          <w:color w:val="auto"/>
        </w:rPr>
      </w:pPr>
    </w:p>
    <w:p>
      <w:pPr>
        <w:ind w:left="340" w:right="9120" w:hanging="332"/>
        <w:spacing w:after="0" w:line="293"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Contingencies </w:t>
      </w:r>
      <w:r>
        <w:rPr>
          <w:rFonts w:ascii="Arial" w:cs="Arial" w:eastAsia="Arial" w:hAnsi="Arial"/>
          <w:sz w:val="16"/>
          <w:szCs w:val="16"/>
          <w:u w:val="single" w:color="auto"/>
          <w:color w:val="auto"/>
        </w:rPr>
        <w:t>Indemnification guarantees</w:t>
      </w:r>
    </w:p>
    <w:p>
      <w:pPr>
        <w:spacing w:after="0" w:line="1" w:lineRule="exact"/>
        <w:rPr>
          <w:rFonts w:ascii="Arial" w:cs="Arial" w:eastAsia="Arial" w:hAnsi="Arial"/>
          <w:sz w:val="16"/>
          <w:szCs w:val="16"/>
          <w:color w:val="auto"/>
        </w:rPr>
      </w:pPr>
    </w:p>
    <w:p>
      <w:pPr>
        <w:ind w:left="340"/>
        <w:spacing w:after="0" w:line="323" w:lineRule="auto"/>
        <w:rPr>
          <w:rFonts w:ascii="Arial" w:cs="Arial" w:eastAsia="Arial" w:hAnsi="Arial"/>
          <w:sz w:val="16"/>
          <w:szCs w:val="16"/>
          <w:color w:val="auto"/>
        </w:rPr>
      </w:pPr>
      <w:r>
        <w:rPr>
          <w:rFonts w:ascii="Arial" w:cs="Arial" w:eastAsia="Arial" w:hAnsi="Arial"/>
          <w:sz w:val="16"/>
          <w:szCs w:val="16"/>
          <w:color w:val="auto"/>
        </w:rPr>
        <w:t>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u w:val="single" w:color="auto"/>
          <w:color w:val="auto"/>
        </w:rPr>
        <w:t>Warranty costs/product liabilities</w:t>
      </w:r>
    </w:p>
    <w:p>
      <w:pPr>
        <w:spacing w:after="0" w:line="23" w:lineRule="exact"/>
        <w:rPr>
          <w:sz w:val="20"/>
          <w:szCs w:val="20"/>
          <w:color w:val="auto"/>
        </w:rPr>
      </w:pPr>
    </w:p>
    <w:p>
      <w:pPr>
        <w:ind w:left="340" w:right="60"/>
        <w:spacing w:after="0" w:line="252" w:lineRule="auto"/>
        <w:rPr>
          <w:sz w:val="20"/>
          <w:szCs w:val="20"/>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of coverage; an obligation to repair, replace or refund; and a maximum payment obligation tied to the price paid for our products. In some cases, product claims may exceed the price of our products.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General</w:t>
      </w:r>
    </w:p>
    <w:p>
      <w:pPr>
        <w:spacing w:after="0" w:line="23" w:lineRule="exact"/>
        <w:rPr>
          <w:sz w:val="20"/>
          <w:szCs w:val="20"/>
          <w:color w:val="auto"/>
        </w:rPr>
      </w:pPr>
    </w:p>
    <w:p>
      <w:pPr>
        <w:jc w:val="both"/>
        <w:ind w:left="340" w:right="300"/>
        <w:spacing w:after="0" w:line="302" w:lineRule="auto"/>
        <w:rPr>
          <w:sz w:val="20"/>
          <w:szCs w:val="20"/>
          <w:color w:val="auto"/>
        </w:rPr>
      </w:pPr>
      <w:r>
        <w:rPr>
          <w:rFonts w:ascii="Arial" w:cs="Arial" w:eastAsia="Arial" w:hAnsi="Arial"/>
          <w:sz w:val="16"/>
          <w:szCs w:val="16"/>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 From time to time, we also negotiate contingent consideration payment arrangements associated with certain acquisitions, which are recorded at fair value.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Discontinued operations indemnity</w:t>
      </w:r>
    </w:p>
    <w:p>
      <w:pPr>
        <w:spacing w:after="0" w:line="23" w:lineRule="exact"/>
        <w:rPr>
          <w:sz w:val="20"/>
          <w:szCs w:val="20"/>
          <w:color w:val="auto"/>
        </w:rPr>
      </w:pPr>
    </w:p>
    <w:p>
      <w:pPr>
        <w:ind w:left="340" w:right="20"/>
        <w:spacing w:after="0" w:line="253" w:lineRule="auto"/>
        <w:rPr>
          <w:sz w:val="20"/>
          <w:szCs w:val="20"/>
          <w:color w:val="auto"/>
        </w:rPr>
      </w:pPr>
      <w:r>
        <w:rPr>
          <w:rFonts w:ascii="Arial" w:cs="Arial" w:eastAsia="Arial" w:hAnsi="Arial"/>
          <w:sz w:val="18"/>
          <w:szCs w:val="18"/>
          <w:color w:val="auto"/>
        </w:rPr>
        <w:t>In connection with the 2006 sale of the former Sensors &amp; Controls (S&amp;C) business, we have agreed to indemnify Sensata Technologies, Inc., for specified litigation matters and certain liabilities, including environmental liabilities. In a settlement with a third party, we have agreed to indemnify that party for certain events relating to S&amp;C products, which events we consider remote. We believe our total remaining potential exposure from both of these indemnities will not exceed $200 million. As of June 30, 2013, we believe future payments related to these indemnity obligations will not have a material effect on our financial condition, results of operations or liquidity.</w:t>
      </w:r>
    </w:p>
    <w:p>
      <w:pPr>
        <w:sectPr>
          <w:pgSz w:w="11900" w:h="16838" w:orient="portrait"/>
          <w:cols w:equalWidth="0" w:num="1">
            <w:col w:w="11420"/>
          </w:cols>
          <w:pgMar w:left="240" w:top="368" w:right="239" w:bottom="1440" w:gutter="0" w:footer="0" w:header="0"/>
        </w:sectPr>
      </w:pPr>
    </w:p>
    <w:p>
      <w:pPr>
        <w:spacing w:after="0" w:line="18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Supplemental financial information</w:t>
      </w:r>
    </w:p>
    <w:p>
      <w:pPr>
        <w:spacing w:after="0" w:line="27" w:lineRule="exact"/>
        <w:rPr>
          <w:rFonts w:ascii="Arial" w:cs="Arial" w:eastAsia="Arial" w:hAnsi="Arial"/>
          <w:sz w:val="18"/>
          <w:szCs w:val="18"/>
          <w:color w:val="auto"/>
        </w:rPr>
      </w:pPr>
    </w:p>
    <w:p>
      <w:pPr>
        <w:jc w:val="both"/>
        <w:ind w:left="34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In conformance with ASU No. 2013-02, </w:t>
      </w:r>
      <w:r>
        <w:rPr>
          <w:rFonts w:ascii="Arial" w:cs="Arial" w:eastAsia="Arial" w:hAnsi="Arial"/>
          <w:sz w:val="18"/>
          <w:szCs w:val="18"/>
          <w:i w:val="1"/>
          <w:iCs w:val="1"/>
          <w:color w:val="auto"/>
        </w:rPr>
        <w:t>Comprehensive Income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the table below details where reclassifications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income.</w:t>
      </w:r>
    </w:p>
    <w:p>
      <w:pPr>
        <w:spacing w:after="0" w:line="132" w:lineRule="exact"/>
        <w:rPr>
          <w:sz w:val="20"/>
          <w:szCs w:val="20"/>
          <w:color w:val="auto"/>
        </w:rPr>
      </w:pPr>
    </w:p>
    <w:p>
      <w:pPr>
        <w:jc w:val="center"/>
        <w:ind w:left="3580"/>
        <w:spacing w:after="0"/>
        <w:rPr>
          <w:sz w:val="20"/>
          <w:szCs w:val="20"/>
          <w:color w:val="auto"/>
        </w:rPr>
      </w:pPr>
      <w:r>
        <w:rPr>
          <w:rFonts w:ascii="Arial" w:cs="Arial" w:eastAsia="Arial" w:hAnsi="Arial"/>
          <w:sz w:val="18"/>
          <w:szCs w:val="18"/>
          <w:b w:val="1"/>
          <w:bCs w:val="1"/>
          <w:color w:val="auto"/>
        </w:rPr>
        <w:t>For Three Months Ended</w:t>
      </w:r>
    </w:p>
    <w:p>
      <w:pPr>
        <w:spacing w:after="0" w:line="27" w:lineRule="exact"/>
        <w:rPr>
          <w:sz w:val="20"/>
          <w:szCs w:val="20"/>
          <w:color w:val="auto"/>
        </w:rPr>
      </w:pPr>
    </w:p>
    <w:p>
      <w:pPr>
        <w:jc w:val="center"/>
        <w:ind w:left="36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firstLine="60"/>
        <w:spacing w:after="0" w:line="308" w:lineRule="auto"/>
        <w:rPr>
          <w:sz w:val="20"/>
          <w:szCs w:val="20"/>
          <w:color w:val="auto"/>
        </w:rPr>
      </w:pPr>
      <w:r>
        <w:rPr>
          <w:rFonts w:ascii="Arial" w:cs="Arial" w:eastAsia="Arial" w:hAnsi="Arial"/>
          <w:sz w:val="17"/>
          <w:szCs w:val="17"/>
          <w:i w:val="1"/>
          <w:iCs w:val="1"/>
          <w:color w:val="auto"/>
        </w:rPr>
        <w:t xml:space="preserve">220): Reporting of Amounts Reclassified Out of Accumulated Other </w:t>
      </w:r>
      <w:r>
        <w:rPr>
          <w:rFonts w:ascii="Arial" w:cs="Arial" w:eastAsia="Arial" w:hAnsi="Arial"/>
          <w:sz w:val="17"/>
          <w:szCs w:val="17"/>
          <w:color w:val="auto"/>
        </w:rPr>
        <w:t>recognized transactions out of AOCI are recorded on the Consolidated</w:t>
      </w:r>
    </w:p>
    <w:p>
      <w:pPr>
        <w:spacing w:after="0" w:line="305" w:lineRule="exact"/>
        <w:rPr>
          <w:sz w:val="20"/>
          <w:szCs w:val="20"/>
          <w:color w:val="auto"/>
        </w:rPr>
      </w:pPr>
    </w:p>
    <w:p>
      <w:pPr>
        <w:jc w:val="center"/>
        <w:ind w:right="2420"/>
        <w:spacing w:after="0"/>
        <w:rPr>
          <w:sz w:val="20"/>
          <w:szCs w:val="20"/>
          <w:color w:val="auto"/>
        </w:rPr>
      </w:pPr>
      <w:r>
        <w:rPr>
          <w:rFonts w:ascii="Arial" w:cs="Arial" w:eastAsia="Arial" w:hAnsi="Arial"/>
          <w:sz w:val="18"/>
          <w:szCs w:val="18"/>
          <w:b w:val="1"/>
          <w:bCs w:val="1"/>
          <w:color w:val="auto"/>
        </w:rPr>
        <w:t>For Six Months Ended</w:t>
      </w:r>
    </w:p>
    <w:p>
      <w:pPr>
        <w:spacing w:after="0" w:line="27" w:lineRule="exact"/>
        <w:rPr>
          <w:sz w:val="20"/>
          <w:szCs w:val="20"/>
          <w:color w:val="auto"/>
        </w:rPr>
      </w:pPr>
    </w:p>
    <w:p>
      <w:pPr>
        <w:jc w:val="center"/>
        <w:ind w:right="2380"/>
        <w:spacing w:after="0"/>
        <w:rPr>
          <w:sz w:val="20"/>
          <w:szCs w:val="20"/>
          <w:color w:val="auto"/>
        </w:rPr>
      </w:pPr>
      <w:r>
        <w:rPr>
          <w:rFonts w:ascii="Arial" w:cs="Arial" w:eastAsia="Arial" w:hAnsi="Arial"/>
          <w:sz w:val="18"/>
          <w:szCs w:val="18"/>
          <w:b w:val="1"/>
          <w:bCs w:val="1"/>
          <w:color w:val="auto"/>
        </w:rPr>
        <w:t>June 30,</w:t>
      </w:r>
    </w:p>
    <w:p>
      <w:pPr>
        <w:spacing w:after="0" w:line="16" w:lineRule="exact"/>
        <w:rPr>
          <w:sz w:val="20"/>
          <w:szCs w:val="20"/>
          <w:color w:val="auto"/>
        </w:rPr>
      </w:pPr>
    </w:p>
    <w:p>
      <w:pPr>
        <w:sectPr>
          <w:pgSz w:w="11900" w:h="16838" w:orient="portrait"/>
          <w:cols w:equalWidth="0" w:num="2">
            <w:col w:w="5940" w:space="60"/>
            <w:col w:w="5420"/>
          </w:cols>
          <w:pgMar w:left="240" w:top="368" w:right="2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ind w:left="140"/>
              <w:spacing w:after="0"/>
              <w:rPr>
                <w:sz w:val="20"/>
                <w:szCs w:val="20"/>
                <w:color w:val="auto"/>
              </w:rPr>
            </w:pPr>
            <w:r>
              <w:rPr>
                <w:rFonts w:ascii="Arial" w:cs="Arial" w:eastAsia="Arial" w:hAnsi="Arial"/>
                <w:sz w:val="18"/>
                <w:szCs w:val="18"/>
                <w:b w:val="1"/>
                <w:bCs w:val="1"/>
                <w:color w:val="auto"/>
                <w:w w:val="94"/>
              </w:rPr>
              <w:t>Related Statement of Income</w:t>
            </w:r>
          </w:p>
        </w:tc>
        <w:tc>
          <w:tcPr>
            <w:tcW w:w="0" w:type="dxa"/>
            <w:vAlign w:val="bottom"/>
          </w:tcPr>
          <w:p>
            <w:pPr>
              <w:spacing w:after="0"/>
              <w:rPr>
                <w:sz w:val="1"/>
                <w:szCs w:val="1"/>
                <w:color w:val="auto"/>
              </w:rPr>
            </w:pPr>
          </w:p>
        </w:tc>
      </w:tr>
      <w:tr>
        <w:trPr>
          <w:trHeight w:val="234"/>
        </w:trPr>
        <w:tc>
          <w:tcPr>
            <w:tcW w:w="3460" w:type="dxa"/>
            <w:vAlign w:val="bottom"/>
            <w:gridSpan w:val="2"/>
          </w:tcPr>
          <w:p>
            <w:pPr>
              <w:ind w:left="40"/>
              <w:spacing w:after="0"/>
              <w:rPr>
                <w:sz w:val="20"/>
                <w:szCs w:val="20"/>
                <w:color w:val="auto"/>
              </w:rPr>
            </w:pPr>
            <w:r>
              <w:rPr>
                <w:rFonts w:ascii="Arial" w:cs="Arial" w:eastAsia="Arial" w:hAnsi="Arial"/>
                <w:sz w:val="18"/>
                <w:szCs w:val="18"/>
                <w:b w:val="1"/>
                <w:bCs w:val="1"/>
                <w:color w:val="auto"/>
              </w:rPr>
              <w:t>Details About AOCI Components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ind w:left="1080"/>
              <w:spacing w:after="0"/>
              <w:rPr>
                <w:sz w:val="20"/>
                <w:szCs w:val="20"/>
                <w:color w:val="auto"/>
              </w:rPr>
            </w:pPr>
            <w:r>
              <w:rPr>
                <w:rFonts w:ascii="Arial" w:cs="Arial" w:eastAsia="Arial" w:hAnsi="Arial"/>
                <w:sz w:val="18"/>
                <w:szCs w:val="18"/>
                <w:b w:val="1"/>
                <w:bCs w:val="1"/>
                <w:color w:val="auto"/>
              </w:rPr>
              <w:t>Line</w:t>
            </w: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actuarial gains (losses) of defined</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benefit plans (a)</w:t>
            </w: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expense (b)</w:t>
            </w: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(14)</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Reclassification of recognized transactions,</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of taxes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Prior service cost of defined benefit plans (c)</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expense (b)</w:t>
            </w: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Reclassification of recognized transactions,</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of taxes</w:t>
            </w:r>
          </w:p>
        </w:tc>
        <w:tc>
          <w:tcPr>
            <w:tcW w:w="2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debt expense</w:t>
            </w: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Reclassification of recognized transactions,</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of taxes</w:t>
            </w:r>
          </w:p>
        </w:tc>
        <w:tc>
          <w:tcPr>
            <w:tcW w:w="28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hanging="248"/>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actuarial gains (losses) of defined benefit plans is equal to the sum of Recognized net actuarial loss and Settlement loss as detailed in Note 7.</w:t>
      </w:r>
    </w:p>
    <w:p>
      <w:pPr>
        <w:spacing w:after="0" w:line="32" w:lineRule="exact"/>
        <w:rPr>
          <w:rFonts w:ascii="Arial" w:cs="Arial" w:eastAsia="Arial" w:hAnsi="Arial"/>
          <w:sz w:val="16"/>
          <w:szCs w:val="16"/>
          <w:color w:val="auto"/>
        </w:rPr>
      </w:pPr>
    </w:p>
    <w:p>
      <w:pPr>
        <w:ind w:left="580" w:right="20" w:hanging="248"/>
        <w:spacing w:after="0" w:line="250" w:lineRule="auto"/>
        <w:tabs>
          <w:tab w:leader="none" w:pos="6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AOCI component is included in the computation of total employee benefit cost which is allocated to COR, R&amp;D, SG&amp;A and Restructuring charges/other in the Consolidated statements of income.</w:t>
      </w:r>
    </w:p>
    <w:p>
      <w:pPr>
        <w:ind w:left="580" w:hanging="248"/>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Prior service cost of defined benefit plans is equal to the sum of Amortization of prior service cost (credit) and Curtailment gain as detailed in Note 7.</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type w:val="continuous"/>
        </w:sectPr>
      </w:pPr>
    </w:p>
    <w:bookmarkStart w:id="15" w:name="page16"/>
    <w:bookmarkEnd w:id="15"/>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Segment data</w:t>
      </w:r>
    </w:p>
    <w:p>
      <w:pPr>
        <w:spacing w:after="0" w:line="27" w:lineRule="exact"/>
        <w:rPr>
          <w:rFonts w:ascii="Arial" w:cs="Arial" w:eastAsia="Arial" w:hAnsi="Arial"/>
          <w:sz w:val="18"/>
          <w:szCs w:val="18"/>
          <w:color w:val="auto"/>
        </w:rPr>
      </w:pPr>
    </w:p>
    <w:p>
      <w:pPr>
        <w:ind w:left="340" w:right="200"/>
        <w:spacing w:after="0" w:line="261" w:lineRule="auto"/>
        <w:rPr>
          <w:rFonts w:ascii="Arial" w:cs="Arial" w:eastAsia="Arial" w:hAnsi="Arial"/>
          <w:sz w:val="18"/>
          <w:szCs w:val="18"/>
          <w:color w:val="auto"/>
        </w:rPr>
      </w:pPr>
      <w:r>
        <w:rPr>
          <w:rFonts w:ascii="Arial" w:cs="Arial" w:eastAsia="Arial" w:hAnsi="Arial"/>
          <w:sz w:val="18"/>
          <w:szCs w:val="18"/>
          <w:color w:val="auto"/>
        </w:rPr>
        <w:t>See Note 1 for a detailed description of our reportable segments. Prior period segment presentations have been revised to conform to our new reporting structure.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9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For Three Months Ended</w:t>
            </w:r>
          </w:p>
        </w:tc>
        <w:tc>
          <w:tcPr>
            <w:tcW w:w="320" w:type="dxa"/>
            <w:vAlign w:val="bottom"/>
          </w:tcPr>
          <w:p>
            <w:pPr>
              <w:spacing w:after="0"/>
              <w:rPr>
                <w:sz w:val="18"/>
                <w:szCs w:val="18"/>
                <w:color w:val="auto"/>
              </w:rPr>
            </w:pPr>
          </w:p>
        </w:tc>
        <w:tc>
          <w:tcPr>
            <w:tcW w:w="252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1"/>
              </w:rPr>
              <w:t>For Six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Revenue:</w:t>
            </w: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Analog</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8"/>
              </w:rPr>
              <w:t>1,745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Embedded Processing</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618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1,178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3,047</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5,932</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5620" w:type="dxa"/>
            <w:vAlign w:val="bottom"/>
          </w:tcPr>
          <w:p>
            <w:pPr>
              <w:spacing w:after="0"/>
              <w:rPr>
                <w:sz w:val="24"/>
                <w:szCs w:val="24"/>
                <w:color w:val="auto"/>
              </w:rPr>
            </w:pPr>
          </w:p>
        </w:tc>
        <w:tc>
          <w:tcPr>
            <w:tcW w:w="29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For Three Months Ended</w:t>
            </w:r>
          </w:p>
        </w:tc>
        <w:tc>
          <w:tcPr>
            <w:tcW w:w="320" w:type="dxa"/>
            <w:vAlign w:val="bottom"/>
          </w:tcPr>
          <w:p>
            <w:pPr>
              <w:spacing w:after="0"/>
              <w:rPr>
                <w:sz w:val="24"/>
                <w:szCs w:val="24"/>
                <w:color w:val="auto"/>
              </w:rPr>
            </w:pPr>
          </w:p>
        </w:tc>
        <w:tc>
          <w:tcPr>
            <w:tcW w:w="252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1"/>
              </w:rPr>
              <w:t>For Six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Operating Profit:</w:t>
            </w: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Analog</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Embedded Processing</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operating profit</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906</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1,301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right="580"/>
        <w:spacing w:after="0" w:line="264" w:lineRule="auto"/>
        <w:rPr>
          <w:sz w:val="20"/>
          <w:szCs w:val="20"/>
          <w:color w:val="auto"/>
        </w:rPr>
      </w:pPr>
      <w:r>
        <w:rPr>
          <w:rFonts w:ascii="Arial" w:cs="Arial" w:eastAsia="Arial" w:hAnsi="Arial"/>
          <w:sz w:val="18"/>
          <w:szCs w:val="18"/>
          <w:color w:val="auto"/>
        </w:rPr>
        <w:t>We use centralized manufacturing and facilities organizations to provide products and support to our operating segments.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35 countries. We have three segments: Analog, Embedded Processing and Other. We expect Analog and Embedded Processing to be our primary growth engines in the years ahead, and we therefore focus our resources on these segments.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were the world's fourth largest semiconductor company in 2012 as measured by revenue, according to industry data from an external source.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products, more than 100,000 orderable parts, are integrated circuits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17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sell catalog and, to a lesser extent, custom semiconductor products. Catalog products are designed for use by many customers and/or many applications and are sold through both distribution and direct channels. The majority of our catalog products are proprietary, but some are commodity products. The life cycles of catalog products generally span multiple years, with some products continuing to sell for decades after their initial release.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w:t>
      </w:r>
    </w:p>
    <w:p>
      <w:pPr>
        <w:spacing w:after="0" w:line="15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Additional information regarding each segment's products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in every electronic device, whether plugged into a wall or running off a battery. We estimate that we sell our Analog products to more than 100,000 customers. These sales generated about 55 percent of our revenue in 2012. According to external sources, the worldwide market for analog semiconductors was about $39 billion in 2012. Our Analog segment's revenue in 2012 was about $7.0 billion, or about 18 percent of this fragmented market, the leading position. We believe that we are well positioned to increase our market share over time.</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Analog segment includes the following major product lines: High Volume Analog &amp; Logic (HVAL), Power Management (Power), High Performance Analog (HPA) and Silicon Valley Analog (SVA).</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HVAL products: These include both high-volume analog and logic products. High-volume analog includes integrated analog products for specific applications, including custom products. End markets for high-volume analog products include communications, automotive, computing and many consumer electronics products. Logic includes some commodity products marketed to many different customers for many different applications.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Power products: These include both catalog and application-specific products that help customers manage power in any type of electronic system. We design and manufacture power management semiconductors for both portable devices (battery-powered</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796" w:right="319" w:bottom="1440" w:gutter="0" w:footer="0" w:header="0"/>
        </w:sectPr>
      </w:pPr>
    </w:p>
    <w:bookmarkStart w:id="17" w:name="page18"/>
    <w:bookmarkEnd w:id="17"/>
    <w:p>
      <w:pPr>
        <w:ind w:right="380"/>
        <w:spacing w:after="0" w:line="277" w:lineRule="auto"/>
        <w:rPr>
          <w:sz w:val="20"/>
          <w:szCs w:val="20"/>
          <w:color w:val="auto"/>
        </w:rPr>
      </w:pPr>
      <w:r>
        <w:rPr>
          <w:rFonts w:ascii="Arial" w:cs="Arial" w:eastAsia="Arial" w:hAnsi="Arial"/>
          <w:sz w:val="18"/>
          <w:szCs w:val="18"/>
          <w:color w:val="auto"/>
        </w:rPr>
        <w:t>devices, such as handheld consumer electronics, laptop computers and cordless power tools) and line-powered systems (products that require an external electrical source, such as computers, digital TVs, wireless basestations and high-voltage industrial equipment).</w:t>
      </w:r>
    </w:p>
    <w:p>
      <w:pPr>
        <w:spacing w:after="0" w:line="17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HPA products: These include catalog analog products, such as amplifiers, data converters and interface semiconductors, that we market to many different customers who use them in manufacturing a wide range of products sold in many end markets, including the industrial, communications, computing and consumer electronics markets. HPA products generally have long life cycles, often more than 10 years.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SVA products: These include power management, data converter, interface and operational amplifier catalog analog products. This portfolio of thousands of products is marketed to many different customers who use them in manufacturing a wide range of products sold in many end markets. SVA products generally have long life cycles, often more than 10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Embedded Processing products are the “brains” of many electronic devices. Compared with general purpose microprocessors that perform many different tasks, embedded processors are designed to handle specific tasks and can be optimized for various combinations of performance, power and cost, depending on the application. The devices vary from simple, low-cost products used in electric toothbrushes to highly specialized, complex devices used in wireless basestation communications infrastructure equipment. Our Embedded Processing products are used in many end markets, particularly industrial, automotive and communications infrastructure.</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Sales of Embedded Processing products generated about 18 percent of our revenue in 2012. According to external sources, the worldwide market for embedded processors was about $17 billion in 2012. Our Embedded Processing segment's revenue in 2012 was about $2.3 billion. This was the number two position and represented about 13 percent of this fragmented market. We believe we are well positioned to increase our market share over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Embedded Processing segment includes the following major product lines: Processors, Microcontrollers and Connectivity.</w:t>
      </w:r>
    </w:p>
    <w:p>
      <w:pPr>
        <w:spacing w:after="0" w:line="22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Processor products: These include DSPs and applications processors. DSPs perform mathematical computations almost instantaneously to process or improve digital data. Applications processors like our embedded OMAP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Sitara</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products run an industry-standard operating system and perform multiple complex tasks, often communicating with other systems.</w:t>
      </w:r>
    </w:p>
    <w:p>
      <w:pPr>
        <w:spacing w:after="0" w:line="20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Microcontroller products: Microcontrollers are self-contained systems with a processor core, memory and peripherals that are designed to control a set of specific tasks for electronic equipment. Microcontrollers tend to have minimal requirements for memory and program length, with no operating system and low software complexity. Analog components that control or interface with sensors and other systems are often integrated into microcontrollers. Microcontroller products also include radio frequency identification (RFID) products, which are frequently used in automotive applications and sold along with our microcontroller products.</w:t>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Connectivity products: Connectivity products enable electronic devices to seamlessly connect and transfer data, and the requirements for speed, data capability, distance and power vary depending on the application. Our Connectivity products support many wireless technologies to meet these requirements, including low-power wireless network standards like Zigbee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other technologies like Bluetooth</w:t>
      </w:r>
      <w:r>
        <w:rPr>
          <w:rFonts w:ascii="Arial" w:cs="Arial" w:eastAsia="Arial" w:hAnsi="Arial"/>
          <w:sz w:val="25"/>
          <w:szCs w:val="25"/>
          <w:color w:val="auto"/>
          <w:vertAlign w:val="superscript"/>
        </w:rPr>
        <w:t>®</w:t>
      </w:r>
      <w:r>
        <w:rPr>
          <w:rFonts w:ascii="Arial" w:cs="Arial" w:eastAsia="Arial" w:hAnsi="Arial"/>
          <w:sz w:val="18"/>
          <w:szCs w:val="18"/>
          <w:color w:val="auto"/>
        </w:rPr>
        <w:t>, WiFi, GPS and Near Field Communications. Our Connectivity products are usually designed into customer devices alongside our processor and microcontroller products, enabling data to be collected, transmitted and acted upon.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Other includes revenue from our smaller product lines, such as DLP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(primarily used in projectors to create high-definition images), custom semiconductors known as application-specific integrated circuits (ASICs) and calculators. It includes royalties received for our patented technology that we license to other electronics companies and revenue from transitional supply agreements related to acquisitions and divestitures. We also include revenue, about $1.2 billion in 2012, from our baseband products and from our OMAP applications processors and connectivity products sold into smartphone and consumer tablet applications, all of which are product lines that we have previously announced we are exiting and are collectively</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368" w:right="27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referred to as “legacy wireless products.” We expect this revenue to substantially cease by the end of 2013. Other generated about $3.6 billion in 2012.</w:t>
      </w:r>
    </w:p>
    <w:p>
      <w:pPr>
        <w:spacing w:after="0" w:line="2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also include in Other restructuring charges and certain acquisition-related charges that are not used in evaluating results of and allocating resources to our Analog and Embedded Processing segments. These acquisition-related charges include certain fair-value adjustments, restructuring charges, transaction expenses, acquisition-related retention bonuses and amortization of intangible assets. Other also includes certain non-recurring and corporate-level items, such as litigation and environmental costs, insurance proceeds, and assets and liabilities associated with our centralized operations, such as our worldwide manufacturing, facilities and procurement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catalog products and their inherently lower risk of obsolescence, we generally carry more inventory of those products than custom products. Additionally, we sometimes maintain catalog-product inventory in unfinished wafer form, as well as higher finished-goods inventory of low-volume products, allowing greater flexibility in periods of high demand. We also have consignment inventory programs in place for our largest customers and some distributors.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tested, the wafer is cut into individual units and each unit is assembled into a package that then is usually retested. The entire process takes place in highly specialized facilities and requires an average of 12 weeks, with most products completing within 8 to 16 weeks.</w:t>
      </w:r>
    </w:p>
    <w:p>
      <w:pPr>
        <w:spacing w:after="0" w:line="18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cost and lifespan of the equipment and processes we use to manufacture semiconductors vary by technology. Our Analog products and most of our Embedded Processing products can be manufactured using mature and stable, and therefore less expensive, equipment than is needed for manufacturing advanced CMOS logic products, such as our OMAP products.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Japan and Europe. These include both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expect to maintain sufficient internal wafer fabrication capacity to meet the vast majority of our production needs. To supplement our internal wafer fabrication capacity and maximize our responsiveness to customer demand and return on capital, our wafer manufacturing strategy utilizes the capacity of outside suppliers, commonly known as foundries, and subcontractors. In 2012, we sourced about 20 percent of our total wafers and about 75 percent of our advanced CMOS logic needs from external foundries.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2011, we initiated closure of an older wafer fabrication facility in Hiji, Japan, and another in Houston, Texas. We expect to complete these plant closures in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global semiconductor market is characterized by constant, though generally incremental, advances in product designs and manufacturing processes.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Semiconductor prices and manufacturing costs tend to decline over time as manufacturing processes and product life cycles mature.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“semiconductor cycle” is an important concept that refers to the ebb and flow of supply and demand.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The semiconductor cycle is affected by the significant time and money required to build and maintain semiconductor manufacturing facilities.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Our revenue is subject to some seasonal variation. Our semiconductor revenue tends to be weaker in the first and fourth quarters when compared to the second and third quarters. Calculator revenue is tied to the U.S. back-to-school season and is therefore at its highest in the second and third quarters.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may reflect in our financial statements one or more tax refunds or assessments, or changes to tax liabilities, involving one or more taxing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Second-Quarter 2013 results</w:t>
      </w:r>
    </w:p>
    <w:p>
      <w:pPr>
        <w:spacing w:after="0" w:line="14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second-quarter revenue was $3.05 billion, net income was $660 million and earnings per share (EPS) were $0.58. Results include a gain associated with the transfer of wireless connectivity technology to a customer and higher-than-expected charges associated with previously announced restructuring. The net impact of these items was a benefit of $0.16 to EPS.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revenue ended the quarter as expected, up 6 percent sequentially. Excluding legacy wireless, revenue grew 8 percent; our positions in industrial and automotive markets were important contributors to the sequential growth in revenue. Additionally, backlog increased, and with it, visibility into the second half improved.</w:t>
      </w:r>
    </w:p>
    <w:p>
      <w:pPr>
        <w:spacing w:after="0" w:line="18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Analog and Embedded Processing are now 78 percent of revenue, 6 points higher than a year ago. Our legacy wireless products declined to less than 5 percent of revenue and should be below 2 percent in the third quarter. SVA led our Analog growth and is gaining share, one year ahead of plan.</w:t>
      </w:r>
    </w:p>
    <w:p>
      <w:pPr>
        <w:spacing w:after="0" w:line="12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business model continues to generate strong cash flow from operations. Free cash flow for the trailing 12 months was almost $3 billion, up 10 percent compared with a year ago. Free cash flow comprised 24 percent of revenue, which is consistent with our target of 20-25 percent. We returned $1.0 billion to shareholders through dividends and stock repurchases in the second quarter. For the trailing 12 months, the return to shareholders totaled $3.6 billion, or 123 percent of free cash flow. Our strategy to return to shareholders all of our free cash flow not needed for debt repayment reflects our confidence in the long-term sustainability of our Analog and Embedded Processing business model.</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balance sheet remains strong, with $3.2 billion of cash and short-term investments at the end of the quarter, 82 percent of which is owned by the company's U.S. entities, even after reducing debt by $500 million. Inventory days were 105, up from 101 a year ago, and consistent with our model of 105-115.</w:t>
      </w:r>
    </w:p>
    <w:p>
      <w:pPr>
        <w:spacing w:after="0" w:line="18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Free cash flow and revenue excluding legacy wireless are non-GAAP financial measures. For reconciliation to GAAP and an explanation for the purpose of providing these non-GAAP measures, see the Non-GAAP financial information section after the Liquidity and Capital Resources section.</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368" w:right="29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91440</wp:posOffset>
            </wp:positionV>
            <wp:extent cx="64058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05880" cy="171450"/>
                    </a:xfrm>
                    <a:prstGeom prst="rect">
                      <a:avLst/>
                    </a:prstGeom>
                    <a:noFill/>
                  </pic:spPr>
                </pic:pic>
              </a:graphicData>
            </a:graphic>
          </wp:anchor>
        </w:drawing>
      </w:r>
    </w:p>
    <w:p>
      <w:pPr>
        <w:spacing w:after="0" w:line="133"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For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456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2013</w:t>
            </w:r>
          </w:p>
        </w:tc>
        <w:tc>
          <w:tcPr>
            <w:tcW w:w="20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 2012</w:t>
            </w:r>
          </w:p>
        </w:tc>
        <w:tc>
          <w:tcPr>
            <w:tcW w:w="200" w:type="dxa"/>
            <w:vAlign w:val="bottom"/>
          </w:tcPr>
          <w:p>
            <w:pPr>
              <w:spacing w:after="0"/>
              <w:rPr>
                <w:sz w:val="20"/>
                <w:szCs w:val="20"/>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March 31, 2013</w:t>
            </w:r>
          </w:p>
        </w:tc>
      </w:tr>
      <w:tr>
        <w:trPr>
          <w:trHeight w:val="27"/>
        </w:trPr>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3,047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3,335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2,885</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1,477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1,684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1,511</w:t>
            </w:r>
          </w:p>
        </w:tc>
      </w:tr>
      <w:tr>
        <w:trPr>
          <w:trHeight w:val="27"/>
        </w:trPr>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1,570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1,651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1,374</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Research and development (R&amp;D)</w:t>
            </w:r>
          </w:p>
        </w:tc>
        <w:tc>
          <w:tcPr>
            <w:tcW w:w="20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389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419</w:t>
            </w: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471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459</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Acquisition charges</w:t>
            </w:r>
          </w:p>
        </w:tc>
        <w:tc>
          <w:tcPr>
            <w:tcW w:w="20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86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86</w:t>
            </w: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charges/other</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(282)</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906</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598</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395</w:t>
            </w: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 (OI&amp;E)</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and debt expense</w:t>
            </w:r>
          </w:p>
        </w:tc>
        <w:tc>
          <w:tcPr>
            <w:tcW w:w="20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24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23</w:t>
            </w:r>
          </w:p>
        </w:tc>
      </w:tr>
      <w:tr>
        <w:trPr>
          <w:trHeight w:val="27"/>
        </w:trPr>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882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374</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222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12</w:t>
            </w:r>
          </w:p>
        </w:tc>
      </w:tr>
      <w:tr>
        <w:trPr>
          <w:trHeight w:val="27"/>
        </w:trPr>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660</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446</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362</w:t>
            </w: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7"/>
        </w:trPr>
        <w:tc>
          <w:tcPr>
            <w:tcW w:w="4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30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.59</w:t>
            </w: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w:t>
            </w:r>
          </w:p>
        </w:tc>
      </w:tr>
      <w:tr>
        <w:trPr>
          <w:trHeight w:val="251"/>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.32</w:t>
            </w: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7"/>
        </w:trPr>
        <w:tc>
          <w:tcPr>
            <w:tcW w:w="4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shares outstanding (millions):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304"/>
        </w:trPr>
        <w:tc>
          <w:tcPr>
            <w:tcW w:w="46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1,103</w:t>
            </w: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1,140</w:t>
            </w: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1,107</w:t>
            </w:r>
          </w:p>
        </w:tc>
      </w:tr>
      <w:tr>
        <w:trPr>
          <w:trHeight w:val="251"/>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1,117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1,154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1,123</w:t>
            </w: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7"/>
        </w:trPr>
        <w:tc>
          <w:tcPr>
            <w:tcW w:w="4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6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.28</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.21</w:t>
            </w:r>
          </w:p>
        </w:tc>
      </w:tr>
      <w:tr>
        <w:trPr>
          <w:trHeight w:val="20"/>
        </w:trPr>
        <w:tc>
          <w:tcPr>
            <w:tcW w:w="4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7"/>
        </w:trPr>
        <w:tc>
          <w:tcPr>
            <w:tcW w:w="4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51.5%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SG&amp;A</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4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46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EPS. The amount excluded is $11 million, $8 million and $7 million for the quarters ending June 30, 2013, June 30, 2012, and March 31, 2013, respectively.</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information presented in this Management's discussion and analysis of financial condition and results of operations (MD&amp;A) is based on our revised segment structure as of January 1, 2013. Segment-level information for the periods presented has been recast to reflect the changes in our reportable segments.</w:t>
      </w:r>
    </w:p>
    <w:p>
      <w:pPr>
        <w:spacing w:after="0" w:line="18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Our exit from legacy wireless products and the elimination of the Wireless segment resulted in changes to our corporate-level expense allocations, which negatively affected segment-level profitability in the second quarter and the six months ended June 30, 2013. We expect a similar effect through the end of 2013. We allocate our corporate-level expenses, which are largely fixed, among our product lines in proportion to the operating expenses directly generated by them. Legacy wireless products generated lower operating expenses in the second quarter and the six-month period than they did in the year-ago periods because we are no longer investing in them. The corporate-level expenses allocated to those products were, therefore, proportionately lower, and the corporate-level expenses allocated to the remaining product lines were proportionately higher. This allocation change affects the profitability of each of our segments, but does not impact operating expense or profitability trends at the consolidated level.</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364" w:right="239" w:bottom="1440" w:gutter="0" w:footer="0" w:header="0"/>
          <w:type w:val="continuous"/>
        </w:sectPr>
      </w:pPr>
    </w:p>
    <w:bookmarkStart w:id="21" w:name="page22"/>
    <w:bookmarkEnd w:id="21"/>
    <w:p>
      <w:pPr>
        <w:ind w:right="120"/>
        <w:spacing w:after="0" w:line="259" w:lineRule="auto"/>
        <w:rPr>
          <w:sz w:val="20"/>
          <w:szCs w:val="20"/>
          <w:color w:val="auto"/>
        </w:rPr>
      </w:pPr>
      <w:r>
        <w:rPr>
          <w:rFonts w:ascii="Arial" w:cs="Arial" w:eastAsia="Arial" w:hAnsi="Arial"/>
          <w:sz w:val="18"/>
          <w:szCs w:val="18"/>
          <w:color w:val="auto"/>
        </w:rPr>
        <w:t>Throughout the following discussion of our results of operations, unless otherwise noted, changes in our revenue are attributable to changes in customer demand, which are evidenced by fluctuations in shipment volumes. New products tend not to have a significant impact because our revenue is derived from such a large number of products. From time to time, our revenue and gross profit are affected by changes in demand for higher-priced or lower-priced products, which we refer to as changes in the "mix" of products shipped.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Revenue for the second quarter of 2013 was $3.05 billion, a decrease of $288 million, or 9 percent, from the year-ago quarter primarily due to lower revenue from our legacy wireless products. Compared with the prior quarter, revenue increased $162 million, or 6 percent, primarily due to higher revenue from our Analog and Embedded Processing segments.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profit for the second quarter of 2013 was $1.57 billion, or 51.5 percent of revenue, a decrease of $81 million, or 5 percent, from the year-ago quarter due to lower revenue. Compared with the prior quarter, gross profit increased $196 million, or 14 percent, primarily due to higher revenue and lower expense resulting from improved utilization of our manufacturing facilities. The underutilization expense in the second quarter of 2013 was about $100 million compared with about $150 million in the prior quarter.</w:t>
      </w:r>
    </w:p>
    <w:p>
      <w:pPr>
        <w:spacing w:after="0" w:line="1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Operating expenses for the second quarter of 2013 were $389 million for R&amp;D and $471 million for SG&amp;A. R&amp;D expense decreased $91 million, or 19 percent, from the year-ago quarter, primarily reflecting the wind-down of our legacy wireless product lines. Compared with the prior quarter, R&amp;D expense decreased $30 million, or 7 percent, due to lower product development costs across all segments. SG&amp;A expense increased $15 million, or 3 percent, compared with the year-ago quarter and $12 million, or 3 percent, from the prior quarter primarily due to higher compensation-related costs.</w:t>
      </w:r>
    </w:p>
    <w:p>
      <w:pPr>
        <w:spacing w:after="0" w:line="15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the second quarter of 2013, we incurred $86 million of Acquisition charges associated with our acquisition of National Semiconductor Corporation, compared with $104 million in the year-ago quarter and $86 million in the prior quarter. The quarterly Acquisition charges are primarily from the ongoing amortization of intangible assets. The year-ago quarter also included integration-related expenses. See Note 2 to the financial statements for detailed information.</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Restructuring charges/other for the second quarter of 2013 was a net credit of $282 million, compared with charges of $13 million for the year-ago quarter and $15 million in the prior quarter. The net credit included a gain of $315 million from the transfer of wireless connectivity technology to a customer. Partially offsetting this gain were restructuring charges of $29 million associated with the 2012 action to restructure our former Wireless business and $4 million associated with the 2011 actions to close certain manufacturing facilities in Houston, Texas, and Hiji, Japan. Together, these charges consisted of $27 million of severance and benefit costs, $3 million of accelerated depreciation of the facilities' assets and $3 million of other exit costs. All the restructuring charges and the net credit are included in Other. We expect both actions to be completed in 2013. See Note 3 to the financial statements for additional information.</w:t>
      </w:r>
    </w:p>
    <w:p>
      <w:pPr>
        <w:spacing w:after="0" w:line="20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For the second quarter of 2013, our operating profit was $906 million, or 29.7 percent of revenue, compared with $598 million or 17.9 percent of revenue for the year-ago quarter, as lower revenue and associated gross profit were more than offset by the gain on the technology transfer. Compared with the prior quarter, operating profit increased $511 million due to the gain on the technology transfer and, to a lesser extent, higher gross profit.</w:t>
      </w:r>
    </w:p>
    <w:p>
      <w:pPr>
        <w:spacing w:after="0" w:line="1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Interest and debt expense was $24 million compared with $20 million for the year-ago quarter and was about even with the prior quarter. The increase from the year-ago quarter was due to a combination of higher average interest rates and a higher average debt level. See Note 8 to the financial statements for details regarding debt outstanding.</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Quarterly income taxes are calculated using the estimated annual effective tax rate. As of June 30, 2013, our estimated annual effective tax rate is about 24 percent. Our annual effective tax rate benefits from the lower tax rates applicable to our operations in many of the jurisdictions in which we operate and from U.S. tax benefits. These lower tax rates are generally statutory in nature, without expiration and available to companies that operate in those taxing jurisdictions. See Note 4 to the financial statements for additional information.</w:t>
      </w:r>
    </w:p>
    <w:p>
      <w:pPr>
        <w:spacing w:after="0" w:line="18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For the second quarter of 2013, our tax provision was $222 million compared with $130 million in the year-ago quarter and $12 million in the prior quarter. The increase in both comparisons was primarily due to an increase in income before income taxes. The prior quarter included a $65 million discrete tax benefit resulting from the reinstatement of the federal research tax credit that was retroactive to the beginning of 2012.</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368" w:right="319" w:bottom="1440" w:gutter="0" w:footer="0" w:header="0"/>
        </w:sectPr>
      </w:pPr>
    </w:p>
    <w:bookmarkStart w:id="22" w:name="page23"/>
    <w:bookmarkEnd w:id="22"/>
    <w:p>
      <w:pPr>
        <w:ind w:right="140"/>
        <w:spacing w:after="0" w:line="277" w:lineRule="auto"/>
        <w:rPr>
          <w:sz w:val="20"/>
          <w:szCs w:val="20"/>
          <w:color w:val="auto"/>
        </w:rPr>
      </w:pPr>
      <w:r>
        <w:rPr>
          <w:rFonts w:ascii="Arial" w:cs="Arial" w:eastAsia="Arial" w:hAnsi="Arial"/>
          <w:sz w:val="18"/>
          <w:szCs w:val="18"/>
          <w:color w:val="auto"/>
        </w:rPr>
        <w:t>In the second quarter of 2013, our net income was $660 million compared with net income of $446 million for the year-ago quarter and $362 million for the prior quarter. EPS was $0.58 compared with $0.38 for the year-ago quarter and $0.32 for the prior quarter.</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Segment results</w:t>
            </w:r>
          </w:p>
        </w:tc>
        <w:tc>
          <w:tcPr>
            <w:tcW w:w="2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53"/>
        </w:trPr>
        <w:tc>
          <w:tcPr>
            <w:tcW w:w="344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78"/>
        </w:trPr>
        <w:tc>
          <w:tcPr>
            <w:tcW w:w="1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2Q13</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2Q12</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b w:val="1"/>
                <w:bCs w:val="1"/>
                <w:color w:val="auto"/>
              </w:rPr>
              <w:t>Change</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1Q13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24"/>
                <w:szCs w:val="24"/>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1,745</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416</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437</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-5 %</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3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7"/>
        </w:trPr>
        <w:tc>
          <w:tcPr>
            <w:tcW w:w="116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Analog revenue decreased 3 percent from the year-ago quarter due to lower revenue from Power and, to a lesser extent, HPA, as a result of the mix of products shipped. SVA and HVAL revenue were about even. Compared with the prior quarter, revenue increased 6 percent due to higher revenue from SVA, HVAL and HPA. Revenue from Power was about even. Compared with the year-ago quarter, operating profit decreased due to lower revenue and associated gross profit and, to a lesser extent, higher operating expenses. Operating profit increased from the prior quarter primarily due to higher gross profit.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gridSpan w:val="2"/>
          </w:tcPr>
          <w:p>
            <w:pPr>
              <w:spacing w:after="0"/>
              <w:rPr>
                <w:sz w:val="20"/>
                <w:szCs w:val="20"/>
                <w:color w:val="auto"/>
              </w:rPr>
            </w:pPr>
            <w:r>
              <w:rPr>
                <w:rFonts w:ascii="Arial" w:cs="Arial" w:eastAsia="Arial" w:hAnsi="Arial"/>
                <w:sz w:val="18"/>
                <w:szCs w:val="18"/>
                <w:i w:val="1"/>
                <w:iCs w:val="1"/>
                <w:color w:val="auto"/>
              </w:rPr>
              <w:t>Embedded Processing</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2Q13</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2Q12</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gridSpan w:val="2"/>
          </w:tcPr>
          <w:p>
            <w:pPr>
              <w:ind w:left="400"/>
              <w:spacing w:after="0"/>
              <w:rPr>
                <w:sz w:val="20"/>
                <w:szCs w:val="20"/>
                <w:color w:val="auto"/>
              </w:rPr>
            </w:pPr>
            <w:r>
              <w:rPr>
                <w:rFonts w:ascii="Arial" w:cs="Arial" w:eastAsia="Arial" w:hAnsi="Arial"/>
                <w:sz w:val="18"/>
                <w:szCs w:val="18"/>
                <w:b w:val="1"/>
                <w:bCs w:val="1"/>
                <w:color w:val="auto"/>
              </w:rPr>
              <w:t>Change</w:t>
            </w: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1Q13</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4 %</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671</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Embedded Processing revenue increased 7 percent compared with the year-ago quarter primarily due to higher revenue from Microcontrollers. Revenue from Connectivity also increased, but to a lesser extent. Processors revenue was about even. Compared with the prior quarter, Embedded Processing revenue increased 10 percent primarily due to higher revenue from Processors. Revenue from Microcontroller and Connectivity products also increased, but to a lesser extent. Operating profit increased from the year-ago quarter due to higher gross profit, partially offset by higher operating expenses. Operating profit increased from the prior quarter due to higher gross profit.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Other</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2Q13</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2Q12</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1Q13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38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684</w:t>
            </w: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436</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395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profit %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63.7</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Acquisition charges*</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86</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charges/other*</w:t>
            </w: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3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*Included in operating profit</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Other revenue decreased 28 percent from the year-ago quarter, primarily due to lower revenue from legacy wireless products. Contributing to the decrease, but to a lesser extent, was lower revenue from, in decreasing order, custom ASIC products, DLP products and calculators. Royalties increased. Compared with the prior quarter, Other revenue was about even. Revenue from calculators and DLP products increased. Custom ASIC revenue was about even and revenue from legacy wireless products and royalties declined. Operating profit increased from both the year-ago quarter and the prior quarter due to the gain from the technology transfer.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68"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First six months of 2013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2013, we report the following:</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Revenue was $5.93 billion, a decrease of $524 million, or 8 percent, compared with the year-ago period primarily due to lower revenue from legacy wireless products.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Gross profit was $2.94 billion, a decrease of $238 million, or 7 percent, from the year-ago period due to lower revenue. Gross profit margin was 49.6 percent of revenue compared with 49.3 percent in the year-ago period.</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R&amp;D expense of $808 million decreased 18 percent from the year-ago period reflecting the wind-down of our legacy wireless product lines. R&amp;D expense as a percent of revenue was 13.6 percent compared with 15.3 percent in the year-ago period. SG&amp;A expense was $931 million, about even with the year-ago period. SG&amp;A expense as a percent of revenue was 15.7 percent compared with 14.2 percent in the year-ago period.</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Acquisition charges for the first six months of 2013 of $171 million were primarily from the ongoing amortization of intangible assets. This compares with $257 million in the year-ago period. The decrease from the year-ago period is primarily due to the nonrecurrence of integration-related compensation expenses. See Note 2 to the financial statements for detailed information.</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Restructuring charges/other for the first six months of 2013 was a net credit of $267 million, reflecting the $315 million gain from the technology transfer, which was partially offset by restructuring charges of $48 million. This compares with restructuring charges of $23 million in the year-ago period. See Note 3 to the financial statements for detailed information.</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Operating profit was $1.30 billion, or 21.9 percent of revenue, compared with $995 million, or 15.4 percent of revenue, in the year-ago period. The increase was due to the gain from the technology transfer, and to a lesser extent, lower R&amp;D expense, partially offset by lower revenue and associated gross profit.</w:t>
      </w:r>
    </w:p>
    <w:p>
      <w:pPr>
        <w:spacing w:after="0" w:line="1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Interest and debt expense was $47 million compared with $41 million in the year-ago period. The increase was due to a combination of higher average interest rates and a higher average debt level.</w:t>
      </w:r>
    </w:p>
    <w:p>
      <w:pPr>
        <w:spacing w:after="0" w:line="17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tax provision was $234 million compared with $226 million in the year-ago period. The increase was due to higher income before income taxes, partially offset by the effect of the reinstatement of the federal research tax credit. The reinstatement resulted in the $65 million discrete tax benefit in the first quarter of 2013 from retroactive application of the credit to 2012 and a benefit in the first half of 2013 from application of the credit to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$1.02 billion compared with $711 million in the year-ago period. EPS was $0.90 compared with $0.60 in the year-ago period.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Segment results</w:t>
            </w:r>
          </w:p>
        </w:tc>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53"/>
        </w:trPr>
        <w:tc>
          <w:tcPr>
            <w:tcW w:w="584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11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YTD 2013</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YTD 2012</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rPr>
              <w:t>Change</w:t>
            </w:r>
          </w:p>
        </w:tc>
      </w:tr>
      <w:tr>
        <w:trPr>
          <w:trHeight w:val="27"/>
        </w:trPr>
        <w:tc>
          <w:tcPr>
            <w:tcW w:w="116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3,393</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2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716</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771</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11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7"/>
        </w:trPr>
        <w:tc>
          <w:tcPr>
            <w:tcW w:w="116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Analog revenue decreased 3 percent from the year-ago period due to lower revenue from, in decreasing order, SVA, Power and HPA, as a result of the mix of products shipped. Revenue from HVAL was about even. For the first six months of 2013, operating profit decreased 7 percent from the year-ago period due to lower revenue and associated gross profit and, to a lesser extent, higher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i w:val="1"/>
                <w:iCs w:val="1"/>
                <w:color w:val="auto"/>
              </w:rPr>
              <w:t>Embedded Processing</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5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YTD 2013</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YTD 2012</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rPr>
              <w:t>Change</w:t>
            </w:r>
          </w:p>
        </w:tc>
      </w:tr>
      <w:tr>
        <w:trPr>
          <w:trHeight w:val="27"/>
        </w:trPr>
        <w:tc>
          <w:tcPr>
            <w:tcW w:w="5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1,178</w:t>
            </w:r>
          </w:p>
        </w:tc>
        <w:tc>
          <w:tcPr>
            <w:tcW w:w="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7"/>
        </w:trPr>
        <w:tc>
          <w:tcPr>
            <w:tcW w:w="5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Embedded Processing revenue increased 5 percent from the year-ago period primarily due to higher revenue from Microcontrollers. Revenue from Connectivity products increased while revenue from Processors was about even. Compared with the year-ago period, operating profit decreased 31 percent due to lower gross profit and higher operating expenses. Lower gross profit resulted primarily from higher manufacturing-related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YTD 2013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YTD 2012</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rPr>
              <w:t>Change</w:t>
            </w:r>
          </w:p>
        </w:tc>
      </w:tr>
      <w:tr>
        <w:trPr>
          <w:trHeight w:val="27"/>
        </w:trPr>
        <w:tc>
          <w:tcPr>
            <w:tcW w:w="5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1,361</w:t>
            </w:r>
          </w:p>
        </w:tc>
        <w:tc>
          <w:tcPr>
            <w:tcW w:w="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2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524</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285 %</w:t>
            </w: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 %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Acquisition charges*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171</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Restructuring charges/other*</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3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7"/>
        </w:trPr>
        <w:tc>
          <w:tcPr>
            <w:tcW w:w="5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revenue decreased 26 percent from the year-ago period primarily due to lower revenue from legacy wireless products. Also contributing to the decrease was, in decreasing order, custom ASIC, the nonrecurrence of about $65 million of business interruption insurance proceeds related to the 2011 Japan earthquake and lower revenue from DLP products and calculators. Royalties increased. Operating profit increased from the year-ago period primarily due to the gain on the technology transfer.</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the end of the second quarter of 2013, total cash (Cash and cash equivalents plus Short-term investments) was $3.24 billion, with 82 percent owned by our U.S. entities.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Accounts receivable were $1.49 billion at the end of the second quarter. This was an increase of $261 million from the end of 2012 as a result of higher revenue at the end of the second quarter compared with the end of the year. Days sales outstanding were 44 at the end of the second quarter compared with 37 at the end of 2012.</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Inventory was $1.72 billion at the end of the second quarter. This was a decrease of $37 million from the end of 2012. Days of inventory at the end of the second quarter were 105 compared with 103 at the end of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primary source of liquidity is cash flow from operations. Additional sources of liquidity are our cash and cash equivalents, short-term investments and revolving credit facilities. Cash flow from operations for the first six months of 2013 was $1.04 billion, a decrease of $89 million from the year-ago period, as higher net income was partially offset by changes in working capital. The gain on the technology transfer did not impact cash flow as payment was not due in the second quarter. This effect is reflected on the “Prepaid expenses and other current assets” line, which is a part of working capital in the cash flow statement.</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had $1.18 billion of Cash and cash equivalents and $2.06 billion of Short-term investments as of June 30, 2013. We have a variable-rate revolving credit facility with a consortium of investment-grade banks that allows us to borrow up to $2 billion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through March 2018. This credit facility also serves as support for the issuance of commercial paper. As of June 30, 2013, our credit facility was undrawn and we had no commercial paper outstanding.</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first six months of 2013, investing activities provided cash of $331 million compared with $591 million in the year-ago period. Proceeds from short-term investments, net of purchases, provided cash of $481 million compared with $809 million in the year-ago period. Capital expenditures in the first six months of 2013 totaled $182 million compared with $249 million in the year-ago period. These expenditures were primarily for semiconductor manufacturing equipment. We also received $18 million of cash proceeds from the sale of a site in the first quarter of 2013.</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Net cash used in financing activities was $1.60 billion for the first six months of 2013 compared with $1.52 billion in the year-ago period. During the first six months of 2013, we used $1.5 billion to repay maturing debt compared with $875 million used to repay debt and commercial paper borrowings in the year-ago period. In May 2013, we issued $1.0 billion principal amount of fixed-rate long-term debt consisting of $500 million of 1.00% notes maturing in 2018 and $500 million of 2.25% notes maturing in 2023. The $986 million of net proceeds from this issuance were used for repayment of a portion of our maturing debt. In the first six months of 2013, we paid dividends of $541 million compared with $390 million in the year-ago period. We also used $1.40 billion in the first six months of 2013 to repurchase 41 million shares of our common stock. In the same period last year we used $600 million to repurchase 19 million shares of our common stock. Employee exercises of stock options are also reflected in cash from financing activities. In the first six months of 2013, these exercises provided cash proceeds of $797 million compared with $327 million for the year-ago period.</w:t>
      </w:r>
    </w:p>
    <w:p>
      <w:pPr>
        <w:spacing w:after="0" w:line="1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believe we have the necessary financial resources and operating plans to fund our working capital needs, capital expenditures, dividend and debt-related payments, and other business requirements for at least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excluding legacy wireless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MD&amp;A includes a reference to TI's revenue excluding revenue from legacy wireless products. This measure, which was not prepared in accordance with generally accepted accounting principles in the United States (GAAP), provides investors with insight into TI's underlying business results and is supplemental to the comparable GAAP measure.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TEXAS INSTRUMENTS INCORPORATED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For Three Months Ended</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2013</w:t>
            </w:r>
          </w:p>
        </w:tc>
        <w:tc>
          <w:tcPr>
            <w:tcW w:w="22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Mar. 31, 2013</w:t>
            </w:r>
          </w:p>
        </w:tc>
        <w:tc>
          <w:tcPr>
            <w:tcW w:w="100" w:type="dxa"/>
            <w:vAlign w:val="bottom"/>
          </w:tcPr>
          <w:p>
            <w:pPr>
              <w:spacing w:after="0"/>
              <w:rPr>
                <w:sz w:val="20"/>
                <w:szCs w:val="20"/>
                <w:color w:val="auto"/>
              </w:rPr>
            </w:pPr>
          </w:p>
        </w:tc>
        <w:tc>
          <w:tcPr>
            <w:tcW w:w="1880" w:type="dxa"/>
            <w:vAlign w:val="bottom"/>
          </w:tcPr>
          <w:p>
            <w:pPr>
              <w:jc w:val="right"/>
              <w:ind w:right="590"/>
              <w:spacing w:after="0"/>
              <w:rPr>
                <w:sz w:val="20"/>
                <w:szCs w:val="20"/>
                <w:color w:val="auto"/>
              </w:rPr>
            </w:pPr>
            <w:r>
              <w:rPr>
                <w:rFonts w:ascii="Arial" w:cs="Arial" w:eastAsia="Arial" w:hAnsi="Arial"/>
                <w:sz w:val="18"/>
                <w:szCs w:val="18"/>
                <w:b w:val="1"/>
                <w:bCs w:val="1"/>
                <w:color w:val="auto"/>
              </w:rPr>
              <w:t>Change</w:t>
            </w:r>
          </w:p>
        </w:tc>
      </w:tr>
      <w:tr>
        <w:trPr>
          <w:trHeight w:val="27"/>
        </w:trPr>
        <w:tc>
          <w:tcPr>
            <w:tcW w:w="4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(GAAP)</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2,885</w:t>
            </w:r>
          </w:p>
        </w:tc>
        <w:tc>
          <w:tcPr>
            <w:tcW w:w="19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Less legacy wireless revenue</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rPr>
              <w:t>148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r>
      <w:tr>
        <w:trPr>
          <w:trHeight w:val="257"/>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 Revenue less legacy wireless revenue (non-GAAP)</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2,675</w:t>
            </w:r>
          </w:p>
        </w:tc>
        <w:tc>
          <w:tcPr>
            <w:tcW w:w="1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Free cash flow</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MD&amp;A also includes references to free cash flow and various ratios based on that measure. These are financial measures that were not prepared in accordance with GAAP. Free cash flow was calculated by subtracting Capital expenditures from the most directly comparable GAAP measure of Cash flows from operating activities (also referred to as Cash flow from operations).</w:t>
      </w:r>
    </w:p>
    <w:p>
      <w:pPr>
        <w:spacing w:after="0" w:line="289"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The free cash flow measures were compared to the following GAAP items to determine the various non-GAAP ratios presented below and referred to in the MD&amp;A: Revenue, Dividends paid and Stock repurchases. Reconciliation to the most directly comparable GAAP-based ratios is provided in the table below.</w:t>
      </w:r>
    </w:p>
    <w:p>
      <w:pPr>
        <w:spacing w:after="0" w:line="232"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We believe these non-GAAP measures provide insight into our liquidity, our cash-generating capability and the amount of cash available to return to investors, as well as insight into our financial performance. These non-GAAP measures are supplemental to the comparable GAAP measures.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68" w:right="25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TEXAS INSTRUMENTS INCORPORATED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For the Twelve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For the Twelve</w:t>
            </w: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Months Ended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Months Ended</w:t>
            </w: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June 30, 2013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June 30, 2012</w:t>
            </w:r>
          </w:p>
        </w:tc>
        <w:tc>
          <w:tcPr>
            <w:tcW w:w="60" w:type="dxa"/>
            <w:vAlign w:val="bottom"/>
          </w:tcPr>
          <w:p>
            <w:pPr>
              <w:spacing w:after="0"/>
              <w:rPr>
                <w:sz w:val="20"/>
                <w:szCs w:val="20"/>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Percentage Change</w:t>
            </w:r>
          </w:p>
        </w:tc>
      </w:tr>
      <w:tr>
        <w:trPr>
          <w:trHeight w:val="27"/>
        </w:trPr>
        <w:tc>
          <w:tcPr>
            <w:tcW w:w="5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from operations (GAAP)</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3,323</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3,234</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3 %</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427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60" w:type="dxa"/>
            <w:vAlign w:val="bottom"/>
            <w:gridSpan w:val="3"/>
          </w:tcPr>
          <w:p>
            <w:pPr>
              <w:jc w:val="right"/>
              <w:ind w:right="140"/>
              <w:spacing w:after="0"/>
              <w:rPr>
                <w:sz w:val="20"/>
                <w:szCs w:val="20"/>
                <w:color w:val="auto"/>
              </w:rPr>
            </w:pPr>
            <w:r>
              <w:rPr>
                <w:rFonts w:ascii="Arial" w:cs="Arial" w:eastAsia="Arial" w:hAnsi="Arial"/>
                <w:sz w:val="18"/>
                <w:szCs w:val="18"/>
                <w:color w:val="auto"/>
              </w:rPr>
              <w:t>-28 %</w:t>
            </w:r>
          </w:p>
        </w:tc>
      </w:tr>
      <w:tr>
        <w:trPr>
          <w:trHeight w:val="27"/>
        </w:trPr>
        <w:tc>
          <w:tcPr>
            <w:tcW w:w="52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5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2,896</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2,639</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10 %</w:t>
            </w:r>
          </w:p>
        </w:tc>
      </w:tr>
      <w:tr>
        <w:trPr>
          <w:trHeight w:val="20"/>
        </w:trPr>
        <w:tc>
          <w:tcPr>
            <w:tcW w:w="5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79"/>
        </w:trPr>
        <w:tc>
          <w:tcPr>
            <w:tcW w:w="5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For the Twelve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Months Ended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Percentage of</w:t>
            </w: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June 30, 2013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Revenue</w:t>
            </w: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12,301</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5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00" w:type="dxa"/>
            <w:vAlign w:val="bottom"/>
            <w:gridSpan w:val="3"/>
          </w:tcPr>
          <w:p>
            <w:pPr>
              <w:spacing w:after="0"/>
              <w:rPr>
                <w:sz w:val="21"/>
                <w:szCs w:val="21"/>
                <w:color w:val="auto"/>
              </w:rPr>
            </w:pPr>
          </w:p>
        </w:tc>
        <w:tc>
          <w:tcPr>
            <w:tcW w:w="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from operations (GAAP)</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3,323</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427</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gridSpan w:val="3"/>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2,896</w:t>
            </w:r>
          </w:p>
        </w:tc>
        <w:tc>
          <w:tcPr>
            <w:tcW w:w="2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0"/>
        </w:trPr>
        <w:tc>
          <w:tcPr>
            <w:tcW w:w="5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79"/>
        </w:trPr>
        <w:tc>
          <w:tcPr>
            <w:tcW w:w="5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For the Twelve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Percentage of Cash</w:t>
            </w:r>
          </w:p>
        </w:tc>
        <w:tc>
          <w:tcPr>
            <w:tcW w:w="60" w:type="dxa"/>
            <w:vAlign w:val="bottom"/>
          </w:tcPr>
          <w:p>
            <w:pPr>
              <w:spacing w:after="0"/>
              <w:rPr>
                <w:sz w:val="24"/>
                <w:szCs w:val="24"/>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Percentage of Free</w:t>
            </w:r>
          </w:p>
        </w:tc>
      </w:tr>
      <w:tr>
        <w:trPr>
          <w:trHeight w:val="216"/>
        </w:trPr>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1"/>
              </w:rPr>
              <w:t>Months Ended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Flow from</w:t>
            </w:r>
          </w:p>
        </w:tc>
        <w:tc>
          <w:tcPr>
            <w:tcW w:w="60" w:type="dxa"/>
            <w:vAlign w:val="bottom"/>
          </w:tcPr>
          <w:p>
            <w:pPr>
              <w:spacing w:after="0"/>
              <w:rPr>
                <w:sz w:val="18"/>
                <w:szCs w:val="18"/>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Cash Flow</w:t>
            </w:r>
          </w:p>
        </w:tc>
      </w:tr>
      <w:tr>
        <w:trPr>
          <w:trHeight w:val="234"/>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8"/>
              </w:rPr>
              <w:t>June 30, 2013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Operations (GAAP)</w:t>
            </w:r>
          </w:p>
        </w:tc>
        <w:tc>
          <w:tcPr>
            <w:tcW w:w="60" w:type="dxa"/>
            <w:vAlign w:val="bottom"/>
          </w:tcPr>
          <w:p>
            <w:pPr>
              <w:spacing w:after="0"/>
              <w:rPr>
                <w:sz w:val="20"/>
                <w:szCs w:val="20"/>
                <w:color w:val="auto"/>
              </w:rPr>
            </w:pPr>
          </w:p>
        </w:tc>
        <w:tc>
          <w:tcPr>
            <w:tcW w:w="18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(Non-GAAP)</w:t>
            </w:r>
          </w:p>
        </w:tc>
      </w:tr>
      <w:tr>
        <w:trPr>
          <w:trHeight w:val="27"/>
        </w:trPr>
        <w:tc>
          <w:tcPr>
            <w:tcW w:w="52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971</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1"/>
                <w:szCs w:val="2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Stock repurchases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2,600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1"/>
                <w:szCs w:val="21"/>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1"/>
                <w:szCs w:val="2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returned to shareholders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3,571</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c>
          <w:tcPr>
            <w:tcW w:w="60" w:type="dxa"/>
            <w:vAlign w:val="bottom"/>
            <w:tcBorders>
              <w:right w:val="single" w:sz="8" w:color="CCEEFF"/>
            </w:tcBorders>
            <w:shd w:val="clear" w:color="auto" w:fill="CCEEFF"/>
          </w:tcPr>
          <w:p>
            <w:pPr>
              <w:spacing w:after="0"/>
              <w:rPr>
                <w:sz w:val="22"/>
                <w:szCs w:val="22"/>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2"/>
                <w:szCs w:val="22"/>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Dividends paid and Stock repurchases as a percentage of free cash flow provided in the above chart do not sum to total cash returned to shareholders as a percentage of free cash flow due to rounding.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In addition to the long-term debt obligations described in the long-term contractual obligations chart on pages 51-52 of Exhibit 13 to our Form 10-K for the year ended December 31, 2012, in May 2013, we issued $500 million of 1.00% notes maturing in 2018 and $500 million of 2.25% notes maturing in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financial statements for detailed information regarding the status of new accounting and reporting standards.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0" w:right="25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period covered by this report that has materially affected, or is reasonably likely to materially affect, our internal control over financial reporting.</w:t>
      </w:r>
    </w:p>
    <w:p>
      <w:pPr>
        <w:sectPr>
          <w:pgSz w:w="11900" w:h="16838" w:orient="portrait"/>
          <w:cols w:equalWidth="0" w:num="1">
            <w:col w:w="10440"/>
          </w:cols>
          <w:pgMar w:left="240" w:top="584"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440"/>
          </w:cols>
          <w:pgMar w:left="240" w:top="584" w:right="1219" w:bottom="1440" w:gutter="0" w:footer="0" w:header="0"/>
          <w:type w:val="continuous"/>
        </w:sectPr>
      </w:pPr>
    </w:p>
    <w:bookmarkStart w:id="28" w:name="page29"/>
    <w:bookmarkEnd w:id="28"/>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Information concerning our risk factors is contained on pages 10-14 of our Form 10-K for the year ended December 31, 2012, and is incorporated by reference herein.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right"/>
        <w:ind w:right="3640"/>
        <w:spacing w:after="0" w:line="449" w:lineRule="auto"/>
        <w:rPr>
          <w:sz w:val="20"/>
          <w:szCs w:val="20"/>
          <w:color w:val="auto"/>
        </w:rPr>
      </w:pPr>
      <w:r>
        <w:rPr>
          <w:rFonts w:ascii="Arial" w:cs="Arial" w:eastAsia="Arial" w:hAnsi="Arial"/>
          <w:sz w:val="18"/>
          <w:szCs w:val="18"/>
          <w:color w:val="auto"/>
        </w:rPr>
        <w:t xml:space="preserve">The following table contains information regarding our purchases of our common stock during the quarter. </w:t>
      </w:r>
      <w:r>
        <w:rPr>
          <w:rFonts w:ascii="Arial" w:cs="Arial" w:eastAsia="Arial" w:hAnsi="Arial"/>
          <w:sz w:val="18"/>
          <w:szCs w:val="18"/>
          <w:b w:val="1"/>
          <w:bCs w:val="1"/>
          <w:color w:val="auto"/>
        </w:rPr>
        <w:t>ISSUER PURCHASES OF EQUITY SECURITIES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jc w:val="center"/>
              <w:ind w:right="270"/>
              <w:spacing w:after="0"/>
              <w:rPr>
                <w:sz w:val="20"/>
                <w:szCs w:val="20"/>
                <w:color w:val="auto"/>
              </w:rPr>
            </w:pPr>
            <w:r>
              <w:rPr>
                <w:rFonts w:ascii="Arial" w:cs="Arial" w:eastAsia="Arial" w:hAnsi="Arial"/>
                <w:sz w:val="18"/>
                <w:szCs w:val="18"/>
                <w:b w:val="1"/>
                <w:bCs w:val="1"/>
                <w:color w:val="auto"/>
                <w:w w:val="93"/>
              </w:rPr>
              <w:t>Total Number</w:t>
            </w:r>
          </w:p>
        </w:tc>
        <w:tc>
          <w:tcPr>
            <w:tcW w:w="184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3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of Shares</w:t>
            </w:r>
          </w:p>
        </w:tc>
        <w:tc>
          <w:tcPr>
            <w:tcW w:w="184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3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jc w:val="center"/>
              <w:ind w:right="270"/>
              <w:spacing w:after="0"/>
              <w:rPr>
                <w:sz w:val="20"/>
                <w:szCs w:val="20"/>
                <w:color w:val="auto"/>
              </w:rPr>
            </w:pPr>
            <w:r>
              <w:rPr>
                <w:rFonts w:ascii="Arial" w:cs="Arial" w:eastAsia="Arial" w:hAnsi="Arial"/>
                <w:sz w:val="18"/>
                <w:szCs w:val="18"/>
                <w:b w:val="1"/>
                <w:bCs w:val="1"/>
                <w:color w:val="auto"/>
                <w:w w:val="85"/>
              </w:rPr>
              <w:t>Purchased as</w:t>
            </w:r>
          </w:p>
        </w:tc>
        <w:tc>
          <w:tcPr>
            <w:tcW w:w="1840" w:type="dxa"/>
            <w:vAlign w:val="bottom"/>
          </w:tcPr>
          <w:p>
            <w:pPr>
              <w:jc w:val="center"/>
              <w:ind w:right="290"/>
              <w:spacing w:after="0"/>
              <w:rPr>
                <w:sz w:val="20"/>
                <w:szCs w:val="20"/>
                <w:color w:val="auto"/>
              </w:rPr>
            </w:pPr>
            <w:r>
              <w:rPr>
                <w:rFonts w:ascii="Arial" w:cs="Arial" w:eastAsia="Arial" w:hAnsi="Arial"/>
                <w:sz w:val="18"/>
                <w:szCs w:val="18"/>
                <w:b w:val="1"/>
                <w:bCs w:val="1"/>
                <w:color w:val="auto"/>
                <w:w w:val="87"/>
              </w:rPr>
              <w:t>Shares that</w:t>
            </w:r>
          </w:p>
        </w:tc>
      </w:tr>
      <w:tr>
        <w:trPr>
          <w:trHeight w:val="216"/>
        </w:trPr>
        <w:tc>
          <w:tcPr>
            <w:tcW w:w="3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jc w:val="center"/>
              <w:ind w:right="290"/>
              <w:spacing w:after="0"/>
              <w:rPr>
                <w:sz w:val="20"/>
                <w:szCs w:val="20"/>
                <w:color w:val="auto"/>
              </w:rPr>
            </w:pPr>
            <w:r>
              <w:rPr>
                <w:rFonts w:ascii="Arial" w:cs="Arial" w:eastAsia="Arial" w:hAnsi="Arial"/>
                <w:sz w:val="18"/>
                <w:szCs w:val="18"/>
                <w:b w:val="1"/>
                <w:bCs w:val="1"/>
                <w:color w:val="auto"/>
                <w:w w:val="94"/>
              </w:rPr>
              <w:t>Part of</w:t>
            </w:r>
          </w:p>
        </w:tc>
        <w:tc>
          <w:tcPr>
            <w:tcW w:w="184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3080" w:type="dxa"/>
            <w:vAlign w:val="bottom"/>
          </w:tcPr>
          <w:p>
            <w:pPr>
              <w:spacing w:after="0"/>
              <w:rPr>
                <w:sz w:val="18"/>
                <w:szCs w:val="18"/>
                <w:color w:val="auto"/>
              </w:rPr>
            </w:pPr>
          </w:p>
        </w:tc>
        <w:tc>
          <w:tcPr>
            <w:tcW w:w="1340" w:type="dxa"/>
            <w:vAlign w:val="bottom"/>
          </w:tcPr>
          <w:p>
            <w:pPr>
              <w:jc w:val="center"/>
              <w:ind w:left="190"/>
              <w:spacing w:after="0"/>
              <w:rPr>
                <w:sz w:val="20"/>
                <w:szCs w:val="20"/>
                <w:color w:val="auto"/>
              </w:rPr>
            </w:pPr>
            <w:r>
              <w:rPr>
                <w:rFonts w:ascii="Arial" w:cs="Arial" w:eastAsia="Arial" w:hAnsi="Arial"/>
                <w:sz w:val="18"/>
                <w:szCs w:val="18"/>
                <w:b w:val="1"/>
                <w:bCs w:val="1"/>
                <w:color w:val="auto"/>
                <w:w w:val="88"/>
              </w:rPr>
              <w:t>Total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40" w:type="dxa"/>
            <w:vAlign w:val="bottom"/>
          </w:tcPr>
          <w:p>
            <w:pPr>
              <w:jc w:val="center"/>
              <w:ind w:right="270"/>
              <w:spacing w:after="0"/>
              <w:rPr>
                <w:sz w:val="20"/>
                <w:szCs w:val="20"/>
                <w:color w:val="auto"/>
              </w:rPr>
            </w:pPr>
            <w:r>
              <w:rPr>
                <w:rFonts w:ascii="Arial" w:cs="Arial" w:eastAsia="Arial" w:hAnsi="Arial"/>
                <w:sz w:val="18"/>
                <w:szCs w:val="18"/>
                <w:b w:val="1"/>
                <w:bCs w:val="1"/>
                <w:color w:val="auto"/>
                <w:w w:val="92"/>
              </w:rPr>
              <w:t>Publicly</w:t>
            </w:r>
          </w:p>
        </w:tc>
        <w:tc>
          <w:tcPr>
            <w:tcW w:w="184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3080" w:type="dxa"/>
            <w:vAlign w:val="bottom"/>
          </w:tcPr>
          <w:p>
            <w:pPr>
              <w:spacing w:after="0"/>
              <w:rPr>
                <w:sz w:val="18"/>
                <w:szCs w:val="18"/>
                <w:color w:val="auto"/>
              </w:rPr>
            </w:pPr>
          </w:p>
        </w:tc>
        <w:tc>
          <w:tcPr>
            <w:tcW w:w="134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Number of</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Average</w:t>
            </w:r>
          </w:p>
        </w:tc>
        <w:tc>
          <w:tcPr>
            <w:tcW w:w="1640" w:type="dxa"/>
            <w:vAlign w:val="bottom"/>
          </w:tcPr>
          <w:p>
            <w:pPr>
              <w:jc w:val="center"/>
              <w:ind w:right="270"/>
              <w:spacing w:after="0"/>
              <w:rPr>
                <w:sz w:val="20"/>
                <w:szCs w:val="20"/>
                <w:color w:val="auto"/>
              </w:rPr>
            </w:pPr>
            <w:r>
              <w:rPr>
                <w:rFonts w:ascii="Arial" w:cs="Arial" w:eastAsia="Arial" w:hAnsi="Arial"/>
                <w:sz w:val="18"/>
                <w:szCs w:val="18"/>
                <w:b w:val="1"/>
                <w:bCs w:val="1"/>
                <w:color w:val="auto"/>
                <w:w w:val="88"/>
              </w:rPr>
              <w:t>Announced</w:t>
            </w:r>
          </w:p>
        </w:tc>
        <w:tc>
          <w:tcPr>
            <w:tcW w:w="184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3080" w:type="dxa"/>
            <w:vAlign w:val="bottom"/>
          </w:tcPr>
          <w:p>
            <w:pPr>
              <w:spacing w:after="0"/>
              <w:rPr>
                <w:sz w:val="18"/>
                <w:szCs w:val="18"/>
                <w:color w:val="auto"/>
              </w:rPr>
            </w:pPr>
          </w:p>
        </w:tc>
        <w:tc>
          <w:tcPr>
            <w:tcW w:w="1340" w:type="dxa"/>
            <w:vAlign w:val="bottom"/>
          </w:tcPr>
          <w:p>
            <w:pPr>
              <w:jc w:val="center"/>
              <w:ind w:left="21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Price Paid</w:t>
            </w:r>
          </w:p>
        </w:tc>
        <w:tc>
          <w:tcPr>
            <w:tcW w:w="16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Plans or</w:t>
            </w:r>
          </w:p>
        </w:tc>
        <w:tc>
          <w:tcPr>
            <w:tcW w:w="1840" w:type="dxa"/>
            <w:vAlign w:val="bottom"/>
          </w:tcPr>
          <w:p>
            <w:pPr>
              <w:jc w:val="center"/>
              <w:ind w:right="290"/>
              <w:spacing w:after="0"/>
              <w:rPr>
                <w:sz w:val="20"/>
                <w:szCs w:val="20"/>
                <w:color w:val="auto"/>
              </w:rPr>
            </w:pPr>
            <w:r>
              <w:rPr>
                <w:rFonts w:ascii="Arial" w:cs="Arial" w:eastAsia="Arial" w:hAnsi="Arial"/>
                <w:sz w:val="18"/>
                <w:szCs w:val="18"/>
                <w:b w:val="1"/>
                <w:bCs w:val="1"/>
                <w:color w:val="auto"/>
                <w:w w:val="87"/>
              </w:rPr>
              <w:t>Plans or</w:t>
            </w:r>
          </w:p>
        </w:tc>
      </w:tr>
      <w:tr>
        <w:trPr>
          <w:trHeight w:val="261"/>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13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9"/>
              </w:rPr>
              <w:t>Purchased</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1640" w:type="dxa"/>
            <w:vAlign w:val="bottom"/>
            <w:tcBorders>
              <w:bottom w:val="single" w:sz="8" w:color="auto"/>
            </w:tcBorders>
          </w:tcPr>
          <w:p>
            <w:pPr>
              <w:jc w:val="center"/>
              <w:ind w:right="290"/>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1840" w:type="dxa"/>
            <w:vAlign w:val="bottom"/>
            <w:tcBorders>
              <w:bottom w:val="single" w:sz="8" w:color="auto"/>
            </w:tcBorders>
          </w:tcPr>
          <w:p>
            <w:pPr>
              <w:jc w:val="center"/>
              <w:ind w:right="290"/>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2013 through April 30, 2013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11,295,745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35.11</w:t>
            </w:r>
          </w:p>
        </w:tc>
        <w:tc>
          <w:tcPr>
            <w:tcW w:w="1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11,295,745</w:t>
            </w:r>
          </w:p>
        </w:tc>
        <w:tc>
          <w:tcPr>
            <w:tcW w:w="18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$7.78 billion</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May 1, 2013 through May 31, 2013</w:t>
            </w:r>
          </w:p>
        </w:tc>
        <w:tc>
          <w:tcPr>
            <w:tcW w:w="1340" w:type="dxa"/>
            <w:vAlign w:val="bottom"/>
          </w:tcPr>
          <w:p>
            <w:pPr>
              <w:jc w:val="right"/>
              <w:spacing w:after="0"/>
              <w:rPr>
                <w:sz w:val="20"/>
                <w:szCs w:val="20"/>
                <w:color w:val="auto"/>
              </w:rPr>
            </w:pPr>
            <w:r>
              <w:rPr>
                <w:rFonts w:ascii="Arial" w:cs="Arial" w:eastAsia="Arial" w:hAnsi="Arial"/>
                <w:sz w:val="18"/>
                <w:szCs w:val="18"/>
                <w:color w:val="auto"/>
              </w:rPr>
              <w:t>8,245,010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36.80</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8,245,010</w:t>
            </w:r>
          </w:p>
        </w:tc>
        <w:tc>
          <w:tcPr>
            <w:tcW w:w="1840" w:type="dxa"/>
            <w:vAlign w:val="bottom"/>
          </w:tcPr>
          <w:p>
            <w:pPr>
              <w:ind w:left="580"/>
              <w:spacing w:after="0"/>
              <w:rPr>
                <w:sz w:val="20"/>
                <w:szCs w:val="20"/>
                <w:color w:val="auto"/>
              </w:rPr>
            </w:pPr>
            <w:r>
              <w:rPr>
                <w:rFonts w:ascii="Arial" w:cs="Arial" w:eastAsia="Arial" w:hAnsi="Arial"/>
                <w:sz w:val="18"/>
                <w:szCs w:val="18"/>
                <w:color w:val="auto"/>
              </w:rPr>
              <w:t>$7.47 billion</w:t>
            </w:r>
          </w:p>
        </w:tc>
      </w:tr>
      <w:tr>
        <w:trPr>
          <w:trHeight w:val="27"/>
        </w:trPr>
        <w:tc>
          <w:tcPr>
            <w:tcW w:w="3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2013 through June 30, 2013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$7.47 billion</w:t>
            </w:r>
          </w:p>
        </w:tc>
      </w:tr>
      <w:tr>
        <w:trPr>
          <w:trHeight w:val="335"/>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19,540,755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35.82</w:t>
            </w:r>
          </w:p>
        </w:tc>
        <w:tc>
          <w:tcPr>
            <w:tcW w:w="16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 xml:space="preserve">19,540,755 </w:t>
            </w:r>
            <w:r>
              <w:rPr>
                <w:rFonts w:ascii="Arial" w:cs="Arial" w:eastAsia="Arial" w:hAnsi="Arial"/>
                <w:sz w:val="25"/>
                <w:szCs w:val="25"/>
                <w:color w:val="auto"/>
                <w:vertAlign w:val="superscript"/>
              </w:rPr>
              <w:t>(2)</w:t>
            </w:r>
          </w:p>
        </w:tc>
        <w:tc>
          <w:tcPr>
            <w:tcW w:w="184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 xml:space="preserve">$7.47 billion </w:t>
            </w:r>
            <w:r>
              <w:rPr>
                <w:rFonts w:ascii="Arial" w:cs="Arial" w:eastAsia="Arial" w:hAnsi="Arial"/>
                <w:sz w:val="25"/>
                <w:szCs w:val="25"/>
                <w:color w:val="auto"/>
                <w:vertAlign w:val="superscript"/>
              </w:rPr>
              <w:t>(3)</w:t>
            </w:r>
          </w:p>
        </w:tc>
      </w:tr>
    </w:tbl>
    <w:p>
      <w:pPr>
        <w:spacing w:after="0" w:line="130" w:lineRule="exact"/>
        <w:rPr>
          <w:sz w:val="20"/>
          <w:szCs w:val="20"/>
          <w:color w:val="auto"/>
        </w:rPr>
      </w:pPr>
    </w:p>
    <w:p>
      <w:pPr>
        <w:ind w:left="340" w:hanging="318"/>
        <w:spacing w:after="0" w:line="226"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made under the authorization from our board of directors to purchase up to $7.5 billion of additional shares of TI common stock announced on September 16, 2010. On February 21, 2013, our Board of Directors authorized the purchase of an additional $5.0 billion of our common stock. No expiration date has been specified for these authorizations.</w:t>
      </w:r>
    </w:p>
    <w:p>
      <w:pPr>
        <w:spacing w:after="0" w:line="2" w:lineRule="exact"/>
        <w:rPr>
          <w:rFonts w:ascii="Arial" w:cs="Arial" w:eastAsia="Arial" w:hAnsi="Arial"/>
          <w:sz w:val="25"/>
          <w:szCs w:val="25"/>
          <w:color w:val="auto"/>
          <w:vertAlign w:val="superscript"/>
        </w:rPr>
      </w:pPr>
    </w:p>
    <w:p>
      <w:pPr>
        <w:ind w:left="340" w:hanging="318"/>
        <w:spacing w:after="0" w:line="221"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All purchases during the quarter were open-market purchases. The table does not include the purchase of 607,508 shares pursuant to orders placed in the first quarter of 2013, for which trades were settled in the first two business days of April 2013. The purchase of these shares is reflected in this item of our report on Form 10-Q for the period ended March 31, 2013.</w:t>
      </w:r>
    </w:p>
    <w:p>
      <w:pPr>
        <w:spacing w:after="0" w:line="2" w:lineRule="exact"/>
        <w:rPr>
          <w:rFonts w:ascii="Arial" w:cs="Arial" w:eastAsia="Arial" w:hAnsi="Arial"/>
          <w:sz w:val="25"/>
          <w:szCs w:val="25"/>
          <w:color w:val="auto"/>
          <w:vertAlign w:val="superscript"/>
        </w:rPr>
      </w:pPr>
    </w:p>
    <w:p>
      <w:pPr>
        <w:ind w:left="340" w:right="120" w:hanging="318"/>
        <w:spacing w:after="0" w:line="209"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As of June 30, 2013, this amount consisted of the remaining portion of the $7.5 billion authorized in September 2010 and the $5.0 billion authorized in February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364"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Exhibits.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Designation of Exhibits in</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Description of Exhibit</w:t>
            </w:r>
          </w:p>
        </w:tc>
      </w:tr>
      <w:tr>
        <w:trPr>
          <w:trHeight w:val="241"/>
        </w:trPr>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This Report</w:t>
            </w:r>
          </w:p>
        </w:tc>
        <w:tc>
          <w:tcPr>
            <w:tcW w:w="9200" w:type="dxa"/>
            <w:vAlign w:val="bottom"/>
            <w:tcBorders>
              <w:bottom w:val="single" w:sz="8" w:color="CCEEFF"/>
            </w:tcBorders>
            <w:shd w:val="clear" w:color="auto" w:fill="CCEEFF"/>
          </w:tcPr>
          <w:p>
            <w:pPr>
              <w:spacing w:after="0"/>
              <w:rPr>
                <w:sz w:val="20"/>
                <w:szCs w:val="20"/>
                <w:color w:val="auto"/>
              </w:rPr>
            </w:pP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87"/>
              </w:rPr>
              <w:t>3(a)</w:t>
            </w:r>
          </w:p>
        </w:tc>
        <w:tc>
          <w:tcPr>
            <w:tcW w:w="9200" w:type="dxa"/>
            <w:vAlign w:val="bottom"/>
          </w:tcPr>
          <w:p>
            <w:pPr>
              <w:ind w:left="60"/>
              <w:spacing w:after="0"/>
              <w:rPr>
                <w:sz w:val="20"/>
                <w:szCs w:val="20"/>
                <w:color w:val="auto"/>
              </w:rPr>
            </w:pPr>
            <w:r>
              <w:rPr>
                <w:rFonts w:ascii="Arial" w:cs="Arial" w:eastAsia="Arial" w:hAnsi="Arial"/>
                <w:sz w:val="18"/>
                <w:szCs w:val="18"/>
                <w:color w:val="auto"/>
                <w:w w:val="93"/>
              </w:rPr>
              <w:t>Restated Certificate of Incorporation of the Registrant, dated April 18, 1985 (incorporated by reference to Exhibit 3(a) of the</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Registrant's Annual Report on Form 10-K for the year ended December 31, 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3(b)</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Certificate of Amendment to Restated Certificate of Incorporation of the Registrant, dated April 16, 1987 (incorporated by</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reference to Exhibit 3(b)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0"/>
              </w:rPr>
              <w:t>3(c)</w:t>
            </w:r>
          </w:p>
        </w:tc>
        <w:tc>
          <w:tcPr>
            <w:tcW w:w="9200" w:type="dxa"/>
            <w:vAlign w:val="bottom"/>
          </w:tcPr>
          <w:p>
            <w:pPr>
              <w:ind w:left="60"/>
              <w:spacing w:after="0"/>
              <w:rPr>
                <w:sz w:val="20"/>
                <w:szCs w:val="20"/>
                <w:color w:val="auto"/>
              </w:rPr>
            </w:pPr>
            <w:r>
              <w:rPr>
                <w:rFonts w:ascii="Arial" w:cs="Arial" w:eastAsia="Arial" w:hAnsi="Arial"/>
                <w:sz w:val="18"/>
                <w:szCs w:val="18"/>
                <w:color w:val="auto"/>
                <w:w w:val="95"/>
              </w:rPr>
              <w:t>Certificate of Amendment to Restated Certificate of Incorporation of the Registrant, dated April 21, 1988 (incorporated by</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reference to Exhibit 3(c) of the Registrant's Annual Report on Form 10-K for the year ended December 31, 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3(d)</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5"/>
              </w:rPr>
              <w:t>Certificate of Amendment to Restated Certificate of Incorporation of the Registrant, dated April 18, 1996 (incorporated by</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reference to Exhibit 3(d)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87"/>
              </w:rPr>
              <w:t>3(e)</w:t>
            </w:r>
          </w:p>
        </w:tc>
        <w:tc>
          <w:tcPr>
            <w:tcW w:w="9200" w:type="dxa"/>
            <w:vAlign w:val="bottom"/>
          </w:tcPr>
          <w:p>
            <w:pPr>
              <w:ind w:left="60"/>
              <w:spacing w:after="0"/>
              <w:rPr>
                <w:sz w:val="20"/>
                <w:szCs w:val="20"/>
                <w:color w:val="auto"/>
              </w:rPr>
            </w:pPr>
            <w:r>
              <w:rPr>
                <w:rFonts w:ascii="Arial" w:cs="Arial" w:eastAsia="Arial" w:hAnsi="Arial"/>
                <w:sz w:val="18"/>
                <w:szCs w:val="18"/>
                <w:color w:val="auto"/>
                <w:w w:val="95"/>
              </w:rPr>
              <w:t>Certificate of Ownership merging Texas Instruments Automation Controls, Inc. into the Registrant, dated March 28, 1988</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3(e)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3(f)</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Certificate of Elimination of Designations of Preferred Stock of the Registrant, dated March 18, 1994 (incorporated by</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reference to Exhibit 3(f)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3"/>
              </w:rPr>
              <w:t>3(g)</w:t>
            </w:r>
          </w:p>
        </w:tc>
        <w:tc>
          <w:tcPr>
            <w:tcW w:w="9200" w:type="dxa"/>
            <w:vAlign w:val="bottom"/>
          </w:tcPr>
          <w:p>
            <w:pPr>
              <w:ind w:left="60"/>
              <w:spacing w:after="0"/>
              <w:rPr>
                <w:sz w:val="20"/>
                <w:szCs w:val="20"/>
                <w:color w:val="auto"/>
              </w:rPr>
            </w:pPr>
            <w:r>
              <w:rPr>
                <w:rFonts w:ascii="Arial" w:cs="Arial" w:eastAsia="Arial" w:hAnsi="Arial"/>
                <w:sz w:val="18"/>
                <w:szCs w:val="18"/>
                <w:color w:val="auto"/>
              </w:rPr>
              <w:t>Certificate of Ownership and Merger merging Tiburon Systems, Inc. into the Registrant, dated November 2, 1995</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3(g)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3(h)</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Certificate of Ownership and Merger merging Tartan, Inc. into the Registrant, dated June 21, 1995 (incorporated by reference</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 Exhibit 3(h)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9"/>
              </w:rPr>
              <w:t>3(i)</w:t>
            </w:r>
          </w:p>
        </w:tc>
        <w:tc>
          <w:tcPr>
            <w:tcW w:w="9200" w:type="dxa"/>
            <w:vAlign w:val="bottom"/>
          </w:tcPr>
          <w:p>
            <w:pPr>
              <w:ind w:left="60"/>
              <w:spacing w:after="0"/>
              <w:rPr>
                <w:sz w:val="20"/>
                <w:szCs w:val="20"/>
                <w:color w:val="auto"/>
              </w:rPr>
            </w:pPr>
            <w:r>
              <w:rPr>
                <w:rFonts w:ascii="Arial" w:cs="Arial" w:eastAsia="Arial" w:hAnsi="Arial"/>
                <w:sz w:val="18"/>
                <w:szCs w:val="18"/>
                <w:color w:val="auto"/>
                <w:w w:val="99"/>
              </w:rPr>
              <w:t>Certificate of Designation relating to the Registrant's Participating Cumulative Preferred Stock, dated June 23, 1998</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3"/>
              </w:rPr>
              <w:t>(incorporated by reference to Exhibit 3(i)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3(j)</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Certificate of Elimination of Designation of Preferred Stock of the Registrant, dated June 18, 1998 (incorporated by reference</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 Exhibit 3(j)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6"/>
              </w:rPr>
              <w:t>3(k)</w:t>
            </w:r>
          </w:p>
        </w:tc>
        <w:tc>
          <w:tcPr>
            <w:tcW w:w="9200" w:type="dxa"/>
            <w:vAlign w:val="bottom"/>
          </w:tcPr>
          <w:p>
            <w:pPr>
              <w:ind w:left="60"/>
              <w:spacing w:after="0"/>
              <w:rPr>
                <w:sz w:val="20"/>
                <w:szCs w:val="20"/>
                <w:color w:val="auto"/>
              </w:rPr>
            </w:pPr>
            <w:r>
              <w:rPr>
                <w:rFonts w:ascii="Arial" w:cs="Arial" w:eastAsia="Arial" w:hAnsi="Arial"/>
                <w:sz w:val="18"/>
                <w:szCs w:val="18"/>
                <w:color w:val="auto"/>
                <w:w w:val="93"/>
              </w:rPr>
              <w:t>Certificate of Ownership and Merger merging Intersect Technologies, Inc. with and into the Registrant, dated July 15, 1999</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3"/>
              </w:rPr>
              <w:t>(incorporated by reference to Exhibit 3(k)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3(l)</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Certificate of Ownership and Merger merging Soft Warehouse, Inc. with and into the Registrant, dated September 23, 1999</w:t>
            </w:r>
          </w:p>
        </w:tc>
      </w:tr>
      <w:tr>
        <w:trPr>
          <w:trHeight w:val="216"/>
        </w:trPr>
        <w:tc>
          <w:tcPr>
            <w:tcW w:w="2120" w:type="dxa"/>
            <w:vAlign w:val="bottom"/>
            <w:shd w:val="clear" w:color="auto" w:fill="CCEEFF"/>
          </w:tcPr>
          <w:p>
            <w:pPr>
              <w:spacing w:after="0"/>
              <w:rPr>
                <w:sz w:val="18"/>
                <w:szCs w:val="18"/>
                <w:color w:val="auto"/>
              </w:rPr>
            </w:pP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(incorporated by reference to Exhibit 3(l) of the Registrant's Annual Report on Form 10-K for the year ended December 31,</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7"/>
              </w:rPr>
              <w:t>3(m)</w:t>
            </w:r>
          </w:p>
        </w:tc>
        <w:tc>
          <w:tcPr>
            <w:tcW w:w="9200" w:type="dxa"/>
            <w:vAlign w:val="bottom"/>
          </w:tcPr>
          <w:p>
            <w:pPr>
              <w:ind w:left="60"/>
              <w:spacing w:after="0"/>
              <w:rPr>
                <w:sz w:val="20"/>
                <w:szCs w:val="20"/>
                <w:color w:val="auto"/>
              </w:rPr>
            </w:pPr>
            <w:r>
              <w:rPr>
                <w:rFonts w:ascii="Arial" w:cs="Arial" w:eastAsia="Arial" w:hAnsi="Arial"/>
                <w:sz w:val="18"/>
                <w:szCs w:val="18"/>
                <w:color w:val="auto"/>
                <w:w w:val="93"/>
              </w:rPr>
              <w:t>Certificate of Ownership and Merger merging Silicon Systems, Inc. with and into the Registrant, dated December 17, 1999</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3(m)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3(n)</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Certificate of Amendment to Restated Certificate of Incorporation, dated April 20, 2000 (incorporated by reference to Exhibit</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3(n) of the Registrant's Annual Report on Form 10-K for the year 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3"/>
              </w:rPr>
              <w:t>3(o)</w:t>
            </w:r>
          </w:p>
        </w:tc>
        <w:tc>
          <w:tcPr>
            <w:tcW w:w="9200" w:type="dxa"/>
            <w:vAlign w:val="bottom"/>
          </w:tcPr>
          <w:p>
            <w:pPr>
              <w:ind w:left="60"/>
              <w:spacing w:after="0"/>
              <w:rPr>
                <w:sz w:val="20"/>
                <w:szCs w:val="20"/>
                <w:color w:val="auto"/>
              </w:rPr>
            </w:pPr>
            <w:r>
              <w:rPr>
                <w:rFonts w:ascii="Arial" w:cs="Arial" w:eastAsia="Arial" w:hAnsi="Arial"/>
                <w:sz w:val="18"/>
                <w:szCs w:val="18"/>
                <w:color w:val="auto"/>
              </w:rPr>
              <w:t>Certificate of Ownership and Merger merging Power Trends, Inc. with and into the Registrant, dated May 31, 2001</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2"/>
              </w:rPr>
              <w:t>(incorporated by reference to Exhibit 3(o) of the Registrant's Annual Report on Form 10-K for the year ended December 31,</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3(p)</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Certificate of Ownership and Merger merging Amati Communications Corporation with and into the Registrant, dated</w:t>
            </w:r>
          </w:p>
        </w:tc>
      </w:tr>
      <w:tr>
        <w:trPr>
          <w:trHeight w:val="216"/>
        </w:trPr>
        <w:tc>
          <w:tcPr>
            <w:tcW w:w="2120" w:type="dxa"/>
            <w:vAlign w:val="bottom"/>
            <w:shd w:val="clear" w:color="auto" w:fill="CCEEFF"/>
          </w:tcPr>
          <w:p>
            <w:pPr>
              <w:spacing w:after="0"/>
              <w:rPr>
                <w:sz w:val="18"/>
                <w:szCs w:val="18"/>
                <w:color w:val="auto"/>
              </w:rPr>
            </w:pP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September 28, 2001 (incorporated by reference to Exhibit 3(p) of the Registrant's Annual Report on Form 10-K for the year</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ended December 31, 2011).</w:t>
            </w: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93"/>
              </w:rPr>
              <w:t>3(q)</w:t>
            </w:r>
          </w:p>
        </w:tc>
        <w:tc>
          <w:tcPr>
            <w:tcW w:w="9200" w:type="dxa"/>
            <w:vAlign w:val="bottom"/>
          </w:tcPr>
          <w:p>
            <w:pPr>
              <w:ind w:left="60"/>
              <w:spacing w:after="0"/>
              <w:rPr>
                <w:sz w:val="20"/>
                <w:szCs w:val="20"/>
                <w:color w:val="auto"/>
              </w:rPr>
            </w:pPr>
            <w:r>
              <w:rPr>
                <w:rFonts w:ascii="Arial" w:cs="Arial" w:eastAsia="Arial" w:hAnsi="Arial"/>
                <w:sz w:val="18"/>
                <w:szCs w:val="18"/>
                <w:color w:val="auto"/>
                <w:w w:val="92"/>
              </w:rPr>
              <w:t>Certificate of Ownership and Merger merging Texas Instruments San Diego Incorporated with and into the Registrant, dated</w:t>
            </w:r>
          </w:p>
        </w:tc>
      </w:tr>
      <w:tr>
        <w:trPr>
          <w:trHeight w:val="216"/>
        </w:trPr>
        <w:tc>
          <w:tcPr>
            <w:tcW w:w="2120" w:type="dxa"/>
            <w:vAlign w:val="bottom"/>
          </w:tcPr>
          <w:p>
            <w:pPr>
              <w:spacing w:after="0"/>
              <w:rPr>
                <w:sz w:val="18"/>
                <w:szCs w:val="18"/>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w w:val="96"/>
              </w:rPr>
              <w:t>August 27, 2002 (incorporated by reference to Exhibit 3(q) of the Registrant's Annual Report on Form 10-K for the year</w:t>
            </w:r>
          </w:p>
        </w:tc>
      </w:tr>
      <w:tr>
        <w:trPr>
          <w:trHeight w:val="230"/>
        </w:trPr>
        <w:tc>
          <w:tcPr>
            <w:tcW w:w="2120" w:type="dxa"/>
            <w:vAlign w:val="bottom"/>
          </w:tcPr>
          <w:p>
            <w:pPr>
              <w:spacing w:after="0"/>
              <w:rPr>
                <w:sz w:val="20"/>
                <w:szCs w:val="20"/>
                <w:color w:val="auto"/>
              </w:rPr>
            </w:pPr>
          </w:p>
        </w:tc>
        <w:tc>
          <w:tcPr>
            <w:tcW w:w="9200" w:type="dxa"/>
            <w:vAlign w:val="bottom"/>
          </w:tcPr>
          <w:p>
            <w:pPr>
              <w:ind w:left="60"/>
              <w:spacing w:after="0"/>
              <w:rPr>
                <w:sz w:val="20"/>
                <w:szCs w:val="20"/>
                <w:color w:val="auto"/>
              </w:rPr>
            </w:pPr>
            <w:r>
              <w:rPr>
                <w:rFonts w:ascii="Arial" w:cs="Arial" w:eastAsia="Arial" w:hAnsi="Arial"/>
                <w:sz w:val="18"/>
                <w:szCs w:val="18"/>
                <w:color w:val="auto"/>
              </w:rPr>
              <w:t>ended December 31, 2011).</w:t>
            </w:r>
          </w:p>
        </w:tc>
      </w:tr>
      <w:tr>
        <w:trPr>
          <w:trHeight w:val="27"/>
        </w:trPr>
        <w:tc>
          <w:tcPr>
            <w:tcW w:w="2120" w:type="dxa"/>
            <w:vAlign w:val="bottom"/>
          </w:tcPr>
          <w:p>
            <w:pPr>
              <w:spacing w:after="0"/>
              <w:rPr>
                <w:sz w:val="2"/>
                <w:szCs w:val="2"/>
                <w:color w:val="auto"/>
              </w:rPr>
            </w:pPr>
          </w:p>
        </w:tc>
        <w:tc>
          <w:tcPr>
            <w:tcW w:w="9200" w:type="dxa"/>
            <w:vAlign w:val="bottom"/>
          </w:tcPr>
          <w:p>
            <w:pPr>
              <w:spacing w:after="0"/>
              <w:rPr>
                <w:sz w:val="2"/>
                <w:szCs w:val="2"/>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3(r)</w:t>
            </w: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Certificate of Ownership and Merger merging Texas Instruments Burlington Incorporated with and into the Registrant, dated</w:t>
            </w:r>
          </w:p>
        </w:tc>
      </w:tr>
      <w:tr>
        <w:trPr>
          <w:trHeight w:val="216"/>
        </w:trPr>
        <w:tc>
          <w:tcPr>
            <w:tcW w:w="2120" w:type="dxa"/>
            <w:vAlign w:val="bottom"/>
            <w:shd w:val="clear" w:color="auto" w:fill="CCEEFF"/>
          </w:tcPr>
          <w:p>
            <w:pPr>
              <w:spacing w:after="0"/>
              <w:rPr>
                <w:sz w:val="18"/>
                <w:szCs w:val="18"/>
                <w:color w:val="auto"/>
              </w:rPr>
            </w:pPr>
          </w:p>
        </w:tc>
        <w:tc>
          <w:tcPr>
            <w:tcW w:w="92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December 31, 2003 (incorporated by reference to Exhibit 3(r) of the Registrant's Annual Report on Form 10-K for the year</w:t>
            </w:r>
          </w:p>
        </w:tc>
      </w:tr>
      <w:tr>
        <w:trPr>
          <w:trHeight w:val="237"/>
        </w:trPr>
        <w:tc>
          <w:tcPr>
            <w:tcW w:w="212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ended December 31, 2011).</w:t>
            </w:r>
          </w:p>
        </w:tc>
      </w:tr>
      <w:tr>
        <w:trPr>
          <w:trHeight w:val="459"/>
        </w:trPr>
        <w:tc>
          <w:tcPr>
            <w:tcW w:w="2120" w:type="dxa"/>
            <w:vAlign w:val="bottom"/>
          </w:tcPr>
          <w:p>
            <w:pPr>
              <w:spacing w:after="0"/>
              <w:rPr>
                <w:sz w:val="24"/>
                <w:szCs w:val="24"/>
                <w:color w:val="auto"/>
              </w:rPr>
            </w:pPr>
          </w:p>
        </w:tc>
        <w:tc>
          <w:tcPr>
            <w:tcW w:w="9200" w:type="dxa"/>
            <w:vAlign w:val="bottom"/>
          </w:tcPr>
          <w:p>
            <w:pPr>
              <w:ind w:left="344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360"/>
          </w:cols>
          <w:pgMar w:left="260" w:top="364" w:right="27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jc w:val="center"/>
              <w:ind w:left="310"/>
              <w:spacing w:after="0"/>
              <w:rPr>
                <w:sz w:val="20"/>
                <w:szCs w:val="20"/>
                <w:color w:val="auto"/>
              </w:rPr>
            </w:pPr>
            <w:r>
              <w:rPr>
                <w:rFonts w:ascii="Arial" w:cs="Arial" w:eastAsia="Arial" w:hAnsi="Arial"/>
                <w:sz w:val="18"/>
                <w:szCs w:val="18"/>
                <w:color w:val="auto"/>
                <w:w w:val="90"/>
              </w:rPr>
              <w:t>3(s)</w:t>
            </w:r>
          </w:p>
        </w:tc>
        <w:tc>
          <w:tcPr>
            <w:tcW w:w="9560" w:type="dxa"/>
            <w:vAlign w:val="bottom"/>
          </w:tcPr>
          <w:p>
            <w:pPr>
              <w:ind w:left="420"/>
              <w:spacing w:after="0"/>
              <w:rPr>
                <w:sz w:val="20"/>
                <w:szCs w:val="20"/>
                <w:color w:val="auto"/>
              </w:rPr>
            </w:pPr>
            <w:r>
              <w:rPr>
                <w:rFonts w:ascii="Arial" w:cs="Arial" w:eastAsia="Arial" w:hAnsi="Arial"/>
                <w:sz w:val="18"/>
                <w:szCs w:val="18"/>
                <w:color w:val="auto"/>
                <w:w w:val="93"/>
              </w:rPr>
              <w:t>Certificate of Ownership and Merger merging Texas Instruments Automotive Sensors and Controls San Jose Inc. with and</w:t>
            </w:r>
          </w:p>
        </w:tc>
      </w:tr>
      <w:tr>
        <w:trPr>
          <w:trHeight w:val="216"/>
        </w:trPr>
        <w:tc>
          <w:tcPr>
            <w:tcW w:w="176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w w:val="93"/>
              </w:rPr>
              <w:t>into the Registrant, dated October 31, 2004 (incorporated by reference to Exhibit 3(s) of the Registrant's Annual Report on</w:t>
            </w:r>
          </w:p>
        </w:tc>
      </w:tr>
      <w:tr>
        <w:trPr>
          <w:trHeight w:val="230"/>
        </w:trPr>
        <w:tc>
          <w:tcPr>
            <w:tcW w:w="1760" w:type="dxa"/>
            <w:vAlign w:val="bottom"/>
          </w:tcPr>
          <w:p>
            <w:pPr>
              <w:spacing w:after="0"/>
              <w:rPr>
                <w:sz w:val="20"/>
                <w:szCs w:val="20"/>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Form 10-K for the year ended December 31, 2011).</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29"/>
        </w:trPr>
        <w:tc>
          <w:tcPr>
            <w:tcW w:w="17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6"/>
              </w:rPr>
              <w:t>3(t)</w:t>
            </w: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Certificate of Elimination of Series B Participating Cumulative Preferred Stock (incorporated by reference to Exhibit 3 to the</w:t>
            </w:r>
          </w:p>
        </w:tc>
      </w:tr>
      <w:tr>
        <w:trPr>
          <w:trHeight w:val="237"/>
        </w:trPr>
        <w:tc>
          <w:tcPr>
            <w:tcW w:w="1760" w:type="dxa"/>
            <w:vAlign w:val="bottom"/>
            <w:tcBorders>
              <w:bottom w:val="single" w:sz="8" w:color="CCEEFF"/>
            </w:tcBorders>
            <w:shd w:val="clear" w:color="auto" w:fill="CCEEFF"/>
          </w:tcPr>
          <w:p>
            <w:pPr>
              <w:spacing w:after="0"/>
              <w:rPr>
                <w:sz w:val="20"/>
                <w:szCs w:val="20"/>
                <w:color w:val="auto"/>
              </w:rPr>
            </w:pP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Registrant's Current Report on Form 8-K filed June 23, 2008).</w:t>
            </w:r>
          </w:p>
        </w:tc>
      </w:tr>
      <w:tr>
        <w:trPr>
          <w:trHeight w:val="229"/>
        </w:trPr>
        <w:tc>
          <w:tcPr>
            <w:tcW w:w="1760" w:type="dxa"/>
            <w:vAlign w:val="bottom"/>
          </w:tcPr>
          <w:p>
            <w:pPr>
              <w:jc w:val="center"/>
              <w:ind w:left="290"/>
              <w:spacing w:after="0"/>
              <w:rPr>
                <w:sz w:val="20"/>
                <w:szCs w:val="20"/>
                <w:color w:val="auto"/>
              </w:rPr>
            </w:pPr>
            <w:r>
              <w:rPr>
                <w:rFonts w:ascii="Arial" w:cs="Arial" w:eastAsia="Arial" w:hAnsi="Arial"/>
                <w:sz w:val="18"/>
                <w:szCs w:val="18"/>
                <w:color w:val="auto"/>
                <w:w w:val="93"/>
              </w:rPr>
              <w:t>3(u)</w:t>
            </w:r>
          </w:p>
        </w:tc>
        <w:tc>
          <w:tcPr>
            <w:tcW w:w="9560" w:type="dxa"/>
            <w:vAlign w:val="bottom"/>
          </w:tcPr>
          <w:p>
            <w:pPr>
              <w:ind w:left="420"/>
              <w:spacing w:after="0"/>
              <w:rPr>
                <w:sz w:val="20"/>
                <w:szCs w:val="20"/>
                <w:color w:val="auto"/>
              </w:rPr>
            </w:pPr>
            <w:r>
              <w:rPr>
                <w:rFonts w:ascii="Arial" w:cs="Arial" w:eastAsia="Arial" w:hAnsi="Arial"/>
                <w:sz w:val="18"/>
                <w:szCs w:val="18"/>
                <w:color w:val="auto"/>
                <w:w w:val="94"/>
              </w:rPr>
              <w:t>By-Laws of the Registrant (incorporated by reference to Exhibit 3 to the Registrant's Current Report on Form 8-K filed July</w:t>
            </w:r>
          </w:p>
        </w:tc>
      </w:tr>
      <w:tr>
        <w:trPr>
          <w:trHeight w:val="230"/>
        </w:trPr>
        <w:tc>
          <w:tcPr>
            <w:tcW w:w="1760" w:type="dxa"/>
            <w:vAlign w:val="bottom"/>
          </w:tcPr>
          <w:p>
            <w:pPr>
              <w:spacing w:after="0"/>
              <w:rPr>
                <w:sz w:val="20"/>
                <w:szCs w:val="20"/>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18, 2008).</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29"/>
        </w:trPr>
        <w:tc>
          <w:tcPr>
            <w:tcW w:w="176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7"/>
              </w:rPr>
              <w:t>4.1</w:t>
            </w: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Officer's Certificate setting forth the terms of the Notes (incorporated by reference to Exhibit 4.2 of the Registrant's Report on</w:t>
            </w:r>
          </w:p>
        </w:tc>
      </w:tr>
      <w:tr>
        <w:trPr>
          <w:trHeight w:val="237"/>
        </w:trPr>
        <w:tc>
          <w:tcPr>
            <w:tcW w:w="1760" w:type="dxa"/>
            <w:vAlign w:val="bottom"/>
            <w:tcBorders>
              <w:bottom w:val="single" w:sz="8" w:color="CCEEFF"/>
            </w:tcBorders>
            <w:shd w:val="clear" w:color="auto" w:fill="CCEEFF"/>
          </w:tcPr>
          <w:p>
            <w:pPr>
              <w:spacing w:after="0"/>
              <w:rPr>
                <w:sz w:val="20"/>
                <w:szCs w:val="20"/>
                <w:color w:val="auto"/>
              </w:rPr>
            </w:pP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Form 8-K filed May 8, 2013).</w:t>
            </w:r>
          </w:p>
        </w:tc>
      </w:tr>
      <w:tr>
        <w:trPr>
          <w:trHeight w:val="243"/>
        </w:trPr>
        <w:tc>
          <w:tcPr>
            <w:tcW w:w="1760" w:type="dxa"/>
            <w:vAlign w:val="bottom"/>
          </w:tcPr>
          <w:p>
            <w:pPr>
              <w:jc w:val="center"/>
              <w:ind w:left="310"/>
              <w:spacing w:after="0"/>
              <w:rPr>
                <w:sz w:val="20"/>
                <w:szCs w:val="20"/>
                <w:color w:val="auto"/>
              </w:rPr>
            </w:pPr>
            <w:r>
              <w:rPr>
                <w:rFonts w:ascii="Arial" w:cs="Arial" w:eastAsia="Arial" w:hAnsi="Arial"/>
                <w:sz w:val="18"/>
                <w:szCs w:val="18"/>
                <w:color w:val="auto"/>
                <w:w w:val="91"/>
              </w:rPr>
              <w:t>31.1</w:t>
            </w:r>
          </w:p>
        </w:tc>
        <w:tc>
          <w:tcPr>
            <w:tcW w:w="9560" w:type="dxa"/>
            <w:vAlign w:val="bottom"/>
          </w:tcPr>
          <w:p>
            <w:pPr>
              <w:ind w:left="420"/>
              <w:spacing w:after="0"/>
              <w:rPr>
                <w:sz w:val="20"/>
                <w:szCs w:val="20"/>
                <w:color w:val="auto"/>
              </w:rPr>
            </w:pPr>
            <w:r>
              <w:rPr>
                <w:rFonts w:ascii="Arial" w:cs="Arial" w:eastAsia="Arial" w:hAnsi="Arial"/>
                <w:sz w:val="18"/>
                <w:szCs w:val="18"/>
                <w:color w:val="auto"/>
              </w:rPr>
              <w:t>Certification of Chief Executive Officer of Periodic Report Pursuant to Rule 13a-15(e) or Rule 15d-15(e).</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1"/>
              </w:rPr>
              <w:t>31.2</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Certification of Chief Financial Officer of Periodic Report Pursuant to Rule 13a-15(e) or Rule 15d-15(e).</w:t>
            </w:r>
          </w:p>
        </w:tc>
      </w:tr>
      <w:tr>
        <w:trPr>
          <w:trHeight w:val="243"/>
        </w:trPr>
        <w:tc>
          <w:tcPr>
            <w:tcW w:w="1760" w:type="dxa"/>
            <w:vAlign w:val="bottom"/>
          </w:tcPr>
          <w:p>
            <w:pPr>
              <w:jc w:val="center"/>
              <w:ind w:left="310"/>
              <w:spacing w:after="0"/>
              <w:rPr>
                <w:sz w:val="20"/>
                <w:szCs w:val="20"/>
                <w:color w:val="auto"/>
              </w:rPr>
            </w:pPr>
            <w:r>
              <w:rPr>
                <w:rFonts w:ascii="Arial" w:cs="Arial" w:eastAsia="Arial" w:hAnsi="Arial"/>
                <w:sz w:val="18"/>
                <w:szCs w:val="18"/>
                <w:color w:val="auto"/>
                <w:w w:val="91"/>
              </w:rPr>
              <w:t>32.1</w:t>
            </w:r>
          </w:p>
        </w:tc>
        <w:tc>
          <w:tcPr>
            <w:tcW w:w="9560" w:type="dxa"/>
            <w:vAlign w:val="bottom"/>
          </w:tcPr>
          <w:p>
            <w:pPr>
              <w:ind w:left="420"/>
              <w:spacing w:after="0"/>
              <w:rPr>
                <w:sz w:val="20"/>
                <w:szCs w:val="20"/>
                <w:color w:val="auto"/>
              </w:rPr>
            </w:pPr>
            <w:r>
              <w:rPr>
                <w:rFonts w:ascii="Arial" w:cs="Arial" w:eastAsia="Arial" w:hAnsi="Arial"/>
                <w:sz w:val="18"/>
                <w:szCs w:val="18"/>
                <w:color w:val="auto"/>
              </w:rPr>
              <w:t>Certification by Chief Executive Officer of Periodic Report Pursuant to 18 U.S.C. Section 1350.</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1"/>
              </w:rPr>
              <w:t>32.2</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Certification by Chief Financial Officer of Periodic Report Pursuant to 18 U.S.C. Section 1350.</w:t>
            </w:r>
          </w:p>
        </w:tc>
      </w:tr>
      <w:tr>
        <w:trPr>
          <w:trHeight w:val="243"/>
        </w:trPr>
        <w:tc>
          <w:tcPr>
            <w:tcW w:w="1760" w:type="dxa"/>
            <w:vAlign w:val="bottom"/>
          </w:tcPr>
          <w:p>
            <w:pPr>
              <w:ind w:left="820"/>
              <w:spacing w:after="0"/>
              <w:rPr>
                <w:sz w:val="20"/>
                <w:szCs w:val="20"/>
                <w:color w:val="auto"/>
              </w:rPr>
            </w:pPr>
            <w:r>
              <w:rPr>
                <w:rFonts w:ascii="Arial" w:cs="Arial" w:eastAsia="Arial" w:hAnsi="Arial"/>
                <w:sz w:val="18"/>
                <w:szCs w:val="18"/>
                <w:color w:val="auto"/>
              </w:rPr>
              <w:t>101.ins</w:t>
            </w:r>
          </w:p>
        </w:tc>
        <w:tc>
          <w:tcPr>
            <w:tcW w:w="9560" w:type="dxa"/>
            <w:vAlign w:val="bottom"/>
          </w:tcPr>
          <w:p>
            <w:pPr>
              <w:ind w:left="420"/>
              <w:spacing w:after="0"/>
              <w:rPr>
                <w:sz w:val="20"/>
                <w:szCs w:val="20"/>
                <w:color w:val="auto"/>
              </w:rPr>
            </w:pPr>
            <w:r>
              <w:rPr>
                <w:rFonts w:ascii="Arial" w:cs="Arial" w:eastAsia="Arial" w:hAnsi="Arial"/>
                <w:sz w:val="18"/>
                <w:szCs w:val="18"/>
                <w:color w:val="auto"/>
              </w:rPr>
              <w:t>XBRL Instance Document</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101.def</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760" w:type="dxa"/>
            <w:vAlign w:val="bottom"/>
          </w:tcPr>
          <w:p>
            <w:pPr>
              <w:ind w:left="800"/>
              <w:spacing w:after="0"/>
              <w:rPr>
                <w:sz w:val="20"/>
                <w:szCs w:val="20"/>
                <w:color w:val="auto"/>
              </w:rPr>
            </w:pPr>
            <w:r>
              <w:rPr>
                <w:rFonts w:ascii="Arial" w:cs="Arial" w:eastAsia="Arial" w:hAnsi="Arial"/>
                <w:sz w:val="18"/>
                <w:szCs w:val="18"/>
                <w:color w:val="auto"/>
              </w:rPr>
              <w:t>101.sch</w:t>
            </w:r>
          </w:p>
        </w:tc>
        <w:tc>
          <w:tcPr>
            <w:tcW w:w="9560" w:type="dxa"/>
            <w:vAlign w:val="bottom"/>
          </w:tcPr>
          <w:p>
            <w:pPr>
              <w:ind w:left="420"/>
              <w:spacing w:after="0"/>
              <w:rPr>
                <w:sz w:val="20"/>
                <w:szCs w:val="20"/>
                <w:color w:val="auto"/>
              </w:rPr>
            </w:pPr>
            <w:r>
              <w:rPr>
                <w:rFonts w:ascii="Arial" w:cs="Arial" w:eastAsia="Arial" w:hAnsi="Arial"/>
                <w:sz w:val="18"/>
                <w:szCs w:val="18"/>
                <w:color w:val="auto"/>
              </w:rPr>
              <w:t>XBRL Taxonomy Extension Schema Document</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101.cal</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760" w:type="dxa"/>
            <w:vAlign w:val="bottom"/>
          </w:tcPr>
          <w:p>
            <w:pPr>
              <w:ind w:left="800"/>
              <w:spacing w:after="0"/>
              <w:rPr>
                <w:sz w:val="20"/>
                <w:szCs w:val="20"/>
                <w:color w:val="auto"/>
              </w:rPr>
            </w:pPr>
            <w:r>
              <w:rPr>
                <w:rFonts w:ascii="Arial" w:cs="Arial" w:eastAsia="Arial" w:hAnsi="Arial"/>
                <w:sz w:val="18"/>
                <w:szCs w:val="18"/>
                <w:color w:val="auto"/>
              </w:rPr>
              <w:t>101.lab</w:t>
            </w:r>
          </w:p>
        </w:tc>
        <w:tc>
          <w:tcPr>
            <w:tcW w:w="9560" w:type="dxa"/>
            <w:vAlign w:val="bottom"/>
          </w:tcPr>
          <w:p>
            <w:pPr>
              <w:ind w:left="420"/>
              <w:spacing w:after="0"/>
              <w:rPr>
                <w:sz w:val="20"/>
                <w:szCs w:val="20"/>
                <w:color w:val="auto"/>
              </w:rPr>
            </w:pPr>
            <w:r>
              <w:rPr>
                <w:rFonts w:ascii="Arial" w:cs="Arial" w:eastAsia="Arial" w:hAnsi="Arial"/>
                <w:sz w:val="18"/>
                <w:szCs w:val="18"/>
                <w:color w:val="auto"/>
              </w:rPr>
              <w:t>XBRL Taxonomy Extension Label Linkbase Document</w:t>
            </w:r>
          </w:p>
        </w:tc>
      </w:tr>
      <w:tr>
        <w:trPr>
          <w:trHeight w:val="27"/>
        </w:trPr>
        <w:tc>
          <w:tcPr>
            <w:tcW w:w="176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101.pre</w:t>
            </w:r>
          </w:p>
        </w:tc>
        <w:tc>
          <w:tcPr>
            <w:tcW w:w="9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75"/>
        </w:trPr>
        <w:tc>
          <w:tcPr>
            <w:tcW w:w="1760" w:type="dxa"/>
            <w:vAlign w:val="bottom"/>
          </w:tcPr>
          <w:p>
            <w:pPr>
              <w:spacing w:after="0"/>
              <w:rPr>
                <w:sz w:val="24"/>
                <w:szCs w:val="24"/>
                <w:color w:val="auto"/>
              </w:rPr>
            </w:pPr>
          </w:p>
        </w:tc>
        <w:tc>
          <w:tcPr>
            <w:tcW w:w="9560" w:type="dxa"/>
            <w:vAlign w:val="bottom"/>
          </w:tcPr>
          <w:p>
            <w:pPr>
              <w:ind w:left="380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320"/>
          </w:cols>
          <w:pgMar w:left="300" w:top="530"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70" w:lineRule="exact"/>
        <w:rPr>
          <w:sz w:val="20"/>
          <w:szCs w:val="20"/>
          <w:color w:val="auto"/>
        </w:rPr>
      </w:pPr>
    </w:p>
    <w:p>
      <w:pPr>
        <w:ind w:left="660" w:right="6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170"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25" w:lineRule="exact"/>
        <w:rPr>
          <w:rFonts w:ascii="Arial" w:cs="Arial" w:eastAsia="Arial" w:hAnsi="Arial"/>
          <w:sz w:val="18"/>
          <w:szCs w:val="18"/>
          <w:color w:val="auto"/>
        </w:rPr>
      </w:pPr>
    </w:p>
    <w:p>
      <w:pPr>
        <w:ind w:left="660" w:right="42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70" w:lineRule="exact"/>
        <w:rPr>
          <w:rFonts w:ascii="Arial" w:cs="Arial" w:eastAsia="Arial" w:hAnsi="Arial"/>
          <w:sz w:val="18"/>
          <w:szCs w:val="18"/>
          <w:color w:val="auto"/>
        </w:rPr>
      </w:pPr>
    </w:p>
    <w:p>
      <w:pPr>
        <w:ind w:left="660" w:right="220" w:hanging="328"/>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584" w:right="419" w:bottom="1440" w:gutter="0" w:footer="0" w:header="0"/>
        </w:sectPr>
      </w:pPr>
    </w:p>
    <w:bookmarkStart w:id="32" w:name="page33"/>
    <w:bookmarkEnd w:id="32"/>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584" w:right="319" w:bottom="1440" w:gutter="0" w:footer="0" w:header="0"/>
        </w:sectPr>
      </w:pPr>
    </w:p>
    <w:bookmarkStart w:id="33" w:name="page34"/>
    <w:bookmarkEnd w:id="33"/>
    <w:p>
      <w:pPr>
        <w:jc w:val="center"/>
        <w:ind w:right="-1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TEXAS INSTRUMENTS INCORPORATED</w:t>
      </w:r>
    </w:p>
    <w:p>
      <w:pPr>
        <w:spacing w:after="0" w:line="63" w:lineRule="exact"/>
        <w:rPr>
          <w:sz w:val="20"/>
          <w:szCs w:val="20"/>
          <w:color w:val="auto"/>
        </w:rPr>
      </w:pPr>
    </w:p>
    <w:p>
      <w:pPr>
        <w:ind w:left="5040"/>
        <w:spacing w:after="0"/>
        <w:tabs>
          <w:tab w:leader="none" w:pos="5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31750</wp:posOffset>
            </wp:positionV>
            <wp:extent cx="33877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87725" cy="17145"/>
                    </a:xfrm>
                    <a:prstGeom prst="rect">
                      <a:avLst/>
                    </a:prstGeom>
                    <a:noFill/>
                  </pic:spPr>
                </pic:pic>
              </a:graphicData>
            </a:graphic>
          </wp:anchor>
        </w:drawing>
      </w:r>
    </w:p>
    <w:p>
      <w:pPr>
        <w:spacing w:after="0" w:line="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 August 2, 2013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20"/>
          </w:cols>
          <w:pgMar w:left="240" w:top="368"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158" w:lineRule="exact"/>
        <w:rPr>
          <w:sz w:val="20"/>
          <w:szCs w:val="20"/>
          <w:color w:val="auto"/>
        </w:rPr>
      </w:pPr>
    </w:p>
    <w:p>
      <w:pPr>
        <w:ind w:left="620" w:hanging="180"/>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ind w:left="440" w:right="60"/>
        <w:spacing w:after="0" w:line="264" w:lineRule="auto"/>
        <w:tabs>
          <w:tab w:leader="none" w:pos="6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440" w:right="40"/>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120"/>
        <w:spacing w:after="0" w:line="308" w:lineRule="auto"/>
        <w:tabs>
          <w:tab w:leader="none" w:pos="625"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40" w:right="160"/>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right="40" w:firstLine="440"/>
        <w:spacing w:after="0" w:line="277" w:lineRule="auto"/>
        <w:tabs>
          <w:tab w:leader="none" w:pos="6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sz w:val="20"/>
          <w:szCs w:val="20"/>
          <w:color w:val="auto"/>
        </w:rPr>
      </w:pPr>
    </w:p>
    <w:p>
      <w:pPr>
        <w:ind w:left="440" w:right="20"/>
        <w:spacing w:after="0" w:line="277" w:lineRule="auto"/>
        <w:tabs>
          <w:tab w:leader="none" w:pos="62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right="120" w:hanging="7"/>
        <w:spacing w:after="0" w:line="277" w:lineRule="auto"/>
        <w:tabs>
          <w:tab w:leader="none" w:pos="6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August 2, 2013</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59"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158" w:lineRule="exact"/>
        <w:rPr>
          <w:sz w:val="20"/>
          <w:szCs w:val="20"/>
          <w:color w:val="auto"/>
        </w:rPr>
      </w:pPr>
    </w:p>
    <w:p>
      <w:pPr>
        <w:ind w:left="620" w:hanging="180"/>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15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6"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sz w:val="20"/>
          <w:szCs w:val="20"/>
          <w:color w:val="auto"/>
        </w:rPr>
      </w:pPr>
    </w:p>
    <w:p>
      <w:pPr>
        <w:ind w:left="440" w:right="60"/>
        <w:spacing w:after="0" w:line="264" w:lineRule="auto"/>
        <w:tabs>
          <w:tab w:leader="none" w:pos="62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ind w:left="440" w:right="40"/>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440" w:right="120"/>
        <w:spacing w:after="0" w:line="308" w:lineRule="auto"/>
        <w:tabs>
          <w:tab w:leader="none" w:pos="625" w:val="left"/>
        </w:tabs>
        <w:numPr>
          <w:ilvl w:val="0"/>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7"/>
          <w:szCs w:val="17"/>
          <w:color w:val="auto"/>
        </w:rPr>
      </w:pPr>
    </w:p>
    <w:p>
      <w:pPr>
        <w:jc w:val="both"/>
        <w:ind w:left="440" w:right="160"/>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sz w:val="20"/>
          <w:szCs w:val="20"/>
          <w:color w:val="auto"/>
        </w:rPr>
      </w:pPr>
    </w:p>
    <w:p>
      <w:pPr>
        <w:ind w:right="40" w:firstLine="440"/>
        <w:spacing w:after="0" w:line="277" w:lineRule="auto"/>
        <w:tabs>
          <w:tab w:leader="none" w:pos="6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3" w:lineRule="exact"/>
        <w:rPr>
          <w:sz w:val="20"/>
          <w:szCs w:val="20"/>
          <w:color w:val="auto"/>
        </w:rPr>
      </w:pPr>
    </w:p>
    <w:p>
      <w:pPr>
        <w:ind w:left="440" w:right="20"/>
        <w:spacing w:after="0" w:line="277" w:lineRule="auto"/>
        <w:tabs>
          <w:tab w:leader="none" w:pos="6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80"/>
        <w:spacing w:after="0" w:line="277"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August 2, 2013</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166" w:lineRule="exact"/>
        <w:rPr>
          <w:sz w:val="20"/>
          <w:szCs w:val="20"/>
          <w:color w:val="auto"/>
        </w:rPr>
      </w:pPr>
    </w:p>
    <w:p>
      <w:pPr>
        <w:ind w:left="440" w:right="160"/>
        <w:spacing w:after="0" w:line="34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2013,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700" w:hanging="260"/>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August 2, 2013</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Richard K. Templeton</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Chairman,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58"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43"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56" w:lineRule="exact"/>
        <w:rPr>
          <w:sz w:val="20"/>
          <w:szCs w:val="20"/>
          <w:color w:val="auto"/>
        </w:rPr>
      </w:pPr>
    </w:p>
    <w:p>
      <w:pPr>
        <w:ind w:left="440" w:right="160"/>
        <w:spacing w:after="0" w:line="34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2013, as filed with the Securities and Exchange Commission on the date hereof (the “Report”) fully complies with the requirements of Section 13(a) or 15(d) of the Securities Exchange Act of 1934; and</w:t>
      </w:r>
    </w:p>
    <w:p>
      <w:pPr>
        <w:spacing w:after="0" w:line="56" w:lineRule="exact"/>
        <w:rPr>
          <w:rFonts w:ascii="Arial" w:cs="Arial" w:eastAsia="Arial" w:hAnsi="Arial"/>
          <w:sz w:val="16"/>
          <w:szCs w:val="16"/>
          <w:color w:val="auto"/>
        </w:rPr>
      </w:pPr>
    </w:p>
    <w:p>
      <w:pPr>
        <w:ind w:left="700" w:hanging="260"/>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Date: August 2, 2013</w:t>
      </w:r>
    </w:p>
    <w:p>
      <w:pPr>
        <w:spacing w:after="0" w:line="6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31750</wp:posOffset>
            </wp:positionV>
            <wp:extent cx="2023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Kevin P. March</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lvl w:ilvl="1">
      <w:lvlJc w:val="left"/>
      <w:lvlText w:val="Ÿ"/>
      <w:numFmt w:val="bullet"/>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decimal"/>
      <w:start w:val="6"/>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1."/>
      <w:numFmt w:val="decimal"/>
      <w:start w:val="7"/>
    </w:lvl>
  </w:abstractNum>
  <w:abstractNum w:abstractNumId="9">
    <w:nsid w:val="7C83E458"/>
    <w:multiLevelType w:val="hybridMultilevel"/>
    <w:lvl w:ilvl="0">
      <w:lvlJc w:val="left"/>
      <w:lvlText w:val="%1."/>
      <w:numFmt w:val="decimal"/>
      <w:start w:val="8"/>
    </w:lvl>
  </w:abstractNum>
  <w:abstractNum w:abstractNumId="10">
    <w:nsid w:val="257130A3"/>
    <w:multiLevelType w:val="hybridMultilevel"/>
    <w:lvl w:ilvl="0">
      <w:lvlJc w:val="left"/>
      <w:lvlText w:val="%1."/>
      <w:numFmt w:val="decimal"/>
      <w:start w:val="9"/>
    </w:lvl>
  </w:abstractNum>
  <w:abstractNum w:abstractNumId="11">
    <w:nsid w:val="62BBD95A"/>
    <w:multiLevelType w:val="hybridMultilevel"/>
    <w:lvl w:ilvl="0">
      <w:lvlJc w:val="left"/>
      <w:lvlText w:val="%1."/>
      <w:numFmt w:val="decimal"/>
      <w:start w:val="10"/>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decimal"/>
      <w:start w:val="1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decimal"/>
      <w:start w:val="5"/>
    </w:lvl>
  </w:abstractNum>
  <w:abstractNum w:abstractNumId="20">
    <w:nsid w:val="8EDBDAB"/>
    <w:multiLevelType w:val="hybridMultilevel"/>
    <w:lvl w:ilvl="0">
      <w:lvlJc w:val="left"/>
      <w:lvlText w:val="%1"/>
      <w:numFmt w:val="lowerLetter"/>
      <w:start w:val="1"/>
    </w:lvl>
    <w:lvl w:ilvl="1">
      <w:lvlJc w:val="left"/>
      <w:lvlText w:val="%2)"/>
      <w:numFmt w:val="lowerLetter"/>
      <w:start w:val="1"/>
    </w:lvl>
  </w:abstractNum>
  <w:abstractNum w:abstractNumId="21">
    <w:nsid w:val="79838CB2"/>
    <w:multiLevelType w:val="hybridMultilevel"/>
    <w:lvl w:ilvl="0">
      <w:lvlJc w:val="left"/>
      <w:lvlText w:val="%1)"/>
      <w:numFmt w:val="lowerLetter"/>
      <w:start w:val="2"/>
    </w:lvl>
    <w:lvl w:ilvl="1">
      <w:lvlJc w:val="left"/>
      <w:lvlText w:val="%2"/>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2019-12-05T16:14:09Z</dcterms:created>
  <dcterms:modified xsi:type="dcterms:W3CDTF">2019-12-05T16:14:09Z</dcterms:modified>
</cp:coreProperties>
</file>