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#882508104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8,217,589</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68,077,389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68,077,389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3.934%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68,077,389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68,077,389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3.934%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68,077,389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68,077,389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3.934%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13500 North Central Expressway</w:t>
      </w:r>
    </w:p>
    <w:p>
      <w:pPr>
        <w:ind w:left="1700"/>
        <w:spacing w:after="0" w:line="238" w:lineRule="auto"/>
        <w:rPr>
          <w:sz w:val="20"/>
          <w:szCs w:val="20"/>
          <w:color w:val="auto"/>
        </w:rPr>
      </w:pPr>
      <w:r>
        <w:rPr>
          <w:rFonts w:ascii="Courier New" w:cs="Courier New" w:eastAsia="Courier New" w:hAnsi="Courier New"/>
          <w:sz w:val="18"/>
          <w:szCs w:val="18"/>
          <w:color w:val="auto"/>
        </w:rPr>
        <w:t>P.O. Box 655474</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68,077,389</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3.934%</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8,217,589</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68,077,389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the Common Stock of Texas Instruments Incorporated at December 31, 2003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16, 2004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58,978,410 shares or 3.408% of the Common Stock</w:t>
      </w:r>
    </w:p>
    <w:p>
      <w:pPr>
        <w:spacing w:after="0"/>
        <w:tabs>
          <w:tab w:leader="none" w:pos="4940" w:val="left"/>
        </w:tabs>
        <w:rPr>
          <w:sz w:val="20"/>
          <w:szCs w:val="20"/>
          <w:color w:val="auto"/>
        </w:rPr>
      </w:pPr>
      <w:r>
        <w:rPr>
          <w:rFonts w:ascii="Courier New" w:cs="Courier New" w:eastAsia="Courier New" w:hAnsi="Courier New"/>
          <w:sz w:val="18"/>
          <w:szCs w:val="18"/>
          <w:color w:val="auto"/>
        </w:rPr>
        <w:t>outstanding of Texas Instruments Incorporated</w:t>
      </w:r>
      <w:r>
        <w:rPr>
          <w:sz w:val="20"/>
          <w:szCs w:val="20"/>
          <w:color w:val="auto"/>
        </w:rPr>
        <w:tab/>
      </w:r>
      <w:r>
        <w:rPr>
          <w:rFonts w:ascii="Courier New" w:cs="Courier New" w:eastAsia="Courier New" w:hAnsi="Courier New"/>
          <w:sz w:val="16"/>
          <w:szCs w:val="16"/>
          <w:color w:val="auto"/>
        </w:rPr>
        <w:t>("the</w:t>
      </w:r>
    </w:p>
    <w:p>
      <w:pPr>
        <w:spacing w:after="0" w:line="237" w:lineRule="auto"/>
        <w:rPr>
          <w:sz w:val="20"/>
          <w:szCs w:val="20"/>
          <w:color w:val="auto"/>
        </w:rPr>
      </w:pPr>
      <w:r>
        <w:rPr>
          <w:rFonts w:ascii="Courier New" w:cs="Courier New" w:eastAsia="Courier New" w:hAnsi="Courier New"/>
          <w:sz w:val="18"/>
          <w:szCs w:val="18"/>
          <w:color w:val="auto"/>
        </w:rPr>
        <w:t>Company") as a result of acting as investment adviser to</w:t>
      </w: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7"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58,978,410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6,002,031 shares or 0.347%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6,002,031 shares and sole power</w:t>
      </w:r>
    </w:p>
    <w:p>
      <w:pPr>
        <w:spacing w:after="0" w:line="237" w:lineRule="auto"/>
        <w:rPr>
          <w:sz w:val="20"/>
          <w:szCs w:val="20"/>
          <w:color w:val="auto"/>
        </w:rPr>
      </w:pPr>
      <w:r>
        <w:rPr>
          <w:rFonts w:ascii="Courier New" w:cs="Courier New" w:eastAsia="Courier New" w:hAnsi="Courier New"/>
          <w:sz w:val="18"/>
          <w:szCs w:val="18"/>
          <w:color w:val="auto"/>
        </w:rPr>
        <w:t>to vote or to direct the voting of 5,088,731 shares, and no</w:t>
      </w:r>
    </w:p>
    <w:p>
      <w:pPr>
        <w:spacing w:after="0" w:line="238" w:lineRule="auto"/>
        <w:rPr>
          <w:sz w:val="20"/>
          <w:szCs w:val="20"/>
          <w:color w:val="auto"/>
        </w:rPr>
      </w:pPr>
      <w:r>
        <w:rPr>
          <w:rFonts w:ascii="Courier New" w:cs="Courier New" w:eastAsia="Courier New" w:hAnsi="Courier New"/>
          <w:sz w:val="18"/>
          <w:szCs w:val="18"/>
          <w:color w:val="auto"/>
        </w:rPr>
        <w:t>power to vote or to direct the voting of 913,300 shares of</w:t>
      </w:r>
    </w:p>
    <w:p>
      <w:pPr>
        <w:spacing w:after="0"/>
        <w:rPr>
          <w:sz w:val="20"/>
          <w:szCs w:val="20"/>
          <w:color w:val="auto"/>
        </w:rPr>
      </w:pPr>
      <w:r>
        <w:rPr>
          <w:rFonts w:ascii="Courier New" w:cs="Courier New" w:eastAsia="Courier New" w:hAnsi="Courier New"/>
          <w:sz w:val="18"/>
          <w:szCs w:val="18"/>
          <w:color w:val="auto"/>
        </w:rPr>
        <w:t>Common Stock owned by the institutional account(s) as</w:t>
      </w:r>
    </w:p>
    <w:p>
      <w:pPr>
        <w:spacing w:after="0" w:line="237" w:lineRule="auto"/>
        <w:rPr>
          <w:sz w:val="20"/>
          <w:szCs w:val="20"/>
          <w:color w:val="auto"/>
        </w:rPr>
      </w:pPr>
      <w:r>
        <w:rPr>
          <w:rFonts w:ascii="Courier New" w:cs="Courier New" w:eastAsia="Courier New" w:hAnsi="Courier New"/>
          <w:sz w:val="18"/>
          <w:szCs w:val="18"/>
          <w:color w:val="auto"/>
        </w:rPr>
        <w:t>reported above.</w:t>
      </w:r>
    </w:p>
    <w:p>
      <w:pPr>
        <w:spacing w:after="0" w:line="207"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Strategic Advisers, Inc., 82 Devonshire Street, Boston, MA 02109, a wholly-owned subsidiary of FMR</w:t>
      </w:r>
    </w:p>
    <w:p>
      <w:pPr>
        <w:ind w:right="3899"/>
        <w:spacing w:after="0" w:line="237" w:lineRule="auto"/>
        <w:rPr>
          <w:sz w:val="20"/>
          <w:szCs w:val="20"/>
          <w:color w:val="auto"/>
        </w:rPr>
      </w:pPr>
      <w:r>
        <w:rPr>
          <w:rFonts w:ascii="Courier New" w:cs="Courier New" w:eastAsia="Courier New" w:hAnsi="Courier New"/>
          <w:sz w:val="18"/>
          <w:szCs w:val="18"/>
          <w:color w:val="auto"/>
        </w:rPr>
        <w:t>Corp. and an investment adviser registered under Section 203 of the Investment Advisers Act of 1940, provides investment advisory services to individuals. As such, FMR Corp.'s beneficial ownership includes 25,123 shares, or 0.001%, of the Common Stock stock outstanding of Texas Instruments Incorporated, beneficially owned through Strategic Advisers, Inc.</w:t>
      </w:r>
    </w:p>
    <w:p>
      <w:pPr>
        <w:spacing w:after="0" w:line="211"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ectPr>
          <w:pgSz w:w="11900" w:h="16838" w:orient="portrait"/>
          <w:cols w:equalWidth="0" w:num="1">
            <w:col w:w="10219"/>
          </w:cols>
          <w:pgMar w:left="240" w:top="136" w:right="1440" w:bottom="0" w:gutter="0" w:footer="0" w:header="0"/>
        </w:sectPr>
      </w:pPr>
    </w:p>
    <w:bookmarkStart w:id="3" w:name="page4"/>
    <w:bookmarkEnd w:id="3"/>
    <w:p>
      <w:pPr>
        <w:ind w:right="377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3,071,825 shares or 0.177% of the Common Stock outstanding of the Company. 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0"/>
          <w:szCs w:val="20"/>
          <w:color w:val="auto"/>
        </w:rPr>
      </w:pPr>
    </w:p>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3,071,825 shares or 0.177% of the Common Stock outstanding of Texas Instruments Incorporated.</w:t>
      </w:r>
    </w:p>
    <w:p>
      <w:pPr>
        <w:spacing w:after="0" w:line="211"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ectPr>
          <w:pgSz w:w="11900" w:h="16838" w:orient="portrait"/>
          <w:cols w:equalWidth="0" w:num="1">
            <w:col w:w="10219"/>
          </w:cols>
          <w:pgMar w:left="240" w:top="142" w:right="1440" w:bottom="0" w:gutter="0" w:footer="0" w:header="0"/>
        </w:sectPr>
      </w:pPr>
    </w:p>
    <w:bookmarkStart w:id="4" w:name="page5"/>
    <w:bookmarkEnd w:id="4"/>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3,071,825 shares.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16, 2004, agree and consent to the joint filing on their behalf of this Schedule 13G in connection with their beneficial ownership of the Common Stock of Texas Instruments Incorporated at December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Edward C. Johnson 3d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2019-12-13T07:36:52Z</dcterms:created>
  <dcterms:modified xsi:type="dcterms:W3CDTF">2019-12-13T07:36:52Z</dcterms:modified>
</cp:coreProperties>
</file>