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 PURSUANT TO SECTION 13 OR 15(d)</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OF THE SECURITIES EXCHANGE ACT OF 1934</w:t>
      </w:r>
    </w:p>
    <w:p>
      <w:pPr>
        <w:spacing w:after="0" w:line="207" w:lineRule="exact"/>
        <w:rPr>
          <w:sz w:val="24"/>
          <w:szCs w:val="24"/>
          <w:color w:val="auto"/>
        </w:rPr>
      </w:pPr>
    </w:p>
    <w:p>
      <w:pPr>
        <w:ind w:left="960"/>
        <w:spacing w:after="0"/>
        <w:rPr>
          <w:sz w:val="20"/>
          <w:szCs w:val="20"/>
          <w:color w:val="auto"/>
        </w:rPr>
      </w:pPr>
      <w:r>
        <w:rPr>
          <w:rFonts w:ascii="Courier New" w:cs="Courier New" w:eastAsia="Courier New" w:hAnsi="Courier New"/>
          <w:sz w:val="16"/>
          <w:szCs w:val="16"/>
          <w:color w:val="auto"/>
        </w:rPr>
        <w:t>DATE OF REPORT (DATE OF EARLIEST EVENT REPORTED): July 1, 2004</w:t>
      </w:r>
    </w:p>
    <w:p>
      <w:pPr>
        <w:spacing w:after="0" w:line="200" w:lineRule="exact"/>
        <w:rPr>
          <w:sz w:val="24"/>
          <w:szCs w:val="24"/>
          <w:color w:val="auto"/>
        </w:rPr>
      </w:pPr>
    </w:p>
    <w:p>
      <w:pPr>
        <w:spacing w:after="0" w:line="22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TEXAS INSTRUMENTS INCORPORATED</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charter)</w:t>
      </w:r>
    </w:p>
    <w:p>
      <w:pPr>
        <w:sectPr>
          <w:pgSz w:w="11900" w:h="16838" w:orient="portrait"/>
          <w:cols w:equalWidth="0" w:num="1">
            <w:col w:w="10219"/>
          </w:cols>
          <w:pgMar w:left="240" w:top="1055"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001-03761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7"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750289970</w:t>
      </w:r>
    </w:p>
    <w:p>
      <w:pPr>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3">
            <w:col w:w="2960" w:space="200"/>
            <w:col w:w="2540" w:space="320"/>
            <w:col w:w="4199"/>
          </w:cols>
          <w:pgMar w:left="240" w:top="1055" w:right="1440" w:bottom="0" w:gutter="0" w:footer="0" w:header="0"/>
          <w:type w:val="continuous"/>
        </w:sectPr>
      </w:pPr>
    </w:p>
    <w:p>
      <w:pPr>
        <w:spacing w:after="0" w:line="200" w:lineRule="exact"/>
        <w:rPr>
          <w:sz w:val="24"/>
          <w:szCs w:val="24"/>
          <w:color w:val="auto"/>
        </w:rPr>
      </w:pPr>
    </w:p>
    <w:p>
      <w:pPr>
        <w:spacing w:after="0" w:line="206"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12500 TI BOULEVARD</w:t>
      </w:r>
    </w:p>
    <w:p>
      <w:pPr>
        <w:jc w:val="center"/>
        <w:ind w:right="1659"/>
        <w:spacing w:after="0" w:line="238" w:lineRule="auto"/>
        <w:rPr>
          <w:sz w:val="20"/>
          <w:szCs w:val="20"/>
          <w:color w:val="auto"/>
        </w:rPr>
      </w:pPr>
      <w:r>
        <w:rPr>
          <w:rFonts w:ascii="Courier New" w:cs="Courier New" w:eastAsia="Courier New" w:hAnsi="Courier New"/>
          <w:sz w:val="18"/>
          <w:szCs w:val="18"/>
          <w:color w:val="auto"/>
        </w:rPr>
        <w:t>P.O. BOX 660199</w:t>
      </w:r>
    </w:p>
    <w:p>
      <w:pPr>
        <w:jc w:val="center"/>
        <w:ind w:right="1759"/>
        <w:spacing w:after="0"/>
        <w:rPr>
          <w:sz w:val="20"/>
          <w:szCs w:val="20"/>
          <w:color w:val="auto"/>
        </w:rPr>
      </w:pPr>
      <w:r>
        <w:rPr>
          <w:rFonts w:ascii="Courier New" w:cs="Courier New" w:eastAsia="Courier New" w:hAnsi="Courier New"/>
          <w:sz w:val="18"/>
          <w:szCs w:val="18"/>
          <w:color w:val="auto"/>
        </w:rPr>
        <w:t>DALLAS, TEXAS 75266-0199</w:t>
      </w:r>
    </w:p>
    <w:p>
      <w:pPr>
        <w:jc w:val="center"/>
        <w:ind w:right="1759"/>
        <w:spacing w:after="0" w:line="237" w:lineRule="auto"/>
        <w:rPr>
          <w:sz w:val="20"/>
          <w:szCs w:val="20"/>
          <w:color w:val="auto"/>
        </w:rPr>
      </w:pPr>
      <w:r>
        <w:rPr>
          <w:rFonts w:ascii="Courier New" w:cs="Courier New" w:eastAsia="Courier New" w:hAnsi="Courier New"/>
          <w:sz w:val="18"/>
          <w:szCs w:val="18"/>
          <w:color w:val="auto"/>
        </w:rPr>
        <w:t>(Address of principal executive offices)</w:t>
      </w:r>
    </w:p>
    <w:p>
      <w:pPr>
        <w:spacing w:after="0" w:line="200" w:lineRule="exact"/>
        <w:rPr>
          <w:sz w:val="24"/>
          <w:szCs w:val="24"/>
          <w:color w:val="auto"/>
        </w:rPr>
      </w:pPr>
    </w:p>
    <w:p>
      <w:pPr>
        <w:spacing w:after="0" w:line="204"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Registrant's telephone number, including area code: (972) 995-3773</w:t>
      </w:r>
    </w:p>
    <w:p>
      <w:pPr>
        <w:spacing w:after="0" w:line="200" w:lineRule="exact"/>
        <w:rPr>
          <w:sz w:val="24"/>
          <w:szCs w:val="24"/>
          <w:color w:val="auto"/>
        </w:r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5. Other Events.</w:t>
      </w:r>
    </w:p>
    <w:p>
      <w:pPr>
        <w:spacing w:after="0" w:line="207"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The Registrant's news release dated July 1, 2004, regarding developments in litigation between the Registrant and Qualcomm Incorporated, attached hereto as Exhibit 99, is incorporated by reference herein.</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7. Exhibits.</w:t>
      </w:r>
    </w:p>
    <w:p>
      <w:pPr>
        <w:sectPr>
          <w:pgSz w:w="11900" w:h="16838" w:orient="portrait"/>
          <w:cols w:equalWidth="0" w:num="1">
            <w:col w:w="10219"/>
          </w:cols>
          <w:pgMar w:left="240" w:top="1055" w:right="1440" w:bottom="0" w:gutter="0" w:footer="0" w:header="0"/>
          <w:type w:val="continuous"/>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Designation of</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Exhibit in</w:t>
      </w:r>
    </w:p>
    <w:p>
      <w:pPr>
        <w:spacing w:after="0" w:line="238" w:lineRule="auto"/>
        <w:rPr>
          <w:sz w:val="20"/>
          <w:szCs w:val="20"/>
          <w:color w:val="auto"/>
        </w:rPr>
      </w:pPr>
      <w:r>
        <w:rPr>
          <w:rFonts w:ascii="Courier New" w:cs="Courier New" w:eastAsia="Courier New" w:hAnsi="Courier New"/>
          <w:sz w:val="18"/>
          <w:szCs w:val="18"/>
          <w:color w:val="auto"/>
        </w:rPr>
        <w:t>this Report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Description of Exhibit</w:t>
      </w:r>
    </w:p>
    <w:p>
      <w:pPr>
        <w:spacing w:after="0" w:line="4"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2560" w:space="720"/>
            <w:col w:w="6939"/>
          </w:cols>
          <w:pgMar w:left="240" w:top="1055" w:right="1440" w:bottom="0" w:gutter="0" w:footer="0" w:header="0"/>
          <w:type w:val="continuous"/>
        </w:sectPr>
      </w:pPr>
    </w:p>
    <w:p>
      <w:pPr>
        <w:spacing w:after="0" w:line="18"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99</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Registrant's News Release</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Dated July 1, 2004</w:t>
      </w:r>
    </w:p>
    <w:p>
      <w:pPr>
        <w:spacing w:after="0" w:line="200" w:lineRule="exact"/>
        <w:rPr>
          <w:sz w:val="24"/>
          <w:szCs w:val="24"/>
          <w:color w:val="auto"/>
        </w:rPr>
      </w:pPr>
    </w:p>
    <w:p>
      <w:pPr>
        <w:sectPr>
          <w:pgSz w:w="11900" w:h="16838" w:orient="portrait"/>
          <w:cols w:equalWidth="0" w:num="2">
            <w:col w:w="2560" w:space="720"/>
            <w:col w:w="6939"/>
          </w:cols>
          <w:pgMar w:left="240" w:top="1055" w:right="1440" w:bottom="0" w:gutter="0" w:footer="0" w:header="0"/>
          <w:type w:val="continuous"/>
        </w:sectPr>
      </w:pPr>
    </w:p>
    <w:p>
      <w:pPr>
        <w:spacing w:after="0" w:line="209" w:lineRule="exact"/>
        <w:rPr>
          <w:sz w:val="24"/>
          <w:szCs w:val="24"/>
          <w:color w:val="auto"/>
        </w:rPr>
      </w:pPr>
    </w:p>
    <w:p>
      <w:pPr>
        <w:ind w:right="1999"/>
        <w:spacing w:after="0" w:line="272" w:lineRule="auto"/>
        <w:rPr>
          <w:sz w:val="20"/>
          <w:szCs w:val="20"/>
          <w:color w:val="auto"/>
        </w:rPr>
      </w:pPr>
      <w:r>
        <w:rPr>
          <w:rFonts w:ascii="Courier New" w:cs="Courier New" w:eastAsia="Courier New" w:hAnsi="Courier New"/>
          <w:sz w:val="16"/>
          <w:szCs w:val="16"/>
          <w:color w:val="auto"/>
        </w:rPr>
        <w:t>"Safe Harbor" Statement under the Private Securities Litigation Reform Act of 1995: The statements contained in this report on Form 8-K are "forward-looking statements" intended to qualify for the safe harbor from liability established by the Private Securities Litigation Reform Act of 1995. These forward-looking statements are subject to certain risks and uncertainties that could cause actual results to differ materially from those in forward-looking statements.</w:t>
      </w:r>
    </w:p>
    <w:p>
      <w:pPr>
        <w:spacing w:after="0" w:line="186" w:lineRule="exact"/>
        <w:rPr>
          <w:sz w:val="24"/>
          <w:szCs w:val="24"/>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We urge you to carefully consider the following important factors that could cause actual results to differ materially from the expectations of the company or its management:</w:t>
      </w:r>
    </w:p>
    <w:p>
      <w:pPr>
        <w:spacing w:after="0" w:line="209" w:lineRule="exact"/>
        <w:rPr>
          <w:sz w:val="24"/>
          <w:szCs w:val="24"/>
          <w:color w:val="auto"/>
        </w:rPr>
      </w:pPr>
    </w:p>
    <w:p>
      <w:pPr>
        <w:ind w:left="540" w:right="1779" w:hanging="532"/>
        <w:spacing w:after="0" w:line="236" w:lineRule="auto"/>
        <w:tabs>
          <w:tab w:leader="none" w:pos="22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-Market demand for semiconductors, particularly for digital signal processors and analog chips in key markets such as telecommunications and computers;</w:t>
      </w:r>
    </w:p>
    <w:p>
      <w:pPr>
        <w:spacing w:after="0" w:line="203"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TI's ability to maintain or improve profit margins, including its ability</w:t>
      </w:r>
    </w:p>
    <w:p>
      <w:pPr>
        <w:sectPr>
          <w:pgSz w:w="11900" w:h="16838" w:orient="portrait"/>
          <w:cols w:equalWidth="0" w:num="1">
            <w:col w:w="10219"/>
          </w:cols>
          <w:pgMar w:left="240" w:top="1055" w:right="1440" w:bottom="0" w:gutter="0" w:footer="0" w:header="0"/>
          <w:type w:val="continuous"/>
        </w:sectPr>
      </w:pPr>
    </w:p>
    <w:bookmarkStart w:id="1" w:name="page2"/>
    <w:bookmarkEnd w:id="1"/>
    <w:p>
      <w:pPr>
        <w:jc w:val="both"/>
        <w:ind w:left="540" w:right="1999"/>
        <w:spacing w:after="0" w:line="290" w:lineRule="auto"/>
        <w:rPr>
          <w:sz w:val="20"/>
          <w:szCs w:val="20"/>
          <w:color w:val="auto"/>
        </w:rPr>
      </w:pPr>
      <w:r>
        <w:rPr>
          <w:rFonts w:ascii="Courier New" w:cs="Courier New" w:eastAsia="Courier New" w:hAnsi="Courier New"/>
          <w:sz w:val="16"/>
          <w:szCs w:val="16"/>
          <w:color w:val="auto"/>
        </w:rPr>
        <w:t>to utilize its manufacturing facilities at sufficient levels to cover its fixed operating costs, in an intensely competitive and cyclical industry;</w:t>
      </w:r>
    </w:p>
    <w:p>
      <w:pPr>
        <w:spacing w:after="0" w:line="170" w:lineRule="exact"/>
        <w:rPr>
          <w:sz w:val="20"/>
          <w:szCs w:val="20"/>
          <w:color w:val="auto"/>
        </w:rPr>
      </w:pPr>
    </w:p>
    <w:p>
      <w:pPr>
        <w:ind w:left="540" w:right="1879" w:hanging="532"/>
        <w:spacing w:after="0" w:line="235"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develop, manufacture and market innovative products in a rapidly changing technological environment;</w:t>
      </w:r>
    </w:p>
    <w:p>
      <w:pPr>
        <w:spacing w:after="0" w:line="208" w:lineRule="exact"/>
        <w:rPr>
          <w:rFonts w:ascii="Courier New" w:cs="Courier New" w:eastAsia="Courier New" w:hAnsi="Courier New"/>
          <w:sz w:val="18"/>
          <w:szCs w:val="18"/>
          <w:color w:val="auto"/>
        </w:rPr>
      </w:pPr>
    </w:p>
    <w:p>
      <w:pPr>
        <w:ind w:left="540" w:right="1579" w:hanging="532"/>
        <w:spacing w:after="0" w:line="235"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compete in products and prices in an intensely competitive industry;</w:t>
      </w:r>
    </w:p>
    <w:p>
      <w:pPr>
        <w:spacing w:after="0" w:line="20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TI's  ability  to  maintain  and  enforce  a  strong  intellectual property</w:t>
      </w:r>
    </w:p>
    <w:p>
      <w:pPr>
        <w:ind w:left="540"/>
        <w:spacing w:after="0"/>
        <w:tabs>
          <w:tab w:leader="none" w:pos="1680" w:val="left"/>
          <w:tab w:leader="none" w:pos="2200" w:val="left"/>
          <w:tab w:leader="none" w:pos="3040" w:val="left"/>
          <w:tab w:leader="none" w:pos="3880" w:val="left"/>
          <w:tab w:leader="none" w:pos="4940" w:val="left"/>
          <w:tab w:leader="none" w:pos="5580" w:val="left"/>
          <w:tab w:leader="none" w:pos="6300" w:val="left"/>
        </w:tabs>
        <w:rPr>
          <w:sz w:val="20"/>
          <w:szCs w:val="20"/>
          <w:color w:val="auto"/>
        </w:rPr>
      </w:pPr>
      <w:r>
        <w:rPr>
          <w:rFonts w:ascii="Courier New" w:cs="Courier New" w:eastAsia="Courier New" w:hAnsi="Courier New"/>
          <w:sz w:val="18"/>
          <w:szCs w:val="18"/>
          <w:color w:val="auto"/>
        </w:rPr>
        <w:t>portfolio</w:t>
        <w:tab/>
        <w:t>and</w:t>
        <w:tab/>
        <w:t>obtain</w:t>
        <w:tab/>
        <w:t>needed</w:t>
        <w:tab/>
        <w:t>licenses</w:t>
        <w:tab/>
        <w:t>from</w:t>
        <w:tab/>
        <w:t>third</w:t>
      </w:r>
      <w:r>
        <w:rPr>
          <w:sz w:val="20"/>
          <w:szCs w:val="20"/>
          <w:color w:val="auto"/>
        </w:rPr>
        <w:tab/>
      </w:r>
      <w:r>
        <w:rPr>
          <w:rFonts w:ascii="Courier New" w:cs="Courier New" w:eastAsia="Courier New" w:hAnsi="Courier New"/>
          <w:sz w:val="16"/>
          <w:szCs w:val="16"/>
          <w:color w:val="auto"/>
        </w:rPr>
        <w:t>parties;</w:t>
      </w:r>
    </w:p>
    <w:p>
      <w:pPr>
        <w:sectPr>
          <w:pgSz w:w="11900" w:h="16838" w:orient="portrait"/>
          <w:cols w:equalWidth="0" w:num="1">
            <w:col w:w="10219"/>
          </w:cols>
          <w:pgMar w:left="240" w:top="142"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spacing w:after="0" w:line="290" w:lineRule="auto"/>
        <w:rPr>
          <w:sz w:val="20"/>
          <w:szCs w:val="20"/>
          <w:color w:val="auto"/>
        </w:rPr>
      </w:pPr>
      <w:r>
        <w:rPr>
          <w:rFonts w:ascii="Courier New" w:cs="Courier New" w:eastAsia="Courier New" w:hAnsi="Courier New"/>
          <w:sz w:val="16"/>
          <w:szCs w:val="16"/>
          <w:color w:val="auto"/>
        </w:rPr>
        <w:t>Consolidation royalty  payments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TI's</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TI;</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patent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licensees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and</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market conditions reducing</w:t>
      </w:r>
    </w:p>
    <w:p>
      <w:pPr>
        <w:spacing w:after="0" w:line="426" w:lineRule="exact"/>
        <w:rPr>
          <w:sz w:val="20"/>
          <w:szCs w:val="20"/>
          <w:color w:val="auto"/>
        </w:rPr>
      </w:pPr>
    </w:p>
    <w:p>
      <w:pPr>
        <w:sectPr>
          <w:pgSz w:w="11900" w:h="16838" w:orient="portrait"/>
          <w:cols w:equalWidth="0" w:num="9">
            <w:col w:w="320" w:space="220"/>
            <w:col w:w="1780" w:space="0"/>
            <w:col w:w="220" w:space="0"/>
            <w:col w:w="200" w:space="0"/>
            <w:col w:w="540" w:space="100"/>
            <w:col w:w="640" w:space="200"/>
            <w:col w:w="940" w:space="220"/>
            <w:col w:w="320" w:space="200"/>
            <w:col w:w="4319"/>
          </w:cols>
          <w:pgMar w:left="240" w:top="142"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Timely</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6"/>
          <w:szCs w:val="16"/>
          <w:color w:val="auto"/>
        </w:rPr>
        <w:t>completion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6"/>
          <w:szCs w:val="16"/>
          <w:color w:val="auto"/>
        </w:rPr>
        <w:t>and</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6"/>
          <w:szCs w:val="16"/>
          <w:color w:val="auto"/>
        </w:rPr>
        <w:t>successful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integration of announced acquisitions;</w:t>
      </w:r>
    </w:p>
    <w:p>
      <w:pPr>
        <w:spacing w:after="0" w:line="200" w:lineRule="exact"/>
        <w:rPr>
          <w:sz w:val="20"/>
          <w:szCs w:val="20"/>
          <w:color w:val="auto"/>
        </w:rPr>
      </w:pPr>
    </w:p>
    <w:p>
      <w:pPr>
        <w:sectPr>
          <w:pgSz w:w="11900" w:h="16838" w:orient="portrait"/>
          <w:cols w:equalWidth="0" w:num="6">
            <w:col w:w="320" w:space="420"/>
            <w:col w:w="640" w:space="200"/>
            <w:col w:w="1060" w:space="220"/>
            <w:col w:w="300" w:space="220"/>
            <w:col w:w="1060" w:space="200"/>
            <w:col w:w="5579"/>
          </w:cols>
          <w:pgMar w:left="240" w:top="142" w:right="1440" w:bottom="1440" w:gutter="0" w:footer="0" w:header="0"/>
          <w:type w:val="continuous"/>
        </w:sectPr>
      </w:pPr>
    </w:p>
    <w:p>
      <w:pPr>
        <w:spacing w:after="0" w:line="24" w:lineRule="exact"/>
        <w:rPr>
          <w:sz w:val="20"/>
          <w:szCs w:val="20"/>
          <w:color w:val="auto"/>
        </w:rPr>
      </w:pPr>
    </w:p>
    <w:p>
      <w:pPr>
        <w:ind w:left="540" w:right="1579" w:hanging="526"/>
        <w:spacing w:after="0" w:line="237" w:lineRule="auto"/>
        <w:tabs>
          <w:tab w:leader="none" w:pos="520" w:val="left"/>
        </w:tabs>
        <w:rPr>
          <w:sz w:val="20"/>
          <w:szCs w:val="20"/>
          <w:color w:val="auto"/>
        </w:rPr>
      </w:pPr>
      <w:r>
        <w:rPr>
          <w:rFonts w:ascii="Courier New" w:cs="Courier New" w:eastAsia="Courier New" w:hAnsi="Courier New"/>
          <w:sz w:val="18"/>
          <w:szCs w:val="18"/>
          <w:color w:val="auto"/>
        </w:rPr>
        <w:t>- -</w:t>
        <w:tab/>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2"/>
              </w:rPr>
              <w:t>- -</w:t>
            </w:r>
          </w:p>
        </w:tc>
        <w:tc>
          <w:tcPr>
            <w:tcW w:w="960" w:type="dxa"/>
            <w:vAlign w:val="bottom"/>
          </w:tcPr>
          <w:p>
            <w:pPr>
              <w:ind w:left="320"/>
              <w:spacing w:after="0"/>
              <w:rPr>
                <w:sz w:val="20"/>
                <w:szCs w:val="20"/>
                <w:color w:val="auto"/>
              </w:rPr>
            </w:pPr>
            <w:r>
              <w:rPr>
                <w:rFonts w:ascii="Courier New" w:cs="Courier New" w:eastAsia="Courier New" w:hAnsi="Courier New"/>
                <w:sz w:val="18"/>
                <w:szCs w:val="18"/>
                <w:color w:val="auto"/>
                <w:w w:val="95"/>
              </w:rPr>
              <w:t>Losses</w:t>
            </w:r>
          </w:p>
        </w:tc>
        <w:tc>
          <w:tcPr>
            <w:tcW w:w="2100" w:type="dxa"/>
            <w:vAlign w:val="bottom"/>
            <w:gridSpan w:val="3"/>
          </w:tcPr>
          <w:p>
            <w:pPr>
              <w:ind w:left="200"/>
              <w:spacing w:after="0"/>
              <w:rPr>
                <w:sz w:val="20"/>
                <w:szCs w:val="20"/>
                <w:color w:val="auto"/>
              </w:rPr>
            </w:pPr>
            <w:r>
              <w:rPr>
                <w:rFonts w:ascii="Courier New" w:cs="Courier New" w:eastAsia="Courier New" w:hAnsi="Courier New"/>
                <w:sz w:val="18"/>
                <w:szCs w:val="18"/>
                <w:color w:val="auto"/>
              </w:rPr>
              <w:t>or  curtailments</w:t>
            </w:r>
          </w:p>
        </w:tc>
        <w:tc>
          <w:tcPr>
            <w:tcW w:w="238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6"/>
              </w:rPr>
              <w:t>of  purchases from key</w:t>
            </w:r>
          </w:p>
        </w:tc>
        <w:tc>
          <w:tcPr>
            <w:tcW w:w="2780" w:type="dxa"/>
            <w:vAlign w:val="bottom"/>
          </w:tcPr>
          <w:p>
            <w:pPr>
              <w:ind w:left="40"/>
              <w:spacing w:after="0"/>
              <w:rPr>
                <w:sz w:val="20"/>
                <w:szCs w:val="20"/>
                <w:color w:val="auto"/>
              </w:rPr>
            </w:pPr>
            <w:r>
              <w:rPr>
                <w:rFonts w:ascii="Courier New" w:cs="Courier New" w:eastAsia="Courier New" w:hAnsi="Courier New"/>
                <w:sz w:val="18"/>
                <w:szCs w:val="18"/>
                <w:color w:val="auto"/>
                <w:w w:val="96"/>
              </w:rPr>
              <w:t>customers or the timing of</w:t>
            </w:r>
          </w:p>
        </w:tc>
      </w:tr>
      <w:tr>
        <w:trPr>
          <w:trHeight w:val="203"/>
        </w:trPr>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4"/>
              </w:rPr>
              <w:t>customer</w:t>
            </w: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inventory</w:t>
            </w:r>
          </w:p>
        </w:tc>
        <w:tc>
          <w:tcPr>
            <w:tcW w:w="15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adjustments;</w:t>
            </w:r>
          </w:p>
        </w:tc>
        <w:tc>
          <w:tcPr>
            <w:tcW w:w="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405"/>
        </w:trPr>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92"/>
              </w:rPr>
              <w:t>-</w:t>
            </w:r>
          </w:p>
        </w:tc>
        <w:tc>
          <w:tcPr>
            <w:tcW w:w="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Availability</w:t>
            </w:r>
          </w:p>
        </w:tc>
        <w:tc>
          <w:tcPr>
            <w:tcW w:w="420" w:type="dxa"/>
            <w:vAlign w:val="bottom"/>
          </w:tcPr>
          <w:p>
            <w:pPr>
              <w:jc w:val="right"/>
              <w:ind w:right="52"/>
              <w:spacing w:after="0"/>
              <w:rPr>
                <w:sz w:val="20"/>
                <w:szCs w:val="20"/>
                <w:color w:val="auto"/>
              </w:rPr>
            </w:pPr>
            <w:r>
              <w:rPr>
                <w:rFonts w:ascii="Courier New" w:cs="Courier New" w:eastAsia="Courier New" w:hAnsi="Courier New"/>
                <w:sz w:val="18"/>
                <w:szCs w:val="18"/>
                <w:color w:val="auto"/>
              </w:rPr>
              <w:t>of</w:t>
            </w:r>
          </w:p>
        </w:tc>
        <w:tc>
          <w:tcPr>
            <w:tcW w:w="158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raw  materials</w:t>
            </w:r>
          </w:p>
        </w:tc>
        <w:tc>
          <w:tcPr>
            <w:tcW w:w="700" w:type="dxa"/>
            <w:vAlign w:val="bottom"/>
          </w:tcPr>
          <w:p>
            <w:pPr>
              <w:ind w:left="160"/>
              <w:spacing w:after="0"/>
              <w:rPr>
                <w:sz w:val="20"/>
                <w:szCs w:val="20"/>
                <w:color w:val="auto"/>
              </w:rPr>
            </w:pPr>
            <w:r>
              <w:rPr>
                <w:rFonts w:ascii="Courier New" w:cs="Courier New" w:eastAsia="Courier New" w:hAnsi="Courier New"/>
                <w:sz w:val="18"/>
                <w:szCs w:val="18"/>
                <w:color w:val="auto"/>
              </w:rPr>
              <w:t>and</w:t>
            </w: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4"/>
              </w:rPr>
              <w:t>critical</w:t>
            </w:r>
          </w:p>
        </w:tc>
        <w:tc>
          <w:tcPr>
            <w:tcW w:w="2780" w:type="dxa"/>
            <w:vAlign w:val="bottom"/>
          </w:tcPr>
          <w:p>
            <w:pPr>
              <w:ind w:left="40"/>
              <w:spacing w:after="0"/>
              <w:rPr>
                <w:sz w:val="20"/>
                <w:szCs w:val="20"/>
                <w:color w:val="auto"/>
              </w:rPr>
            </w:pPr>
            <w:r>
              <w:rPr>
                <w:rFonts w:ascii="Courier New" w:cs="Courier New" w:eastAsia="Courier New" w:hAnsi="Courier New"/>
                <w:sz w:val="18"/>
                <w:szCs w:val="18"/>
                <w:color w:val="auto"/>
              </w:rPr>
              <w:t>manufacturing  equipment;</w:t>
            </w:r>
          </w:p>
        </w:tc>
      </w:tr>
      <w:tr>
        <w:trPr>
          <w:trHeight w:val="405"/>
        </w:trPr>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92"/>
              </w:rPr>
              <w:t>-</w:t>
            </w:r>
          </w:p>
        </w:tc>
        <w:tc>
          <w:tcPr>
            <w:tcW w:w="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ind w:left="320"/>
              <w:spacing w:after="0"/>
              <w:rPr>
                <w:sz w:val="20"/>
                <w:szCs w:val="20"/>
                <w:color w:val="auto"/>
              </w:rPr>
            </w:pPr>
            <w:r>
              <w:rPr>
                <w:rFonts w:ascii="Courier New" w:cs="Courier New" w:eastAsia="Courier New" w:hAnsi="Courier New"/>
                <w:sz w:val="18"/>
                <w:szCs w:val="18"/>
                <w:color w:val="auto"/>
              </w:rPr>
              <w:t>TI's</w:t>
            </w:r>
          </w:p>
        </w:tc>
        <w:tc>
          <w:tcPr>
            <w:tcW w:w="780" w:type="dxa"/>
            <w:vAlign w:val="bottom"/>
          </w:tcPr>
          <w:p>
            <w:pPr>
              <w:spacing w:after="0"/>
              <w:rPr>
                <w:sz w:val="20"/>
                <w:szCs w:val="20"/>
                <w:color w:val="auto"/>
              </w:rPr>
            </w:pPr>
            <w:r>
              <w:rPr>
                <w:rFonts w:ascii="Courier New" w:cs="Courier New" w:eastAsia="Courier New" w:hAnsi="Courier New"/>
                <w:sz w:val="18"/>
                <w:szCs w:val="18"/>
                <w:color w:val="auto"/>
              </w:rPr>
              <w:t>ability</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to</w:t>
            </w:r>
          </w:p>
        </w:tc>
        <w:tc>
          <w:tcPr>
            <w:tcW w:w="900" w:type="dxa"/>
            <w:vAlign w:val="bottom"/>
          </w:tcPr>
          <w:p>
            <w:pPr>
              <w:ind w:left="160"/>
              <w:spacing w:after="0"/>
              <w:rPr>
                <w:sz w:val="20"/>
                <w:szCs w:val="20"/>
                <w:color w:val="auto"/>
              </w:rPr>
            </w:pPr>
            <w:r>
              <w:rPr>
                <w:rFonts w:ascii="Courier New" w:cs="Courier New" w:eastAsia="Courier New" w:hAnsi="Courier New"/>
                <w:sz w:val="18"/>
                <w:szCs w:val="18"/>
                <w:color w:val="auto"/>
                <w:w w:val="95"/>
              </w:rPr>
              <w:t>recruit</w:t>
            </w:r>
          </w:p>
        </w:tc>
        <w:tc>
          <w:tcPr>
            <w:tcW w:w="680" w:type="dxa"/>
            <w:vAlign w:val="bottom"/>
          </w:tcPr>
          <w:p>
            <w:pPr>
              <w:ind w:left="220"/>
              <w:spacing w:after="0"/>
              <w:rPr>
                <w:sz w:val="20"/>
                <w:szCs w:val="20"/>
                <w:color w:val="auto"/>
              </w:rPr>
            </w:pPr>
            <w:r>
              <w:rPr>
                <w:rFonts w:ascii="Courier New" w:cs="Courier New" w:eastAsia="Courier New" w:hAnsi="Courier New"/>
                <w:sz w:val="18"/>
                <w:szCs w:val="18"/>
                <w:color w:val="auto"/>
              </w:rPr>
              <w:t>and</w:t>
            </w:r>
          </w:p>
        </w:tc>
        <w:tc>
          <w:tcPr>
            <w:tcW w:w="700" w:type="dxa"/>
            <w:vAlign w:val="bottom"/>
          </w:tcPr>
          <w:p>
            <w:pPr>
              <w:ind w:left="60"/>
              <w:spacing w:after="0"/>
              <w:rPr>
                <w:sz w:val="20"/>
                <w:szCs w:val="20"/>
                <w:color w:val="auto"/>
              </w:rPr>
            </w:pPr>
            <w:r>
              <w:rPr>
                <w:rFonts w:ascii="Courier New" w:cs="Courier New" w:eastAsia="Courier New" w:hAnsi="Courier New"/>
                <w:sz w:val="18"/>
                <w:szCs w:val="18"/>
                <w:color w:val="auto"/>
                <w:w w:val="95"/>
              </w:rPr>
              <w:t>retain</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skilled</w:t>
            </w:r>
          </w:p>
        </w:tc>
        <w:tc>
          <w:tcPr>
            <w:tcW w:w="2780" w:type="dxa"/>
            <w:vAlign w:val="bottom"/>
          </w:tcPr>
          <w:p>
            <w:pPr>
              <w:ind w:left="160"/>
              <w:spacing w:after="0"/>
              <w:rPr>
                <w:sz w:val="20"/>
                <w:szCs w:val="20"/>
                <w:color w:val="auto"/>
              </w:rPr>
            </w:pPr>
            <w:r>
              <w:rPr>
                <w:rFonts w:ascii="Courier New" w:cs="Courier New" w:eastAsia="Courier New" w:hAnsi="Courier New"/>
                <w:sz w:val="18"/>
                <w:szCs w:val="18"/>
                <w:color w:val="auto"/>
              </w:rPr>
              <w:t>personnel;</w:t>
            </w:r>
          </w:p>
        </w:tc>
      </w:tr>
    </w:tbl>
    <w:p>
      <w:pPr>
        <w:spacing w:after="0" w:line="207" w:lineRule="exact"/>
        <w:rPr>
          <w:sz w:val="20"/>
          <w:szCs w:val="20"/>
          <w:color w:val="auto"/>
        </w:rPr>
      </w:pPr>
    </w:p>
    <w:p>
      <w:pPr>
        <w:ind w:left="540" w:right="1579" w:hanging="532"/>
        <w:spacing w:after="0" w:line="235" w:lineRule="auto"/>
        <w:tabs>
          <w:tab w:leader="none" w:pos="22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-Fluctuations in the market value of TI's investments and in interest rates; and</w:t>
      </w:r>
    </w:p>
    <w:p>
      <w:pPr>
        <w:spacing w:after="0" w:line="208" w:lineRule="exact"/>
        <w:rPr>
          <w:rFonts w:ascii="Courier New" w:cs="Courier New" w:eastAsia="Courier New" w:hAnsi="Courier New"/>
          <w:sz w:val="18"/>
          <w:szCs w:val="18"/>
          <w:color w:val="auto"/>
        </w:rPr>
      </w:pPr>
    </w:p>
    <w:p>
      <w:pPr>
        <w:ind w:left="540" w:right="1579" w:hanging="532"/>
        <w:spacing w:after="0" w:line="236" w:lineRule="auto"/>
        <w:tabs>
          <w:tab w:leader="none" w:pos="22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-Timely implementation of new manufacturing technologies, installation of manufacturing equipment and the ability to obtain needed third-party foundry and assembly/test subcontract services.</w:t>
      </w:r>
    </w:p>
    <w:p>
      <w:pPr>
        <w:spacing w:after="0" w:line="200" w:lineRule="exact"/>
        <w:rPr>
          <w:sz w:val="20"/>
          <w:szCs w:val="20"/>
          <w:color w:val="auto"/>
        </w:rPr>
      </w:pP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For a more detailed discussion of these and other factors, see the text under the heading "Cautionary Statements Regarding Future Results of Operations" in Item 1 of TI's most recent Form 10-K. The forward-looking statements included in this Form 8-K are made only as of the date of this Form 8-K and TI undertakes no obligation to update the forward-looking statements to reflect subsequent events or circumstances.</w:t>
      </w: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TEXAS INSTRUMENTS INCORPORATED</w:t>
      </w:r>
    </w:p>
    <w:p>
      <w:pPr>
        <w:sectPr>
          <w:pgSz w:w="11900" w:h="16838" w:orient="portrait"/>
          <w:cols w:equalWidth="0" w:num="1">
            <w:col w:w="10219"/>
          </w:cols>
          <w:pgMar w:left="240" w:top="14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July 1, 2004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JOSEPH F. HUBACH</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Joseph F. Hubach</w:t>
      </w:r>
    </w:p>
    <w:p>
      <w:pPr>
        <w:ind w:left="420"/>
        <w:spacing w:after="0" w:line="238" w:lineRule="auto"/>
        <w:rPr>
          <w:sz w:val="20"/>
          <w:szCs w:val="20"/>
          <w:color w:val="auto"/>
        </w:rPr>
      </w:pPr>
      <w:r>
        <w:rPr>
          <w:rFonts w:ascii="Courier New" w:cs="Courier New" w:eastAsia="Courier New" w:hAnsi="Courier New"/>
          <w:sz w:val="18"/>
          <w:szCs w:val="18"/>
          <w:color w:val="auto"/>
        </w:rPr>
        <w:t>Senior Vice President,</w:t>
      </w:r>
    </w:p>
    <w:p>
      <w:pPr>
        <w:ind w:left="420"/>
        <w:spacing w:after="0"/>
        <w:rPr>
          <w:sz w:val="20"/>
          <w:szCs w:val="20"/>
          <w:color w:val="auto"/>
        </w:rPr>
      </w:pPr>
      <w:r>
        <w:rPr>
          <w:rFonts w:ascii="Courier New" w:cs="Courier New" w:eastAsia="Courier New" w:hAnsi="Courier New"/>
          <w:sz w:val="18"/>
          <w:szCs w:val="18"/>
          <w:color w:val="auto"/>
        </w:rPr>
        <w:t>Secretary and</w:t>
      </w:r>
    </w:p>
    <w:p>
      <w:pPr>
        <w:ind w:left="420"/>
        <w:spacing w:after="0" w:line="237" w:lineRule="auto"/>
        <w:rPr>
          <w:sz w:val="20"/>
          <w:szCs w:val="20"/>
          <w:color w:val="auto"/>
        </w:rPr>
      </w:pPr>
      <w:r>
        <w:rPr>
          <w:rFonts w:ascii="Courier New" w:cs="Courier New" w:eastAsia="Courier New" w:hAnsi="Courier New"/>
          <w:sz w:val="18"/>
          <w:szCs w:val="18"/>
          <w:color w:val="auto"/>
        </w:rPr>
        <w:t>General Counsel</w:t>
      </w:r>
    </w:p>
    <w:p>
      <w:pPr>
        <w:sectPr>
          <w:pgSz w:w="11900" w:h="16838" w:orient="portrait"/>
          <w:cols w:equalWidth="0" w:num="2">
            <w:col w:w="3500" w:space="720"/>
            <w:col w:w="5999"/>
          </w:cols>
          <w:pgMar w:left="240" w:top="142" w:right="1440" w:bottom="1440" w:gutter="0" w:footer="0" w:header="0"/>
          <w:type w:val="continuous"/>
        </w:sectPr>
      </w:pPr>
    </w:p>
    <w:bookmarkStart w:id="2" w:name="page3"/>
    <w:bookmarkEnd w:id="2"/>
    <w:p>
      <w:pPr>
        <w:ind w:left="7380"/>
        <w:spacing w:after="0"/>
        <w:rPr>
          <w:sz w:val="20"/>
          <w:szCs w:val="20"/>
          <w:color w:val="auto"/>
        </w:rPr>
      </w:pPr>
      <w:r>
        <w:rPr>
          <w:rFonts w:ascii="Courier New" w:cs="Courier New" w:eastAsia="Courier New" w:hAnsi="Courier New"/>
          <w:sz w:val="18"/>
          <w:szCs w:val="18"/>
          <w:color w:val="auto"/>
        </w:rPr>
        <w:t>Exhibit 99</w:t>
      </w:r>
    </w:p>
    <w:p>
      <w:pPr>
        <w:ind w:left="73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left="1800" w:right="1779" w:hanging="1579"/>
        <w:spacing w:after="0" w:line="235" w:lineRule="auto"/>
        <w:rPr>
          <w:sz w:val="20"/>
          <w:szCs w:val="20"/>
          <w:color w:val="auto"/>
        </w:rPr>
      </w:pPr>
      <w:r>
        <w:rPr>
          <w:rFonts w:ascii="Courier New" w:cs="Courier New" w:eastAsia="Courier New" w:hAnsi="Courier New"/>
          <w:sz w:val="18"/>
          <w:szCs w:val="18"/>
          <w:color w:val="auto"/>
        </w:rPr>
        <w:t>DELAWARE COURT INDICATES TI DID NOT MATERIALLY BREACH CROSS-LICENSE AGREEMENT, QUALCOMM NOT ENTITLED TO TERMINATE TI'S RIGHTS</w:t>
      </w:r>
    </w:p>
    <w:p>
      <w:pPr>
        <w:spacing w:after="0" w:line="203"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TI RETAINS RIGHTS TO QUALCOMM PATENTS</w:t>
      </w:r>
    </w:p>
    <w:p>
      <w:pPr>
        <w:spacing w:after="0" w:line="200" w:lineRule="exact"/>
        <w:rPr>
          <w:sz w:val="20"/>
          <w:szCs w:val="20"/>
          <w:color w:val="auto"/>
        </w:rPr>
      </w:pPr>
    </w:p>
    <w:p>
      <w:pPr>
        <w:spacing w:after="0" w:line="209" w:lineRule="exact"/>
        <w:rPr>
          <w:sz w:val="20"/>
          <w:szCs w:val="20"/>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DALLAS (July 1, 2004) -- Texas Instruments Incorporated (NYSE: TXN) today said that the Delaware Court of Chancery has expressed its intent to grant TI's motion for summary judgment in a lawsuit between TI and Qualcomm Incorporated.</w:t>
      </w:r>
    </w:p>
    <w:p>
      <w:pPr>
        <w:spacing w:after="0" w:line="17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court indicated it agreed with TI's argument that its disclosure of information regarding terms of a patent cross-license agreement was not a material breach, and that Qualcomm is not entitled to terminate TI's rights to Qualcomm's CDMA patents under the agreement.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"Qualcomm's efforts to strip us of our rights under this cross-license agreement have failed. This is a victory for TI," said Senior Vice President and General Counsel Joseph F. Hubach. "We are grateful for the expeditious manner in which the court has dealt with this case."</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The court is expected to consider Qualcomm's claims for damages based on a non-material breach at a trial scheduled to begin August 16.</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Qualcomm filed suit against TI July 25, 2003, alleging a material breach of the confidentiality of the agreement. TI filed suit September 23, 2003, alleging that Qualcomm violated the cross-license agreement by granting royalty discounts to handset makers that use Qualcomm's semiconductor products. The court indicated today that it intends to grant Qualcomm's motion that it did not breach the agreement on this issue.</w:t>
      </w:r>
    </w:p>
    <w:p>
      <w:pPr>
        <w:spacing w:after="0" w:line="210"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6"/>
          <w:szCs w:val="16"/>
          <w:color w:val="auto"/>
        </w:rPr>
        <w:t>The court is expected to issue a written opinion confirming these indications.</w:t>
      </w:r>
    </w:p>
    <w:p>
      <w:pPr>
        <w:spacing w:after="0" w:line="21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"Safe Harbor" Statement under the Private Securities Litigation Reform Act of 1995: 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in this release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16"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We urge you to carefully consider the following important factors that could cause actual results to differ materially from the expectations of the company or its management:</w:t>
      </w:r>
    </w:p>
    <w:p>
      <w:pPr>
        <w:spacing w:after="0" w:line="209" w:lineRule="exact"/>
        <w:rPr>
          <w:sz w:val="20"/>
          <w:szCs w:val="20"/>
          <w:color w:val="auto"/>
        </w:rPr>
      </w:pPr>
    </w:p>
    <w:p>
      <w:pPr>
        <w:ind w:left="540" w:right="1579" w:hanging="532"/>
        <w:spacing w:after="0" w:line="290" w:lineRule="auto"/>
        <w:tabs>
          <w:tab w:leader="none" w:pos="2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Market demand for semiconductors, particularly for analog chips and digital signal processors in key markets, such as telecommunications and computers;</w:t>
      </w:r>
    </w:p>
    <w:p>
      <w:pPr>
        <w:spacing w:after="0" w:line="16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TI's  ability  to maintain or improve profit margins, including its ability</w:t>
      </w:r>
    </w:p>
    <w:p>
      <w:pPr>
        <w:spacing w:after="0" w:line="4" w:lineRule="exact"/>
        <w:rPr>
          <w:sz w:val="20"/>
          <w:szCs w:val="20"/>
          <w:color w:val="auto"/>
        </w:rPr>
      </w:pPr>
    </w:p>
    <w:p>
      <w:pPr>
        <w:jc w:val="both"/>
        <w:ind w:left="540" w:right="1779"/>
        <w:spacing w:after="0" w:line="235" w:lineRule="auto"/>
        <w:rPr>
          <w:sz w:val="20"/>
          <w:szCs w:val="20"/>
          <w:color w:val="auto"/>
        </w:rPr>
      </w:pPr>
      <w:r>
        <w:rPr>
          <w:rFonts w:ascii="Courier New" w:cs="Courier New" w:eastAsia="Courier New" w:hAnsi="Courier New"/>
          <w:sz w:val="18"/>
          <w:szCs w:val="18"/>
          <w:color w:val="auto"/>
        </w:rPr>
        <w:t>to utilize its manufacturing facilities at sufficient levels to cover its fixed operating costs, in an intensely competitive and cyclical industry;</w:t>
      </w:r>
    </w:p>
    <w:p>
      <w:pPr>
        <w:spacing w:after="0" w:line="208" w:lineRule="exact"/>
        <w:rPr>
          <w:sz w:val="20"/>
          <w:szCs w:val="20"/>
          <w:color w:val="auto"/>
        </w:rPr>
      </w:pPr>
    </w:p>
    <w:p>
      <w:pPr>
        <w:ind w:left="540" w:right="157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 -</w:t>
        <w:tab/>
        <w:t>TI's ability to develop, manufacture and market innovative products in a rapidly changing technological environment;</w:t>
      </w:r>
    </w:p>
    <w:p>
      <w:pPr>
        <w:spacing w:after="0" w:line="208" w:lineRule="exact"/>
        <w:rPr>
          <w:sz w:val="20"/>
          <w:szCs w:val="20"/>
          <w:color w:val="auto"/>
        </w:rPr>
      </w:pPr>
    </w:p>
    <w:p>
      <w:pPr>
        <w:ind w:left="540" w:right="1579" w:hanging="532"/>
        <w:spacing w:after="0" w:line="235" w:lineRule="auto"/>
        <w:tabs>
          <w:tab w:leader="none" w:pos="22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 ability to compete in products and prices in an intensely competitive industry;</w:t>
      </w:r>
    </w:p>
    <w:p>
      <w:pPr>
        <w:spacing w:after="0" w:line="202"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TI's  ability  to  maintain  and  enforce  a  strong  intellectual property</w:t>
      </w:r>
    </w:p>
    <w:p>
      <w:pPr>
        <w:ind w:left="540"/>
        <w:spacing w:after="0"/>
        <w:tabs>
          <w:tab w:leader="none" w:pos="1680" w:val="left"/>
          <w:tab w:leader="none" w:pos="2200" w:val="left"/>
          <w:tab w:leader="none" w:pos="3040" w:val="left"/>
          <w:tab w:leader="none" w:pos="3880" w:val="left"/>
          <w:tab w:leader="none" w:pos="4940" w:val="left"/>
          <w:tab w:leader="none" w:pos="5580" w:val="left"/>
          <w:tab w:leader="none" w:pos="6300" w:val="left"/>
        </w:tabs>
        <w:rPr>
          <w:sz w:val="20"/>
          <w:szCs w:val="20"/>
          <w:color w:val="auto"/>
        </w:rPr>
      </w:pPr>
      <w:r>
        <w:rPr>
          <w:rFonts w:ascii="Courier New" w:cs="Courier New" w:eastAsia="Courier New" w:hAnsi="Courier New"/>
          <w:sz w:val="18"/>
          <w:szCs w:val="18"/>
          <w:color w:val="auto"/>
        </w:rPr>
        <w:t>portfolio</w:t>
        <w:tab/>
        <w:t>and</w:t>
        <w:tab/>
        <w:t>obtain</w:t>
        <w:tab/>
        <w:t>needed</w:t>
        <w:tab/>
        <w:t>licenses</w:t>
        <w:tab/>
        <w:t>from</w:t>
        <w:tab/>
        <w:t>third</w:t>
      </w:r>
      <w:r>
        <w:rPr>
          <w:sz w:val="20"/>
          <w:szCs w:val="20"/>
          <w:color w:val="auto"/>
        </w:rPr>
        <w:tab/>
      </w:r>
      <w:r>
        <w:rPr>
          <w:rFonts w:ascii="Courier New" w:cs="Courier New" w:eastAsia="Courier New" w:hAnsi="Courier New"/>
          <w:sz w:val="16"/>
          <w:szCs w:val="16"/>
          <w:color w:val="auto"/>
        </w:rPr>
        <w:t>parties;</w:t>
      </w:r>
    </w:p>
    <w:p>
      <w:pPr>
        <w:sectPr>
          <w:pgSz w:w="11900" w:h="16838" w:orient="portrait"/>
          <w:cols w:equalWidth="0" w:num="1">
            <w:col w:w="10219"/>
          </w:cols>
          <w:pgMar w:left="240" w:top="514"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spacing w:after="0" w:line="290" w:lineRule="auto"/>
        <w:rPr>
          <w:sz w:val="20"/>
          <w:szCs w:val="20"/>
          <w:color w:val="auto"/>
        </w:rPr>
      </w:pPr>
      <w:r>
        <w:rPr>
          <w:rFonts w:ascii="Courier New" w:cs="Courier New" w:eastAsia="Courier New" w:hAnsi="Courier New"/>
          <w:sz w:val="16"/>
          <w:szCs w:val="16"/>
          <w:color w:val="auto"/>
        </w:rPr>
        <w:t>Consolidation royalty  payments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TI's</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TI;</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patent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licensees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and</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market conditions reducing</w:t>
      </w:r>
    </w:p>
    <w:p>
      <w:pPr>
        <w:spacing w:after="0" w:line="426" w:lineRule="exact"/>
        <w:rPr>
          <w:sz w:val="20"/>
          <w:szCs w:val="20"/>
          <w:color w:val="auto"/>
        </w:rPr>
      </w:pPr>
    </w:p>
    <w:p>
      <w:pPr>
        <w:sectPr>
          <w:pgSz w:w="11900" w:h="16838" w:orient="portrait"/>
          <w:cols w:equalWidth="0" w:num="9">
            <w:col w:w="320" w:space="220"/>
            <w:col w:w="1780" w:space="0"/>
            <w:col w:w="220" w:space="0"/>
            <w:col w:w="200" w:space="0"/>
            <w:col w:w="540" w:space="100"/>
            <w:col w:w="640" w:space="200"/>
            <w:col w:w="940" w:space="220"/>
            <w:col w:w="320" w:space="200"/>
            <w:col w:w="4319"/>
          </w:cols>
          <w:pgMar w:left="240" w:top="514"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Timely</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6"/>
          <w:szCs w:val="16"/>
          <w:color w:val="auto"/>
        </w:rPr>
        <w:t>completion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6"/>
          <w:szCs w:val="16"/>
          <w:color w:val="auto"/>
        </w:rPr>
        <w:t>and</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6"/>
          <w:szCs w:val="16"/>
          <w:color w:val="auto"/>
        </w:rPr>
        <w:t>successful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integration of announced acquisitions;</w:t>
      </w:r>
    </w:p>
    <w:p>
      <w:pPr>
        <w:spacing w:after="0" w:line="200" w:lineRule="exact"/>
        <w:rPr>
          <w:sz w:val="20"/>
          <w:szCs w:val="20"/>
          <w:color w:val="auto"/>
        </w:rPr>
      </w:pPr>
    </w:p>
    <w:p>
      <w:pPr>
        <w:sectPr>
          <w:pgSz w:w="11900" w:h="16838" w:orient="portrait"/>
          <w:cols w:equalWidth="0" w:num="6">
            <w:col w:w="320" w:space="420"/>
            <w:col w:w="640" w:space="200"/>
            <w:col w:w="1060" w:space="220"/>
            <w:col w:w="300" w:space="220"/>
            <w:col w:w="1060" w:space="200"/>
            <w:col w:w="5579"/>
          </w:cols>
          <w:pgMar w:left="240" w:top="514" w:right="1440" w:bottom="0" w:gutter="0" w:footer="0" w:header="0"/>
          <w:type w:val="continuous"/>
        </w:sectPr>
      </w:pPr>
    </w:p>
    <w:p>
      <w:pPr>
        <w:spacing w:after="0" w:line="24" w:lineRule="exact"/>
        <w:rPr>
          <w:sz w:val="20"/>
          <w:szCs w:val="20"/>
          <w:color w:val="auto"/>
        </w:rPr>
      </w:pPr>
    </w:p>
    <w:p>
      <w:pPr>
        <w:ind w:left="540" w:right="1579" w:hanging="532"/>
        <w:spacing w:after="0" w:line="237" w:lineRule="auto"/>
        <w:tabs>
          <w:tab w:leader="none" w:pos="224"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ectPr>
          <w:pgSz w:w="11900" w:h="16838" w:orient="portrait"/>
          <w:cols w:equalWidth="0" w:num="1">
            <w:col w:w="10219"/>
          </w:cols>
          <w:pgMar w:left="240" w:top="514" w:right="1440"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42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2"/>
              </w:rPr>
              <w:t>- -</w:t>
            </w:r>
          </w:p>
        </w:tc>
        <w:tc>
          <w:tcPr>
            <w:tcW w:w="960" w:type="dxa"/>
            <w:vAlign w:val="bottom"/>
          </w:tcPr>
          <w:p>
            <w:pPr>
              <w:ind w:left="320"/>
              <w:spacing w:after="0"/>
              <w:rPr>
                <w:sz w:val="20"/>
                <w:szCs w:val="20"/>
                <w:color w:val="auto"/>
              </w:rPr>
            </w:pPr>
            <w:r>
              <w:rPr>
                <w:rFonts w:ascii="Courier New" w:cs="Courier New" w:eastAsia="Courier New" w:hAnsi="Courier New"/>
                <w:sz w:val="18"/>
                <w:szCs w:val="18"/>
                <w:color w:val="auto"/>
                <w:w w:val="95"/>
              </w:rPr>
              <w:t>Losses</w:t>
            </w:r>
          </w:p>
        </w:tc>
        <w:tc>
          <w:tcPr>
            <w:tcW w:w="2100" w:type="dxa"/>
            <w:vAlign w:val="bottom"/>
            <w:gridSpan w:val="3"/>
          </w:tcPr>
          <w:p>
            <w:pPr>
              <w:ind w:left="200"/>
              <w:spacing w:after="0"/>
              <w:rPr>
                <w:sz w:val="20"/>
                <w:szCs w:val="20"/>
                <w:color w:val="auto"/>
              </w:rPr>
            </w:pPr>
            <w:r>
              <w:rPr>
                <w:rFonts w:ascii="Courier New" w:cs="Courier New" w:eastAsia="Courier New" w:hAnsi="Courier New"/>
                <w:sz w:val="18"/>
                <w:szCs w:val="18"/>
                <w:color w:val="auto"/>
              </w:rPr>
              <w:t>or  curtailments</w:t>
            </w:r>
          </w:p>
        </w:tc>
        <w:tc>
          <w:tcPr>
            <w:tcW w:w="238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6"/>
              </w:rPr>
              <w:t>of  purchases from key</w:t>
            </w:r>
          </w:p>
        </w:tc>
        <w:tc>
          <w:tcPr>
            <w:tcW w:w="2780" w:type="dxa"/>
            <w:vAlign w:val="bottom"/>
          </w:tcPr>
          <w:p>
            <w:pPr>
              <w:ind w:left="40"/>
              <w:spacing w:after="0"/>
              <w:rPr>
                <w:sz w:val="20"/>
                <w:szCs w:val="20"/>
                <w:color w:val="auto"/>
              </w:rPr>
            </w:pPr>
            <w:r>
              <w:rPr>
                <w:rFonts w:ascii="Courier New" w:cs="Courier New" w:eastAsia="Courier New" w:hAnsi="Courier New"/>
                <w:sz w:val="18"/>
                <w:szCs w:val="18"/>
                <w:color w:val="auto"/>
                <w:w w:val="96"/>
              </w:rPr>
              <w:t>customers or the timing of</w:t>
            </w:r>
          </w:p>
        </w:tc>
      </w:tr>
      <w:tr>
        <w:trPr>
          <w:trHeight w:val="203"/>
        </w:trPr>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4"/>
              </w:rPr>
              <w:t>customer</w:t>
            </w: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inventory</w:t>
            </w:r>
          </w:p>
        </w:tc>
        <w:tc>
          <w:tcPr>
            <w:tcW w:w="15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adjustments;</w:t>
            </w:r>
          </w:p>
        </w:tc>
        <w:tc>
          <w:tcPr>
            <w:tcW w:w="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405"/>
        </w:trPr>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92"/>
              </w:rPr>
              <w:t>-</w:t>
            </w:r>
          </w:p>
        </w:tc>
        <w:tc>
          <w:tcPr>
            <w:tcW w:w="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Availability</w:t>
            </w:r>
          </w:p>
        </w:tc>
        <w:tc>
          <w:tcPr>
            <w:tcW w:w="420" w:type="dxa"/>
            <w:vAlign w:val="bottom"/>
          </w:tcPr>
          <w:p>
            <w:pPr>
              <w:jc w:val="right"/>
              <w:ind w:right="52"/>
              <w:spacing w:after="0"/>
              <w:rPr>
                <w:sz w:val="20"/>
                <w:szCs w:val="20"/>
                <w:color w:val="auto"/>
              </w:rPr>
            </w:pPr>
            <w:r>
              <w:rPr>
                <w:rFonts w:ascii="Courier New" w:cs="Courier New" w:eastAsia="Courier New" w:hAnsi="Courier New"/>
                <w:sz w:val="18"/>
                <w:szCs w:val="18"/>
                <w:color w:val="auto"/>
              </w:rPr>
              <w:t>of</w:t>
            </w:r>
          </w:p>
        </w:tc>
        <w:tc>
          <w:tcPr>
            <w:tcW w:w="158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raw  materials</w:t>
            </w:r>
          </w:p>
        </w:tc>
        <w:tc>
          <w:tcPr>
            <w:tcW w:w="700" w:type="dxa"/>
            <w:vAlign w:val="bottom"/>
          </w:tcPr>
          <w:p>
            <w:pPr>
              <w:ind w:left="160"/>
              <w:spacing w:after="0"/>
              <w:rPr>
                <w:sz w:val="20"/>
                <w:szCs w:val="20"/>
                <w:color w:val="auto"/>
              </w:rPr>
            </w:pPr>
            <w:r>
              <w:rPr>
                <w:rFonts w:ascii="Courier New" w:cs="Courier New" w:eastAsia="Courier New" w:hAnsi="Courier New"/>
                <w:sz w:val="18"/>
                <w:szCs w:val="18"/>
                <w:color w:val="auto"/>
              </w:rPr>
              <w:t>and</w:t>
            </w: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4"/>
              </w:rPr>
              <w:t>critical</w:t>
            </w:r>
          </w:p>
        </w:tc>
        <w:tc>
          <w:tcPr>
            <w:tcW w:w="2780" w:type="dxa"/>
            <w:vAlign w:val="bottom"/>
          </w:tcPr>
          <w:p>
            <w:pPr>
              <w:ind w:left="40"/>
              <w:spacing w:after="0"/>
              <w:rPr>
                <w:sz w:val="20"/>
                <w:szCs w:val="20"/>
                <w:color w:val="auto"/>
              </w:rPr>
            </w:pPr>
            <w:r>
              <w:rPr>
                <w:rFonts w:ascii="Courier New" w:cs="Courier New" w:eastAsia="Courier New" w:hAnsi="Courier New"/>
                <w:sz w:val="18"/>
                <w:szCs w:val="18"/>
                <w:color w:val="auto"/>
              </w:rPr>
              <w:t>manufacturing  equipment;</w:t>
            </w:r>
          </w:p>
        </w:tc>
      </w:tr>
      <w:tr>
        <w:trPr>
          <w:trHeight w:val="405"/>
        </w:trPr>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92"/>
              </w:rPr>
              <w:t>-</w:t>
            </w:r>
          </w:p>
        </w:tc>
        <w:tc>
          <w:tcPr>
            <w:tcW w:w="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ind w:left="320"/>
              <w:spacing w:after="0"/>
              <w:rPr>
                <w:sz w:val="20"/>
                <w:szCs w:val="20"/>
                <w:color w:val="auto"/>
              </w:rPr>
            </w:pPr>
            <w:r>
              <w:rPr>
                <w:rFonts w:ascii="Courier New" w:cs="Courier New" w:eastAsia="Courier New" w:hAnsi="Courier New"/>
                <w:sz w:val="18"/>
                <w:szCs w:val="18"/>
                <w:color w:val="auto"/>
              </w:rPr>
              <w:t>TI's</w:t>
            </w:r>
          </w:p>
        </w:tc>
        <w:tc>
          <w:tcPr>
            <w:tcW w:w="780" w:type="dxa"/>
            <w:vAlign w:val="bottom"/>
          </w:tcPr>
          <w:p>
            <w:pPr>
              <w:spacing w:after="0"/>
              <w:rPr>
                <w:sz w:val="20"/>
                <w:szCs w:val="20"/>
                <w:color w:val="auto"/>
              </w:rPr>
            </w:pPr>
            <w:r>
              <w:rPr>
                <w:rFonts w:ascii="Courier New" w:cs="Courier New" w:eastAsia="Courier New" w:hAnsi="Courier New"/>
                <w:sz w:val="18"/>
                <w:szCs w:val="18"/>
                <w:color w:val="auto"/>
              </w:rPr>
              <w:t>ability</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to</w:t>
            </w:r>
          </w:p>
        </w:tc>
        <w:tc>
          <w:tcPr>
            <w:tcW w:w="900" w:type="dxa"/>
            <w:vAlign w:val="bottom"/>
          </w:tcPr>
          <w:p>
            <w:pPr>
              <w:ind w:left="160"/>
              <w:spacing w:after="0"/>
              <w:rPr>
                <w:sz w:val="20"/>
                <w:szCs w:val="20"/>
                <w:color w:val="auto"/>
              </w:rPr>
            </w:pPr>
            <w:r>
              <w:rPr>
                <w:rFonts w:ascii="Courier New" w:cs="Courier New" w:eastAsia="Courier New" w:hAnsi="Courier New"/>
                <w:sz w:val="18"/>
                <w:szCs w:val="18"/>
                <w:color w:val="auto"/>
                <w:w w:val="95"/>
              </w:rPr>
              <w:t>recruit</w:t>
            </w:r>
          </w:p>
        </w:tc>
        <w:tc>
          <w:tcPr>
            <w:tcW w:w="680" w:type="dxa"/>
            <w:vAlign w:val="bottom"/>
          </w:tcPr>
          <w:p>
            <w:pPr>
              <w:ind w:left="220"/>
              <w:spacing w:after="0"/>
              <w:rPr>
                <w:sz w:val="20"/>
                <w:szCs w:val="20"/>
                <w:color w:val="auto"/>
              </w:rPr>
            </w:pPr>
            <w:r>
              <w:rPr>
                <w:rFonts w:ascii="Courier New" w:cs="Courier New" w:eastAsia="Courier New" w:hAnsi="Courier New"/>
                <w:sz w:val="18"/>
                <w:szCs w:val="18"/>
                <w:color w:val="auto"/>
              </w:rPr>
              <w:t>and</w:t>
            </w:r>
          </w:p>
        </w:tc>
        <w:tc>
          <w:tcPr>
            <w:tcW w:w="700" w:type="dxa"/>
            <w:vAlign w:val="bottom"/>
          </w:tcPr>
          <w:p>
            <w:pPr>
              <w:ind w:left="60"/>
              <w:spacing w:after="0"/>
              <w:rPr>
                <w:sz w:val="20"/>
                <w:szCs w:val="20"/>
                <w:color w:val="auto"/>
              </w:rPr>
            </w:pPr>
            <w:r>
              <w:rPr>
                <w:rFonts w:ascii="Courier New" w:cs="Courier New" w:eastAsia="Courier New" w:hAnsi="Courier New"/>
                <w:sz w:val="18"/>
                <w:szCs w:val="18"/>
                <w:color w:val="auto"/>
                <w:w w:val="95"/>
              </w:rPr>
              <w:t>retain</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skilled</w:t>
            </w:r>
          </w:p>
        </w:tc>
        <w:tc>
          <w:tcPr>
            <w:tcW w:w="2780" w:type="dxa"/>
            <w:vAlign w:val="bottom"/>
          </w:tcPr>
          <w:p>
            <w:pPr>
              <w:ind w:left="160"/>
              <w:spacing w:after="0"/>
              <w:rPr>
                <w:sz w:val="20"/>
                <w:szCs w:val="20"/>
                <w:color w:val="auto"/>
              </w:rPr>
            </w:pPr>
            <w:r>
              <w:rPr>
                <w:rFonts w:ascii="Courier New" w:cs="Courier New" w:eastAsia="Courier New" w:hAnsi="Courier New"/>
                <w:sz w:val="18"/>
                <w:szCs w:val="18"/>
                <w:color w:val="auto"/>
              </w:rPr>
              <w:t>personnel;</w:t>
            </w:r>
          </w:p>
        </w:tc>
      </w:tr>
    </w:tbl>
    <w:p>
      <w:pPr>
        <w:spacing w:after="0" w:line="207" w:lineRule="exact"/>
        <w:rPr>
          <w:sz w:val="20"/>
          <w:szCs w:val="20"/>
          <w:color w:val="auto"/>
        </w:rPr>
      </w:pPr>
    </w:p>
    <w:p>
      <w:pPr>
        <w:ind w:left="540" w:right="1579" w:hanging="532"/>
        <w:spacing w:after="0" w:line="235" w:lineRule="auto"/>
        <w:tabs>
          <w:tab w:leader="none" w:pos="224"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-Fluctuations in the market value of TI's investments and in interest rates; and</w:t>
      </w:r>
    </w:p>
    <w:p>
      <w:pPr>
        <w:spacing w:after="0" w:line="208" w:lineRule="exact"/>
        <w:rPr>
          <w:rFonts w:ascii="Courier New" w:cs="Courier New" w:eastAsia="Courier New" w:hAnsi="Courier New"/>
          <w:sz w:val="18"/>
          <w:szCs w:val="18"/>
          <w:color w:val="auto"/>
        </w:rPr>
      </w:pPr>
    </w:p>
    <w:p>
      <w:pPr>
        <w:ind w:left="540" w:right="1579" w:hanging="532"/>
        <w:spacing w:after="0" w:line="236" w:lineRule="auto"/>
        <w:tabs>
          <w:tab w:leader="none" w:pos="224"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-Timely implementation of new manufacturing technologies, installation of manufacturing equipment, and the ability to obtain needed third-party foundry and assembly/test subcontract services.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For a more detailed discussion of these factors, see the text under the heading "Cautionary Statements Regarding Future Results of Operations" in Item 1 of the company's most recent Form 10-K. The forward-looking statements included in this release are made only as of the date of publication, and the company undertakes no obligation to update the forward-looking statements to reflect subsequent events or circumstances.</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Texas Instruments Incorporated provides innovative DSP and Analog technologies to meet our customers' real world signal processing requirements. In addition to Semiconductor, the company's businesses include Sensors &amp; Controls and Educational &amp; Productivity Solutions. TI is headquartered in Dallas, Texas, and has manufacturing, design or sales operations in more than 25 countries.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Texas Instruments is traded on the New York Stock Exchange under the symbol TXN.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More information is located on the World Wide Web at www.ti.com.</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2019-12-13T07:42:05Z</dcterms:created>
  <dcterms:modified xsi:type="dcterms:W3CDTF">2019-12-13T07:42:05Z</dcterms:modified>
</cp:coreProperties>
</file>