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9"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ind w:left="3380"/>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left="3200"/>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SCHEDULE 13G</w:t>
      </w:r>
    </w:p>
    <w:p>
      <w:pPr>
        <w:spacing w:after="0" w:line="229" w:lineRule="exact"/>
        <w:rPr>
          <w:sz w:val="24"/>
          <w:szCs w:val="24"/>
          <w:color w:val="auto"/>
        </w:rPr>
      </w:pPr>
    </w:p>
    <w:p>
      <w:pPr>
        <w:jc w:val="center"/>
        <w:ind w:left="34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3400"/>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ind w:left="4140"/>
        <w:spacing w:after="0"/>
        <w:rPr>
          <w:sz w:val="20"/>
          <w:szCs w:val="20"/>
          <w:color w:val="auto"/>
        </w:rPr>
      </w:pPr>
      <w:r>
        <w:rPr>
          <w:rFonts w:ascii="Arial" w:cs="Arial" w:eastAsia="Arial" w:hAnsi="Arial"/>
          <w:sz w:val="32"/>
          <w:szCs w:val="32"/>
          <w:b w:val="1"/>
          <w:bCs w:val="1"/>
          <w:color w:val="auto"/>
        </w:rPr>
        <w:t>Texas Instruments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74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-130175</wp:posOffset>
            </wp:positionV>
            <wp:extent cx="1861185"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1185" cy="711835"/>
                    </a:xfrm>
                    <a:prstGeom prst="rect">
                      <a:avLst/>
                    </a:prstGeom>
                    <a:noFill/>
                  </pic:spPr>
                </pic:pic>
              </a:graphicData>
            </a:graphic>
          </wp:anchor>
        </w:drawing>
      </w:r>
    </w:p>
    <w:p>
      <w:pPr>
        <w:spacing w:after="0" w:line="3"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23" w:lineRule="exact"/>
        <w:rPr>
          <w:sz w:val="24"/>
          <w:szCs w:val="24"/>
          <w:color w:val="auto"/>
        </w:rPr>
      </w:pPr>
    </w:p>
    <w:p>
      <w:pPr>
        <w:spacing w:after="0"/>
        <w:tabs>
          <w:tab w:leader="none" w:pos="76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6"/>
          <w:szCs w:val="16"/>
          <w:color w:val="auto"/>
        </w:rPr>
        <w:t>February 28,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hours per response. . . . . . . . 10.4</w:t>
      </w:r>
    </w:p>
    <w:p>
      <w:pPr>
        <w:spacing w:after="0" w:line="1544" w:lineRule="exact"/>
        <w:rPr>
          <w:sz w:val="24"/>
          <w:szCs w:val="24"/>
          <w:color w:val="auto"/>
        </w:rPr>
      </w:pPr>
    </w:p>
    <w:p>
      <w:pPr>
        <w:sectPr>
          <w:pgSz w:w="11900" w:h="16838" w:orient="portrait"/>
          <w:cols w:equalWidth="0" w:num="2">
            <w:col w:w="8040" w:space="480"/>
            <w:col w:w="2900"/>
          </w:cols>
          <w:pgMar w:left="240" w:top="463" w:right="239" w:bottom="76" w:gutter="0" w:footer="0" w:header="0"/>
        </w:sect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882508104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882508104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12,673,674</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76" w:gutter="0" w:footer="0" w:header="0"/>
          <w:type w:val="continuous"/>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56,770,524</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56,770,524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12500 TI Blvd., Dallax, TX 75266-0199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882508104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line="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56,770,524.</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5.19%.</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12,673,674.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56,770,524.</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120"/>
        <w:spacing w:after="0"/>
        <w:tabs>
          <w:tab w:leader="none" w:pos="2200" w:val="left"/>
        </w:tabs>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For computations regarding securities which represent a right to acquire an underlying security </w:t>
      </w:r>
      <w:r>
        <w:rPr>
          <w:rFonts w:ascii="Arial" w:cs="Arial" w:eastAsia="Arial" w:hAnsi="Arial"/>
          <w:sz w:val="16"/>
          <w:szCs w:val="16"/>
          <w:i w:val="1"/>
          <w:iCs w:val="1"/>
          <w:color w:val="auto"/>
        </w:rPr>
        <w:t>see</w:t>
      </w:r>
      <w:r>
        <w:rPr>
          <w:rFonts w:ascii="Arial" w:cs="Arial" w:eastAsia="Arial" w:hAnsi="Arial"/>
          <w:sz w:val="16"/>
          <w:szCs w:val="16"/>
          <w:color w:val="auto"/>
        </w:rPr>
        <w:t xml:space="preserve"> §240.13d-3(d)(1).</w:t>
      </w:r>
    </w:p>
    <w:p>
      <w:pPr>
        <w:spacing w:after="0" w:line="200" w:lineRule="exact"/>
        <w:rPr>
          <w:sz w:val="20"/>
          <w:szCs w:val="20"/>
          <w:color w:val="auto"/>
        </w:rPr>
      </w:pPr>
    </w:p>
    <w:p>
      <w:pPr>
        <w:spacing w:after="0" w:line="29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80" w:hanging="65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117" w:lineRule="exact"/>
        <w:rPr>
          <w:sz w:val="20"/>
          <w:szCs w:val="20"/>
          <w:color w:val="auto"/>
        </w:rPr>
      </w:pPr>
    </w:p>
    <w:p>
      <w:pPr>
        <w:ind w:left="1620" w:right="2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w:t>
      </w:r>
    </w:p>
    <w:p>
      <w:pPr>
        <w:sectPr>
          <w:pgSz w:w="11900" w:h="16921" w:orient="portrait"/>
          <w:cols w:equalWidth="0" w:num="1">
            <w:col w:w="11280"/>
          </w:cols>
          <w:pgMar w:left="300" w:top="634" w:right="319" w:bottom="0" w:gutter="0" w:footer="0" w:header="0"/>
        </w:sectPr>
      </w:pPr>
    </w:p>
    <w:bookmarkStart w:id="3" w:name="page4"/>
    <w:bookmarkEnd w:id="3"/>
    <w:p>
      <w:pPr>
        <w:ind w:left="1680" w:right="780"/>
        <w:spacing w:after="0" w:line="277" w:lineRule="auto"/>
        <w:rPr>
          <w:sz w:val="20"/>
          <w:szCs w:val="20"/>
          <w:color w:val="auto"/>
        </w:rPr>
      </w:pPr>
      <w:r>
        <w:rPr>
          <w:rFonts w:ascii="Arial" w:cs="Arial" w:eastAsia="Arial" w:hAnsi="Arial"/>
          <w:sz w:val="18"/>
          <w:szCs w:val="18"/>
          <w:color w:val="auto"/>
        </w:rPr>
        <w:t>the control of the issuer of the securities and were not acquired and are not held in connection with or as a participant in any transaction having that purpose or effect.</w:t>
      </w:r>
    </w:p>
    <w:p>
      <w:pPr>
        <w:spacing w:after="0" w:line="62" w:lineRule="exact"/>
        <w:rPr>
          <w:sz w:val="20"/>
          <w:szCs w:val="20"/>
          <w:color w:val="auto"/>
        </w:rPr>
      </w:pPr>
    </w:p>
    <w:p>
      <w:pPr>
        <w:ind w:left="1040" w:hanging="65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ind w:left="1680"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9, 2014</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2019-12-05T15:52:18Z</dcterms:created>
  <dcterms:modified xsi:type="dcterms:W3CDTF">2019-12-05T15:52:18Z</dcterms:modified>
</cp:coreProperties>
</file>