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382270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480"/>
        <w:spacing w:after="0"/>
        <w:rPr>
          <w:sz w:val="20"/>
          <w:szCs w:val="20"/>
          <w:color w:val="auto"/>
        </w:rPr>
      </w:pPr>
      <w:r>
        <w:rPr>
          <w:rFonts w:ascii="Arial" w:cs="Arial" w:eastAsia="Arial" w:hAnsi="Arial"/>
          <w:sz w:val="17"/>
          <w:szCs w:val="17"/>
          <w:b w:val="1"/>
          <w:bCs w:val="1"/>
          <w:color w:val="auto"/>
        </w:rPr>
        <w:t>DATE OF REPORT (DATE OF EARLIEST EVENT REPORTED): March 10,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401955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36"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10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394970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Registrant's news release dated March 10, 2008, regarding the Registrant's outlook for the first quarter of 2008 attached hereto as Exhibit 99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32"/>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43"/>
        </w:trPr>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March 10, 2008 (furnished pursuant to Item 7.01)</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March 10,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first-quarter 2008 business outlook</w:t>
      </w:r>
    </w:p>
    <w:p>
      <w:pPr>
        <w:spacing w:after="0" w:line="273" w:lineRule="exact"/>
        <w:rPr>
          <w:sz w:val="20"/>
          <w:szCs w:val="20"/>
          <w:color w:val="auto"/>
        </w:rPr>
      </w:pPr>
    </w:p>
    <w:p>
      <w:pPr>
        <w:ind w:left="1100" w:hanging="264"/>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expected between $3.21 billion and $3.35 billion</w:t>
      </w:r>
    </w:p>
    <w:p>
      <w:pPr>
        <w:spacing w:after="0" w:line="36" w:lineRule="exact"/>
        <w:rPr>
          <w:rFonts w:ascii="Arial" w:cs="Arial" w:eastAsia="Arial" w:hAnsi="Arial"/>
          <w:sz w:val="18"/>
          <w:szCs w:val="18"/>
          <w:color w:val="auto"/>
        </w:rPr>
      </w:pPr>
    </w:p>
    <w:p>
      <w:pPr>
        <w:ind w:left="1100" w:hanging="264"/>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expected between $0.41 and $0.45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DALLAS (March 10, 2008) – In a scheduled update to its business outlook for the first quarter of 2008, Texas Instruments Incorporated (TI) (NYSE: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TXN) today lowered its expected ranges for revenue and earnings per share (EPS).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expectations for revenue are:</w:t>
      </w:r>
    </w:p>
    <w:p>
      <w:pPr>
        <w:spacing w:after="0" w:line="252" w:lineRule="exact"/>
        <w:rPr>
          <w:sz w:val="20"/>
          <w:szCs w:val="20"/>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between $3.21 billion and $3.35 billion, compared with the prior range of $3.27 billion to $3.55 billion;</w:t>
      </w:r>
    </w:p>
    <w:p>
      <w:pPr>
        <w:spacing w:after="0" w:line="23"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Semiconductor revenue between $3.14 billion and $3.26 billion, compared with the prior range of $3.20 billion to $3.46 billion; and</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Education Technology revenue between $70 million and $90 million, unchanged from the prior range.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expects EPS between $0.41 and $0.45, compared with the previous range of $0.43 to $0.49.</w:t>
      </w:r>
    </w:p>
    <w:p>
      <w:pPr>
        <w:spacing w:after="0" w:line="252"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 TI’s original first-quarter outlook was published in the company’s fourth-quarter and year-end 2007 earnings release on Jan. 22, available at www.ti.com. TI’s first quarter ends on March 31.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980" w:hanging="134"/>
        <w:spacing w:after="0" w:line="25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980" w:hanging="13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980" w:hanging="13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980" w:hanging="13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980" w:hanging="13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32" w:lineRule="exact"/>
        <w:rPr>
          <w:rFonts w:ascii="Arial" w:cs="Arial" w:eastAsia="Arial" w:hAnsi="Arial"/>
          <w:sz w:val="16"/>
          <w:szCs w:val="16"/>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32" w:lineRule="exact"/>
        <w:rPr>
          <w:rFonts w:ascii="Arial" w:cs="Arial" w:eastAsia="Arial" w:hAnsi="Arial"/>
          <w:sz w:val="16"/>
          <w:szCs w:val="16"/>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980" w:hanging="134"/>
        <w:spacing w:after="0" w:line="26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manufacturing, design and sales operations in more than 25 countries. For more information, go to www.ti.com.</w:t>
      </w:r>
    </w:p>
    <w:sectPr>
      <w:pgSz w:w="11900" w:h="16838" w:orient="portrait"/>
      <w:cols w:equalWidth="0" w:num="1">
        <w:col w:w="11420"/>
      </w:cols>
      <w:pgMar w:left="240" w:top="125" w:right="239" w:bottom="7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2019-12-11T14:09:42Z</dcterms:created>
  <dcterms:modified xsi:type="dcterms:W3CDTF">2019-12-11T14:09:42Z</dcterms:modified>
</cp:coreProperties>
</file>