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1"/>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1"/>
        </w:trPr>
        <w:tc>
          <w:tcPr>
            <w:tcW w:w="1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4"/>
          <w:szCs w:val="24"/>
          <w:color w:val="auto"/>
        </w:rPr>
      </w:pPr>
    </w:p>
    <w:p>
      <w:pPr>
        <w:spacing w:after="0" w:line="21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700" w:type="dxa"/>
            <w:vAlign w:val="bottom"/>
            <w:gridSpan w:val="3"/>
            <w:vMerge w:val="continue"/>
          </w:tcPr>
          <w:p>
            <w:pPr>
              <w:spacing w:after="0"/>
              <w:rPr>
                <w:sz w:val="21"/>
                <w:szCs w:val="21"/>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Registrant’s news release dated January 23, 2024, regarding its fourth-quarter and 2023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January 23, 2024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980" w:type="dxa"/>
            <w:vAlign w:val="bottom"/>
          </w:tcPr>
          <w:p>
            <w:pPr>
              <w:spacing w:after="0"/>
              <w:rPr>
                <w:sz w:val="20"/>
                <w:szCs w:val="20"/>
                <w:color w:val="auto"/>
              </w:rPr>
            </w:pPr>
            <w:r>
              <w:rPr>
                <w:rFonts w:ascii="Arial" w:cs="Arial" w:eastAsia="Arial" w:hAnsi="Arial"/>
                <w:sz w:val="18"/>
                <w:szCs w:val="18"/>
                <w:color w:val="auto"/>
              </w:rPr>
              <w:t>Date: January 23, 2024</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2023 and 2023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DALLAS (Jan. 23, 2024) – Texas Instruments Incorporated (TI) (Nasdaq: TXN) today reported fourth quarter revenue of $4.08 billion, net income of $1.37 billion and earnings per share of $1.49. Earnings per share included a 3-cent benefit that was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34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10% sequentially and 13% from the same quarter a year ago. During the quarter we experienced increasing weakness across industrial and a sequential decline in automotive.</w:t>
      </w:r>
    </w:p>
    <w:p>
      <w:pPr>
        <w:spacing w:after="0" w:line="152"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$6.4 billion for the trailing 12 months again underscored the strength of our business model, the quality of our product portfolio and the benefit of 300mm production. Free cash flow for the same period was $1.3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$3.7 billion in R&amp;D and SG&amp;A, invested $5.1 billion in capital expenditures and returned $4.9 billion to owners.</w:t>
      </w:r>
    </w:p>
    <w:p>
      <w:pPr>
        <w:spacing w:after="0" w:line="139" w:lineRule="exact"/>
        <w:rPr>
          <w:rFonts w:ascii="Arial" w:cs="Arial" w:eastAsia="Arial" w:hAnsi="Arial"/>
          <w:sz w:val="18"/>
          <w:szCs w:val="18"/>
          <w:color w:val="auto"/>
        </w:rPr>
      </w:pPr>
    </w:p>
    <w:p>
      <w:pPr>
        <w:ind w:left="620" w:right="100" w:hanging="329"/>
        <w:spacing w:after="0" w:line="27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$3.45 billion to $3.75 billion and earnings per share between $0.96 and $1.16. We now expect our 2024 effective tax rate to be about 13%."</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Q4 2023</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vMerge w:val="restart"/>
          </w:tcPr>
          <w:p>
            <w:pPr>
              <w:ind w:left="120"/>
              <w:spacing w:after="0"/>
              <w:rPr>
                <w:sz w:val="20"/>
                <w:szCs w:val="20"/>
                <w:color w:val="auto"/>
              </w:rPr>
            </w:pPr>
            <w:r>
              <w:rPr>
                <w:rFonts w:ascii="Arial" w:cs="Arial" w:eastAsia="Arial" w:hAnsi="Arial"/>
                <w:sz w:val="18"/>
                <w:szCs w:val="18"/>
                <w:color w:val="auto"/>
              </w:rPr>
              <w:t>Q4 2022</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4,077</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4,670</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1,533</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1,371</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85"/>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color w:val="auto"/>
                <w:w w:val="99"/>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Q4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Q4 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color w:val="auto"/>
              </w:rPr>
              <w:t>Q4 2022</w:t>
            </w:r>
          </w:p>
        </w:tc>
        <w:tc>
          <w:tcPr>
            <w:tcW w:w="1240" w:type="dxa"/>
            <w:vAlign w:val="bottom"/>
          </w:tcPr>
          <w:p>
            <w:pPr>
              <w:ind w:left="2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1,924</w:t>
            </w: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6,420</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gridSpan w:val="2"/>
            <w:shd w:val="clear" w:color="auto" w:fill="DBDBDB"/>
          </w:tcPr>
          <w:p>
            <w:pPr>
              <w:spacing w:after="0"/>
              <w:rPr>
                <w:sz w:val="19"/>
                <w:szCs w:val="19"/>
                <w:color w:val="auto"/>
              </w:rPr>
            </w:pPr>
          </w:p>
        </w:tc>
        <w:tc>
          <w:tcPr>
            <w:tcW w:w="300" w:type="dxa"/>
            <w:vAlign w:val="bottom"/>
            <w:tcBorders>
              <w:top w:val="single" w:sz="8" w:color="auto"/>
            </w:tcBorders>
            <w:gridSpan w:val="3"/>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8,720</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5,071</w:t>
            </w:r>
          </w:p>
        </w:tc>
        <w:tc>
          <w:tcPr>
            <w:tcW w:w="60" w:type="dxa"/>
            <w:vAlign w:val="bottom"/>
          </w:tcPr>
          <w:p>
            <w:pPr>
              <w:spacing w:after="0"/>
              <w:rPr>
                <w:sz w:val="19"/>
                <w:szCs w:val="19"/>
                <w:color w:val="auto"/>
              </w:rPr>
            </w:pPr>
          </w:p>
        </w:tc>
        <w:tc>
          <w:tcPr>
            <w:tcW w:w="34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2,797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DBDBDB"/>
          </w:tcPr>
          <w:p>
            <w:pPr>
              <w:spacing w:after="0"/>
              <w:rPr>
                <w:sz w:val="19"/>
                <w:szCs w:val="19"/>
                <w:color w:val="auto"/>
              </w:rPr>
            </w:pPr>
          </w:p>
        </w:tc>
        <w:tc>
          <w:tcPr>
            <w:tcW w:w="340" w:type="dxa"/>
            <w:vAlign w:val="bottom"/>
            <w:gridSpan w:val="5"/>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5,923</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29.6 %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Q4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Q4 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ind w:left="120"/>
              <w:spacing w:after="0"/>
              <w:rPr>
                <w:sz w:val="20"/>
                <w:szCs w:val="20"/>
                <w:color w:val="auto"/>
              </w:rPr>
            </w:pPr>
            <w:r>
              <w:rPr>
                <w:rFonts w:ascii="Arial" w:cs="Arial" w:eastAsia="Arial" w:hAnsi="Arial"/>
                <w:sz w:val="18"/>
                <w:szCs w:val="18"/>
                <w:color w:val="auto"/>
              </w:rPr>
              <w:t>Q4 2022</w:t>
            </w:r>
          </w:p>
        </w:tc>
        <w:tc>
          <w:tcPr>
            <w:tcW w:w="1240" w:type="dxa"/>
            <w:vAlign w:val="bottom"/>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4,557</w:t>
            </w:r>
          </w:p>
        </w:tc>
        <w:tc>
          <w:tcPr>
            <w:tcW w:w="40" w:type="dxa"/>
            <w:vAlign w:val="bottom"/>
            <w:tcBorders>
              <w:top w:val="single" w:sz="8" w:color="auto"/>
            </w:tcBorders>
            <w:gridSpan w:val="2"/>
            <w:shd w:val="clear" w:color="auto" w:fill="DBDBDB"/>
          </w:tcPr>
          <w:p>
            <w:pPr>
              <w:spacing w:after="0"/>
              <w:rPr>
                <w:sz w:val="19"/>
                <w:szCs w:val="19"/>
                <w:color w:val="auto"/>
              </w:rPr>
            </w:pPr>
          </w:p>
        </w:tc>
        <w:tc>
          <w:tcPr>
            <w:tcW w:w="12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4,297</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9"/>
              </w:rPr>
              <w:t>65</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DBDBDB"/>
          </w:tcPr>
          <w:p>
            <w:pPr>
              <w:jc w:val="right"/>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4,850</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7,912</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480" w:type="dxa"/>
            <w:vAlign w:val="bottom"/>
            <w:gridSpan w:val="9"/>
          </w:tcPr>
          <w:p>
            <w:pPr>
              <w:jc w:val="center"/>
              <w:ind w:left="26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160" w:type="dxa"/>
            <w:vAlign w:val="bottom"/>
            <w:tcBorders>
              <w:top w:val="single" w:sz="8" w:color="auto"/>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4,077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17,519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2,431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11,019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11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1,533</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7,331</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(expense), net (OI&amp;E)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353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Average shares outstanding:</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bottom w:val="single" w:sz="8" w:color="DBDBDB"/>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6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4360" w:type="dxa"/>
            <w:vAlign w:val="bottom"/>
          </w:tcPr>
          <w:p>
            <w:pPr>
              <w:spacing w:after="0"/>
              <w:rPr>
                <w:sz w:val="24"/>
                <w:szCs w:val="24"/>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Supplemental Information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40" w:type="dxa"/>
            <w:vAlign w:val="bottom"/>
            <w:gridSpan w:val="4"/>
            <w:shd w:val="clear" w:color="auto" w:fill="DBDBDB"/>
          </w:tcPr>
          <w:p>
            <w:pPr>
              <w:ind w:left="20"/>
              <w:spacing w:after="0" w:line="176" w:lineRule="exact"/>
              <w:rPr>
                <w:sz w:val="20"/>
                <w:szCs w:val="20"/>
                <w:color w:val="auto"/>
              </w:rPr>
            </w:pPr>
            <w:r>
              <w:rPr>
                <w:rFonts w:ascii="Arial" w:cs="Arial" w:eastAsia="Arial" w:hAnsi="Arial"/>
                <w:sz w:val="18"/>
                <w:szCs w:val="18"/>
                <w:color w:val="auto"/>
              </w:rPr>
              <w:t>Operating taxes (calculated using the estimated annual effective tax</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DBDBDB"/>
          </w:tcPr>
          <w:p>
            <w:pPr>
              <w:spacing w:after="0"/>
              <w:rPr>
                <w:sz w:val="15"/>
                <w:szCs w:val="15"/>
                <w:color w:val="auto"/>
              </w:rPr>
            </w:pPr>
          </w:p>
        </w:tc>
        <w:tc>
          <w:tcPr>
            <w:tcW w:w="300" w:type="dxa"/>
            <w:vAlign w:val="bottom"/>
            <w:vMerge w:val="restart"/>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974</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4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rate)</w:t>
            </w:r>
          </w:p>
        </w:tc>
        <w:tc>
          <w:tcPr>
            <w:tcW w:w="1480" w:type="dxa"/>
            <w:vAlign w:val="bottom"/>
            <w:gridSpan w:val="3"/>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1,371</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8,749</w:t>
            </w:r>
          </w:p>
        </w:tc>
      </w:tr>
      <w:tr>
        <w:trPr>
          <w:trHeight w:val="230"/>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1,364</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6,477</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8,710</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r>
        <w:trPr>
          <w:trHeight w:val="882"/>
        </w:trPr>
        <w:tc>
          <w:tcPr>
            <w:tcW w:w="5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890"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60" w:type="dxa"/>
            <w:vAlign w:val="bottom"/>
            <w:gridSpan w:val="2"/>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5"/>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1"/>
                <w:szCs w:val="21"/>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2,964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3,050</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6,017</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($16) and ($13)</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1,787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w:t>
            </w:r>
          </w:p>
        </w:tc>
      </w:tr>
      <w:tr>
        <w:trPr>
          <w:trHeight w:val="230"/>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8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2,109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1,546</w:t>
            </w:r>
          </w:p>
        </w:tc>
      </w:tr>
      <w:tr>
        <w:trPr>
          <w:trHeight w:val="230"/>
        </w:trPr>
        <w:tc>
          <w:tcPr>
            <w:tcW w:w="846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1,470</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3,999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2,757</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15,122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14,021</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9,950</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(3,269)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(3,074)</w:t>
            </w:r>
          </w:p>
        </w:tc>
      </w:tr>
      <w:tr>
        <w:trPr>
          <w:trHeight w:val="223"/>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9,999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6,876</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1,135</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r>
      <w:tr>
        <w:trPr>
          <w:trHeight w:val="20"/>
        </w:trPr>
        <w:tc>
          <w:tcPr>
            <w:tcW w:w="83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802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3,320</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2,985</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8,235</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1,336</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8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12,630</w:t>
            </w:r>
          </w:p>
        </w:tc>
      </w:tr>
      <w:tr>
        <w:trPr>
          <w:trHeight w:val="20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2,951</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52,283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50,353</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2023 – 832; 2022 – 835</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(40,284)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(40,214)</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16,897</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14,577</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27,207</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480" w:type="dxa"/>
            <w:vAlign w:val="bottom"/>
            <w:gridSpan w:val="8"/>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56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6,510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Amortization of capitalized software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(Gains) losses on sales of assets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(337)</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37"/>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(1,148)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(5,071)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asset sales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(2,565)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(12,705)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(14,483)</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36"/>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(1,181)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(4,557)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(1,215)</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(2,144)</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2,964</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Quarterly segment results</w:t>
            </w: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85"/>
        </w:trPr>
        <w:tc>
          <w:tcPr>
            <w:tcW w:w="690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Q4 2023</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Q4 2022</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80" w:type="dxa"/>
            <w:vAlign w:val="bottom"/>
            <w:tcBorders>
              <w:top w:val="single" w:sz="8" w:color="auto"/>
            </w:tcBorders>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r>
      <w:tr>
        <w:trPr>
          <w:trHeight w:val="531"/>
        </w:trPr>
        <w:tc>
          <w:tcPr>
            <w:tcW w:w="6900" w:type="dxa"/>
            <w:vAlign w:val="bottom"/>
            <w:gridSpan w:val="3"/>
          </w:tcPr>
          <w:p>
            <w:pPr>
              <w:spacing w:after="0"/>
              <w:rPr>
                <w:sz w:val="20"/>
                <w:szCs w:val="20"/>
                <w:color w:val="auto"/>
              </w:rPr>
            </w:pPr>
            <w:r>
              <w:rPr>
                <w:rFonts w:ascii="Arial" w:cs="Arial" w:eastAsia="Arial" w:hAnsi="Arial"/>
                <w:sz w:val="18"/>
                <w:szCs w:val="18"/>
                <w:i w:val="1"/>
                <w:iCs w:val="1"/>
                <w:color w:val="auto"/>
              </w:rPr>
              <w:t>* Includes restructuring charges/other.</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Annual segment results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5"/>
        </w:trPr>
        <w:tc>
          <w:tcPr>
            <w:tcW w:w="204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60" w:type="dxa"/>
            <w:vAlign w:val="bottom"/>
            <w:tcBorders>
              <w:bottom w:val="single" w:sz="8" w:color="DBDBDB"/>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DBDBDB"/>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DBDBDB"/>
            </w:tcBorders>
          </w:tcPr>
          <w:p>
            <w:pPr>
              <w:spacing w:after="0"/>
              <w:rPr>
                <w:sz w:val="24"/>
                <w:szCs w:val="24"/>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13,040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5,821</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8,359</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For Years Ended</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6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3"/>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6,420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8,720</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6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(5,071)</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DBDBDB"/>
            </w:tcBorders>
          </w:tcPr>
          <w:p>
            <w:pPr>
              <w:spacing w:after="0"/>
              <w:rPr>
                <w:sz w:val="19"/>
                <w:szCs w:val="19"/>
                <w:color w:val="auto"/>
              </w:rPr>
            </w:pPr>
          </w:p>
        </w:tc>
        <w:tc>
          <w:tcPr>
            <w:tcW w:w="1440" w:type="dxa"/>
            <w:vAlign w:val="bottom"/>
            <w:tcBorders>
              <w:bottom w:val="single" w:sz="8" w:color="DBDBDB"/>
            </w:tcBorders>
          </w:tcPr>
          <w:p>
            <w:pPr>
              <w:spacing w:after="0"/>
              <w:rPr>
                <w:sz w:val="19"/>
                <w:szCs w:val="19"/>
                <w:color w:val="auto"/>
              </w:rPr>
            </w:pPr>
          </w:p>
        </w:tc>
      </w:tr>
      <w:tr>
        <w:trPr>
          <w:trHeight w:val="248"/>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1,349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5,923</w:t>
            </w:r>
          </w:p>
        </w:tc>
        <w:tc>
          <w:tcPr>
            <w:tcW w:w="15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3"/>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6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17,519</w:t>
            </w:r>
          </w:p>
        </w:tc>
        <w:tc>
          <w:tcPr>
            <w:tcW w:w="10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20,028</w:t>
            </w:r>
          </w:p>
        </w:tc>
        <w:tc>
          <w:tcPr>
            <w:tcW w:w="1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spacing w:after="0"/>
              <w:rPr>
                <w:sz w:val="21"/>
                <w:szCs w:val="21"/>
                <w:color w:val="auto"/>
              </w:rPr>
            </w:pPr>
          </w:p>
        </w:tc>
      </w:tr>
      <w:tr>
        <w:trPr>
          <w:trHeight w:val="20"/>
        </w:trPr>
        <w:tc>
          <w:tcPr>
            <w:tcW w:w="66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tcBorders>
          </w:tcPr>
          <w:p>
            <w:pPr>
              <w:spacing w:after="0" w:line="20" w:lineRule="exact"/>
              <w:rPr>
                <w:sz w:val="1"/>
                <w:szCs w:val="1"/>
                <w:color w:val="auto"/>
              </w:rPr>
            </w:pP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36.6 %</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43.5 %</w:t>
            </w: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7.7 %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29.6 %</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6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2024-01-23T15:10:57Z</dcterms:created>
  <dcterms:modified xsi:type="dcterms:W3CDTF">2024-01-23T15:10:57Z</dcterms:modified>
</cp:coreProperties>
</file>