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77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772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ADAMS JAMES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4"/>
                <w:szCs w:val="14"/>
                <w:color w:val="auto"/>
              </w:rPr>
            </w:pPr>
          </w:p>
        </w:tc>
        <w:tc>
          <w:tcPr>
            <w:tcW w:w="18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20" w:type="dxa"/>
            <w:vAlign w:val="bottom"/>
            <w:gridSpan w:val="2"/>
          </w:tcPr>
          <w:p>
            <w:pPr>
              <w:ind w:left="6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20" w:type="dxa"/>
            <w:vAlign w:val="bottom"/>
            <w:gridSpan w:val="2"/>
          </w:tcPr>
          <w:p>
            <w:pPr>
              <w:ind w:left="700"/>
              <w:spacing w:after="0"/>
              <w:rPr>
                <w:sz w:val="20"/>
                <w:szCs w:val="20"/>
                <w:color w:val="auto"/>
              </w:rPr>
            </w:pPr>
            <w:r>
              <w:rPr>
                <w:rFonts w:ascii="Arial" w:cs="Arial" w:eastAsia="Arial" w:hAnsi="Arial"/>
                <w:sz w:val="18"/>
                <w:szCs w:val="18"/>
                <w:color w:val="0000FF"/>
                <w:w w:val="99"/>
              </w:rPr>
              <w:t>02/06/2009</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ind w:left="160"/>
              <w:spacing w:after="0"/>
              <w:rPr>
                <w:sz w:val="20"/>
                <w:szCs w:val="20"/>
                <w:color w:val="auto"/>
              </w:rPr>
            </w:pPr>
            <w:r>
              <w:rPr>
                <w:rFonts w:ascii="Arial" w:cs="Arial" w:eastAsia="Arial" w:hAnsi="Arial"/>
                <w:sz w:val="18"/>
                <w:szCs w:val="18"/>
                <w:color w:val="0000FF"/>
                <w:w w:val="89"/>
              </w:rPr>
              <w:t>291,899</w:t>
            </w:r>
          </w:p>
        </w:tc>
        <w:tc>
          <w:tcPr>
            <w:tcW w:w="500" w:type="dxa"/>
            <w:vAlign w:val="bottom"/>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3"/>
                <w:szCs w:val="23"/>
                <w:color w:val="auto"/>
              </w:rPr>
            </w:pPr>
          </w:p>
        </w:tc>
        <w:tc>
          <w:tcPr>
            <w:tcW w:w="1340" w:type="dxa"/>
            <w:vAlign w:val="bottom"/>
            <w:gridSpan w:val="3"/>
          </w:tcPr>
          <w:p>
            <w:pPr>
              <w:jc w:val="center"/>
              <w:ind w:left="24"/>
              <w:spacing w:after="0"/>
              <w:rPr>
                <w:sz w:val="20"/>
                <w:szCs w:val="20"/>
                <w:color w:val="auto"/>
              </w:rPr>
            </w:pPr>
            <w:r>
              <w:rPr>
                <w:rFonts w:ascii="Arial" w:cs="Arial" w:eastAsia="Arial" w:hAnsi="Arial"/>
                <w:sz w:val="18"/>
                <w:szCs w:val="18"/>
                <w:color w:val="0000FF"/>
                <w:w w:val="87"/>
              </w:rPr>
              <w:t>26,012</w:t>
            </w:r>
          </w:p>
        </w:tc>
        <w:tc>
          <w:tcPr>
            <w:tcW w:w="3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700"/>
              <w:spacing w:after="0"/>
              <w:rPr>
                <w:sz w:val="20"/>
                <w:szCs w:val="20"/>
                <w:color w:val="auto"/>
              </w:rPr>
            </w:pPr>
            <w:r>
              <w:rPr>
                <w:rFonts w:ascii="Arial" w:cs="Arial" w:eastAsia="Arial" w:hAnsi="Arial"/>
                <w:sz w:val="18"/>
                <w:szCs w:val="18"/>
                <w:color w:val="0000FF"/>
                <w:w w:val="99"/>
              </w:rPr>
              <w:t>02/06/2009</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G</w:t>
            </w:r>
          </w:p>
        </w:tc>
        <w:tc>
          <w:tcPr>
            <w:tcW w:w="36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w w:val="89"/>
              </w:rPr>
              <w:t>120,000</w:t>
            </w:r>
          </w:p>
        </w:tc>
        <w:tc>
          <w:tcPr>
            <w:tcW w:w="50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left="4"/>
              <w:spacing w:after="0"/>
              <w:rPr>
                <w:sz w:val="20"/>
                <w:szCs w:val="20"/>
                <w:color w:val="auto"/>
              </w:rPr>
            </w:pPr>
            <w:r>
              <w:rPr>
                <w:rFonts w:ascii="Arial" w:cs="Arial" w:eastAsia="Arial" w:hAnsi="Arial"/>
                <w:sz w:val="18"/>
                <w:szCs w:val="18"/>
                <w:color w:val="0000FF"/>
                <w:w w:val="84"/>
              </w:rPr>
              <w:t>151,550</w:t>
            </w:r>
            <w:r>
              <w:rPr>
                <w:rFonts w:ascii="Arial" w:cs="Arial" w:eastAsia="Arial" w:hAnsi="Arial"/>
                <w:sz w:val="22"/>
                <w:szCs w:val="22"/>
                <w:color w:val="008000"/>
                <w:w w:val="84"/>
                <w:vertAlign w:val="superscript"/>
              </w:rPr>
              <w:t>(4)</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I</w:t>
            </w:r>
          </w:p>
        </w:tc>
        <w:tc>
          <w:tcPr>
            <w:tcW w:w="880" w:type="dxa"/>
            <w:vAlign w:val="bottom"/>
            <w:tcBorders>
              <w:bottom w:val="single" w:sz="8" w:color="2C2C2C"/>
            </w:tcBorders>
          </w:tcPr>
          <w:p>
            <w:pPr>
              <w:spacing w:after="0"/>
              <w:rPr>
                <w:sz w:val="20"/>
                <w:szCs w:val="20"/>
                <w:color w:val="auto"/>
              </w:rPr>
            </w:pPr>
            <w:r>
              <w:rPr>
                <w:rFonts w:ascii="Arial" w:cs="Arial" w:eastAsia="Arial" w:hAnsi="Arial"/>
                <w:sz w:val="18"/>
                <w:szCs w:val="18"/>
                <w:color w:val="0000FF"/>
              </w:rPr>
              <w:t>By Trust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620" w:type="dxa"/>
            <w:vAlign w:val="bottom"/>
            <w:gridSpan w:val="2"/>
            <w:vMerge w:val="restart"/>
          </w:tcPr>
          <w:p>
            <w:pPr>
              <w:ind w:left="700"/>
              <w:spacing w:after="0"/>
              <w:rPr>
                <w:sz w:val="20"/>
                <w:szCs w:val="20"/>
                <w:color w:val="auto"/>
              </w:rPr>
            </w:pPr>
            <w:r>
              <w:rPr>
                <w:rFonts w:ascii="Arial" w:cs="Arial" w:eastAsia="Arial" w:hAnsi="Arial"/>
                <w:sz w:val="18"/>
                <w:szCs w:val="18"/>
                <w:color w:val="0000FF"/>
                <w:w w:val="99"/>
              </w:rPr>
              <w:t>02/06/2009</w:t>
            </w: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0000FF"/>
              </w:rPr>
              <w:t>G</w:t>
            </w:r>
          </w:p>
        </w:tc>
        <w:tc>
          <w:tcPr>
            <w:tcW w:w="360" w:type="dxa"/>
            <w:vAlign w:val="bottom"/>
            <w:vMerge w:val="restart"/>
          </w:tcPr>
          <w:p>
            <w:pPr>
              <w:ind w:left="140"/>
              <w:spacing w:after="0"/>
              <w:rPr>
                <w:sz w:val="20"/>
                <w:szCs w:val="20"/>
                <w:color w:val="auto"/>
              </w:rPr>
            </w:pPr>
            <w:r>
              <w:rPr>
                <w:rFonts w:ascii="Arial" w:cs="Arial" w:eastAsia="Arial" w:hAnsi="Arial"/>
                <w:sz w:val="14"/>
                <w:szCs w:val="14"/>
                <w:color w:val="0000FF"/>
              </w:rPr>
              <w:t>V</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0000FF"/>
                <w:w w:val="89"/>
              </w:rPr>
              <w:t>411,899</w:t>
            </w:r>
          </w:p>
        </w:tc>
        <w:tc>
          <w:tcPr>
            <w:tcW w:w="500" w:type="dxa"/>
            <w:vAlign w:val="bottom"/>
            <w:vMerge w:val="restart"/>
          </w:tcPr>
          <w:p>
            <w:pPr>
              <w:ind w:left="300"/>
              <w:spacing w:after="0"/>
              <w:rPr>
                <w:sz w:val="20"/>
                <w:szCs w:val="20"/>
                <w:color w:val="auto"/>
              </w:rPr>
            </w:pPr>
            <w:r>
              <w:rPr>
                <w:rFonts w:ascii="Arial" w:cs="Arial" w:eastAsia="Arial" w:hAnsi="Arial"/>
                <w:sz w:val="18"/>
                <w:szCs w:val="18"/>
                <w:color w:val="0000FF"/>
              </w:rPr>
              <w:t>A</w:t>
            </w:r>
          </w:p>
        </w:tc>
        <w:tc>
          <w:tcPr>
            <w:tcW w:w="580" w:type="dxa"/>
            <w:vAlign w:val="bottom"/>
            <w:vMerge w:val="restart"/>
          </w:tcPr>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0" w:type="dxa"/>
            <w:vAlign w:val="bottom"/>
          </w:tcPr>
          <w:p>
            <w:pPr>
              <w:spacing w:after="0"/>
              <w:rPr>
                <w:sz w:val="22"/>
                <w:szCs w:val="22"/>
                <w:color w:val="auto"/>
              </w:rPr>
            </w:pPr>
          </w:p>
        </w:tc>
        <w:tc>
          <w:tcPr>
            <w:tcW w:w="134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4"/>
              </w:rPr>
              <w:t>413,349</w:t>
            </w:r>
            <w:r>
              <w:rPr>
                <w:rFonts w:ascii="Arial" w:cs="Arial" w:eastAsia="Arial" w:hAnsi="Arial"/>
                <w:sz w:val="22"/>
                <w:szCs w:val="22"/>
                <w:color w:val="008000"/>
                <w:w w:val="84"/>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4"/>
              </w:rPr>
              <w:t>2,977.57</w:t>
            </w:r>
            <w:r>
              <w:rPr>
                <w:rFonts w:ascii="Arial" w:cs="Arial" w:eastAsia="Arial" w:hAnsi="Arial"/>
                <w:sz w:val="22"/>
                <w:szCs w:val="22"/>
                <w:color w:val="008000"/>
                <w:w w:val="84"/>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40" w:type="dxa"/>
            <w:vAlign w:val="bottom"/>
            <w:gridSpan w:val="3"/>
            <w:vMerge w:val="restart"/>
          </w:tcPr>
          <w:p>
            <w:pPr>
              <w:jc w:val="center"/>
              <w:ind w:left="4"/>
              <w:spacing w:after="0"/>
              <w:rPr>
                <w:sz w:val="20"/>
                <w:szCs w:val="20"/>
                <w:color w:val="auto"/>
              </w:rPr>
            </w:pPr>
            <w:r>
              <w:rPr>
                <w:rFonts w:ascii="Arial" w:cs="Arial" w:eastAsia="Arial" w:hAnsi="Arial"/>
                <w:sz w:val="18"/>
                <w:szCs w:val="18"/>
                <w:color w:val="0000FF"/>
                <w:w w:val="84"/>
              </w:rPr>
              <w:t>479.73</w:t>
            </w:r>
            <w:r>
              <w:rPr>
                <w:rFonts w:ascii="Arial" w:cs="Arial" w:eastAsia="Arial" w:hAnsi="Arial"/>
                <w:sz w:val="22"/>
                <w:szCs w:val="22"/>
                <w:color w:val="008000"/>
                <w:w w:val="84"/>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580" w:type="dxa"/>
            <w:vAlign w:val="bottom"/>
            <w:tcBorders>
              <w:bottom w:val="single" w:sz="8" w:color="2C2C2C"/>
            </w:tcBorders>
            <w:gridSpan w:val="10"/>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or Indirect</w:t>
            </w:r>
          </w:p>
        </w:tc>
        <w:tc>
          <w:tcPr>
            <w:tcW w:w="9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15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1-31-09. (Interests in this account are denominated in units. Consequently, share amount shown is an estimate.) This statement does not include changes in beneficial ownership of shares held in this account occurring after 1-31-09 that are eligible for deferred reporting on Form 5.</w:t>
      </w:r>
    </w:p>
    <w:p>
      <w:pPr>
        <w:spacing w:after="0" w:line="30" w:lineRule="exact"/>
        <w:rPr>
          <w:rFonts w:ascii="Arial" w:cs="Arial" w:eastAsia="Arial" w:hAnsi="Arial"/>
          <w:sz w:val="14"/>
          <w:szCs w:val="14"/>
          <w:color w:val="008000"/>
        </w:rPr>
      </w:pPr>
    </w:p>
    <w:p>
      <w:pPr>
        <w:ind w:left="40" w:right="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12-31-08. (Interests in this account are denominated in units. Consequently, share amount shown is an estimate.) This statement does not include changes in beneficial ownership of shares held in such account occurring after 12-31-08 that are eligible for deferred reporting on Form 5. Beneficial ownership by reporting person disclaimed.</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Shares held by family limited partnership of which the reporting person is a general partner. Reporting person disclaims beneficial ownership except to the extent of his pecuniary interest in the partnership.</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trust for the benefit of family members of which reporting person is trustee. Beneficial ownership by reporting person disclaimed.</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Cynthia H. Haynes,</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02/09/2009</w:t>
            </w:r>
          </w:p>
        </w:tc>
        <w:tc>
          <w:tcPr>
            <w:tcW w:w="0" w:type="dxa"/>
            <w:vAlign w:val="bottom"/>
          </w:tcPr>
          <w:p>
            <w:pPr>
              <w:spacing w:after="0"/>
              <w:rPr>
                <w:sz w:val="1"/>
                <w:szCs w:val="1"/>
                <w:color w:val="auto"/>
              </w:rPr>
            </w:pPr>
          </w:p>
        </w:tc>
      </w:tr>
      <w:tr>
        <w:trPr>
          <w:trHeight w:val="88"/>
        </w:trPr>
        <w:tc>
          <w:tcPr>
            <w:tcW w:w="160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52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60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2019-12-16T22:33:07Z</dcterms:created>
  <dcterms:modified xsi:type="dcterms:W3CDTF">2019-12-16T22:33:07Z</dcterms:modified>
</cp:coreProperties>
</file>