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913,045,963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July 16, 2024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596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3,822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7,483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2,211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4,306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1,248</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3,430</w:t>
            </w:r>
          </w:p>
        </w:tc>
      </w:tr>
      <w:tr>
        <w:trPr>
          <w:trHeight w:val="23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1,121</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3,412</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($1) and ($2); ($3) and ($1)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($1) and ($1); ($2)</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($2)</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and ($1);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and $0; $2 and $0</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2,237</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2,740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($28) and ($16)</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1,711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2,072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4,106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16,789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(3,448)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1,421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3,637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1,187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52,135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June 30, 2024 – 828; December 31, 2023 – 832</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(40,128)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17,214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2,588</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(6,962)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2,980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2,740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6"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6,567</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1,726</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3,822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7,483</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8,910</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1,248</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3,906</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Six Months Ended</w:t>
            </w:r>
          </w:p>
        </w:tc>
        <w:tc>
          <w:tcPr>
            <w:tcW w:w="6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33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r>
      <w:tr>
        <w:trPr>
          <w:trHeight w:val="210"/>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1,408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36 %</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745</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10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898</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1,853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28</w:t>
            </w: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30"/>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12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11% and 13% in the second quarters of 2024 and 2023, respectively, and 12% and 13% in the first six months of 2024 and 2023, respectively.</w:t>
      </w:r>
    </w:p>
    <w:p>
      <w:pPr>
        <w:spacing w:after="0" w:line="153"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2023. The Consolidated Statements of Income, Comprehensive Income and Cash Flows for the periods ended June 30, 2024 and 2023, and the Consolidated Balance Sheet as of June 30, 2024,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2023. The results for the three- and six-month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Three Months Ended June 30,</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Six Months Ended 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0"/>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911</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Potentially dilutive securities representing 8 million and 9 million shares of common stock that were outstanding during the second quarters of 2024 and 2023, respectively, and 11 million and 9 million shares outstanding during the first six months of 2024 and 2023,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June 30, 2024.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2024, the carrying value of long-term debt, including the current portion, was $13.89 billion, and the estimated fair value was $ 12.78 billion. The estimated fair value is measured using broker-dealer quotes, which are Level 2 inputs. See Note 4 for a description of fair value and the definition of Level 2 inputs.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Six Months Ended</w:t>
            </w:r>
          </w:p>
        </w:tc>
      </w:tr>
      <w:tr>
        <w:trPr>
          <w:trHeight w:val="203"/>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5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r>
      <w:tr>
        <w:trPr>
          <w:trHeight w:val="224"/>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346</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565</w:t>
            </w:r>
          </w:p>
        </w:tc>
      </w:tr>
      <w:tr>
        <w:trPr>
          <w:trHeight w:val="230"/>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(47)</w:t>
            </w:r>
          </w:p>
        </w:tc>
      </w:tr>
      <w:tr>
        <w:trPr>
          <w:trHeight w:val="248"/>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518</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6,948</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6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2,740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6,948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June 30, 2024, and December 31, 2023, unrealized gains and losses associated with our debt investments were not material. We did not recognize any credit losses related to debt investments for the first six months of 2024 and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June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6,839</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w:t>
            </w:r>
          </w:p>
        </w:tc>
      </w:tr>
    </w:tbl>
    <w:p>
      <w:pPr>
        <w:spacing w:after="0" w:line="26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Proceeds from sales, redemptions and maturities of short-term available-for-sale investments were $3.13 billion and $ 3.07 billion for the second quarters of 2024 and 2023, respectively, and $5.76 billion and $7.09 billion for the first six months of 2024 and 2023, respectively. Gross realized gains and losses from these sales were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100" w:hanging="329"/>
        <w:spacing w:after="0" w:line="256"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June 30, 2024, and December 31, 2023, we had no Level 3 assets or liabilities.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2023</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2,112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2,112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4,504</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4,046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4,938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4,698</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7,786</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842"/>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June 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DBDBDB"/>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7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720" w:type="dxa"/>
            <w:vAlign w:val="bottom"/>
            <w:tcBorders>
              <w:top w:val="single" w:sz="8" w:color="auto"/>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gridSpan w:val="2"/>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Six Months Ended June 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(11)</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Recognized net actuarial losses (gains)</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DBDBDB"/>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7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720" w:type="dxa"/>
            <w:vAlign w:val="bottom"/>
            <w:tcBorders>
              <w:top w:val="single" w:sz="8" w:color="auto"/>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June 30, 2024, the aforementioned line of credit was a variable-rate, revolving credit facility from a consortium of investment-grade banks that allows us to borrow up to $1 billion until March 2025. The interest rate on borrowings under this credit facility, if drawn, is indexed to the applicable Term Secured Overnight Financing Rate (Term SOFR). As of June 30, 2024,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May 2024, we retired $300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we issued five series of senior unsecured notes for an aggregate principal amount of $3.00 billion, consisting of:</w:t>
      </w:r>
    </w:p>
    <w:p>
      <w:pPr>
        <w:spacing w:after="0" w:line="225" w:lineRule="exact"/>
        <w:rPr>
          <w:sz w:val="20"/>
          <w:szCs w:val="20"/>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 million of 4.60% notes due in 2027;</w:t>
      </w:r>
    </w:p>
    <w:p>
      <w:pPr>
        <w:spacing w:after="0" w:line="27"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 million of 4.60% notes due in 2029;</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$600 million of 4.85% notes due in 2034;</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$750 million of 5.15% notes due in 2054;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million further issuance of existing 5.05% notes due in 2063.</w:t>
      </w:r>
    </w:p>
    <w:p>
      <w:pPr>
        <w:spacing w:after="0" w:line="20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incurred $16 million of issuance and other related costs. The proceeds of the offering were $2.98 billion, net of the original issuance discounts, which will be used for general corporate purposes.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2024 at 4.70%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2033 at 4.90%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2034 at 4.85%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13,891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Interest and debt expense was $131 million and $89 million for the second quarters of 2024 and 2023, respectively, and $247 million and $157 million for the first six months of 2024 and 2023, respectively. This was net of the amortized discounts, premiums, issuance and other related costs. Capitalized interest was $5 million and $3 million for the second quarters of 2024 and 2023, respectively, and $11 million and $5 million for the first six months of 2024 and 2023,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2023</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2024</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($1.30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June 30, 2024</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3,666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52,135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(40,128)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2022</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2023</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50,930</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51,522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(40,240)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2024, restructuring charges/other was a credit of $124 million primarily due to a gain on the sale of a property.</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1,284</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Other long-term assets</w:t>
            </w: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1,421</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second quarters and first six months of 2024 and 2023. The table below details where these transactions are recorded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Three Months Ended</w:t>
            </w:r>
          </w:p>
        </w:tc>
        <w:tc>
          <w:tcPr>
            <w:tcW w:w="260" w:type="dxa"/>
            <w:vAlign w:val="bottom"/>
          </w:tcPr>
          <w:p>
            <w:pPr>
              <w:spacing w:after="0"/>
              <w:rPr>
                <w:sz w:val="17"/>
                <w:szCs w:val="17"/>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rPr>
              <w:t>For Six Months Ended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164"/>
        </w:trPr>
        <w:tc>
          <w:tcPr>
            <w:tcW w:w="3560" w:type="dxa"/>
            <w:vAlign w:val="bottom"/>
            <w:shd w:val="clear" w:color="auto" w:fill="DBDBDB"/>
          </w:tcPr>
          <w:p>
            <w:pPr>
              <w:ind w:left="20"/>
              <w:spacing w:after="0" w:line="163" w:lineRule="exact"/>
              <w:rPr>
                <w:sz w:val="20"/>
                <w:szCs w:val="20"/>
                <w:color w:val="auto"/>
              </w:rPr>
            </w:pPr>
            <w:r>
              <w:rPr>
                <w:rFonts w:ascii="Arial" w:cs="Arial" w:eastAsia="Arial" w:hAnsi="Arial"/>
                <w:sz w:val="18"/>
                <w:szCs w:val="18"/>
                <w:color w:val="auto"/>
              </w:rPr>
              <w:t>Net actuarial losses of defined benefit</w:t>
            </w:r>
          </w:p>
        </w:tc>
        <w:tc>
          <w:tcPr>
            <w:tcW w:w="22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plans:</w:t>
            </w: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60" w:type="dxa"/>
            <w:vAlign w:val="bottom"/>
          </w:tcPr>
          <w:p>
            <w:pPr>
              <w:ind w:left="140"/>
              <w:spacing w:after="0" w:line="183" w:lineRule="exact"/>
              <w:rPr>
                <w:sz w:val="20"/>
                <w:szCs w:val="20"/>
                <w:color w:val="auto"/>
              </w:rPr>
            </w:pPr>
            <w:r>
              <w:rPr>
                <w:rFonts w:ascii="Arial" w:cs="Arial" w:eastAsia="Arial" w:hAnsi="Arial"/>
                <w:sz w:val="18"/>
                <w:szCs w:val="18"/>
                <w:color w:val="auto"/>
              </w:rPr>
              <w:t>Recognized net actuarial losses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center"/>
              <w:ind w:left="539"/>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ind w:left="455"/>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center"/>
              <w:ind w:left="519"/>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15"/>
                <w:szCs w:val="15"/>
                <w:color w:val="auto"/>
              </w:rPr>
            </w:pPr>
          </w:p>
        </w:tc>
        <w:tc>
          <w:tcPr>
            <w:tcW w:w="800" w:type="dxa"/>
            <w:vAlign w:val="bottom"/>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5"/>
                <w:szCs w:val="15"/>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235"/>
        </w:trPr>
        <w:tc>
          <w:tcPr>
            <w:tcW w:w="3560" w:type="dxa"/>
            <w:vAlign w:val="bottom"/>
          </w:tcPr>
          <w:p>
            <w:pPr>
              <w:ind w:left="140"/>
              <w:spacing w:after="0"/>
              <w:rPr>
                <w:sz w:val="20"/>
                <w:szCs w:val="20"/>
                <w:color w:val="auto"/>
              </w:rPr>
            </w:pPr>
            <w:r>
              <w:rPr>
                <w:rFonts w:ascii="Arial" w:cs="Arial" w:eastAsia="Arial" w:hAnsi="Arial"/>
                <w:sz w:val="18"/>
                <w:szCs w:val="18"/>
                <w:color w:val="auto"/>
              </w:rPr>
              <w:t>settlement losses (a)</w:t>
            </w:r>
          </w:p>
        </w:tc>
        <w:tc>
          <w:tcPr>
            <w:tcW w:w="2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6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center"/>
              <w:ind w:left="539"/>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800" w:type="dxa"/>
            <w:vAlign w:val="bottom"/>
            <w:vMerge w:val="restart"/>
            <w:shd w:val="clear" w:color="auto" w:fill="DBDBDB"/>
          </w:tcPr>
          <w:p>
            <w:pPr>
              <w:jc w:val="center"/>
              <w:ind w:left="455"/>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center"/>
              <w:ind w:left="479"/>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DBDBDB"/>
          </w:tcPr>
          <w:p>
            <w:pPr>
              <w:spacing w:after="0"/>
              <w:rPr>
                <w:sz w:val="15"/>
                <w:szCs w:val="15"/>
                <w:color w:val="auto"/>
              </w:rPr>
            </w:pPr>
          </w:p>
        </w:tc>
        <w:tc>
          <w:tcPr>
            <w:tcW w:w="284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35"/>
        </w:trPr>
        <w:tc>
          <w:tcPr>
            <w:tcW w:w="3560" w:type="dxa"/>
            <w:vAlign w:val="bottom"/>
            <w:vMerge w:val="continue"/>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8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spacing w:after="0"/>
              <w:rPr>
                <w:sz w:val="20"/>
                <w:szCs w:val="20"/>
                <w:color w:val="auto"/>
              </w:rPr>
            </w:pPr>
          </w:p>
        </w:tc>
        <w:tc>
          <w:tcPr>
            <w:tcW w:w="8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0" w:type="dxa"/>
            <w:vAlign w:val="bottom"/>
            <w:tcBorders>
              <w:bottom w:val="single" w:sz="8" w:color="auto"/>
            </w:tcBorders>
            <w:shd w:val="clear" w:color="auto" w:fill="DBDBDB"/>
          </w:tcPr>
          <w:p>
            <w:pPr>
              <w:spacing w:after="0"/>
              <w:rPr>
                <w:sz w:val="20"/>
                <w:szCs w:val="20"/>
                <w:color w:val="auto"/>
              </w:rPr>
            </w:pPr>
          </w:p>
        </w:tc>
        <w:tc>
          <w:tcPr>
            <w:tcW w:w="320" w:type="dxa"/>
            <w:vAlign w:val="bottom"/>
            <w:tcBorders>
              <w:bottom w:val="single" w:sz="8" w:color="auto"/>
            </w:tcBorders>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64"/>
        </w:trPr>
        <w:tc>
          <w:tcPr>
            <w:tcW w:w="3560" w:type="dxa"/>
            <w:vAlign w:val="bottom"/>
          </w:tcPr>
          <w:p>
            <w:pPr>
              <w:ind w:left="140"/>
              <w:spacing w:after="0" w:line="163"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center"/>
              <w:ind w:left="539"/>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ind w:left="455"/>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center"/>
              <w:ind w:left="519"/>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14"/>
                <w:szCs w:val="14"/>
                <w:color w:val="auto"/>
              </w:rPr>
            </w:pPr>
          </w:p>
        </w:tc>
        <w:tc>
          <w:tcPr>
            <w:tcW w:w="800" w:type="dxa"/>
            <w:vAlign w:val="bottom"/>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4"/>
                <w:szCs w:val="14"/>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13"/>
        </w:trPr>
        <w:tc>
          <w:tcPr>
            <w:tcW w:w="3560" w:type="dxa"/>
            <w:vAlign w:val="bottom"/>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60" w:type="dxa"/>
            <w:vAlign w:val="bottom"/>
            <w:vMerge w:val="restart"/>
          </w:tcPr>
          <w:p>
            <w:pPr>
              <w:spacing w:after="0"/>
              <w:rPr>
                <w:sz w:val="20"/>
                <w:szCs w:val="20"/>
                <w:color w:val="auto"/>
              </w:rPr>
            </w:pPr>
            <w:r>
              <w:rPr>
                <w:rFonts w:ascii="Arial" w:cs="Arial" w:eastAsia="Arial" w:hAnsi="Arial"/>
                <w:sz w:val="18"/>
                <w:szCs w:val="18"/>
                <w:color w:val="auto"/>
              </w:rPr>
              <w:t>(a) Detailed in Note 5</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2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60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DBDBDB"/>
            </w:tcBorders>
          </w:tcPr>
          <w:p>
            <w:pPr>
              <w:spacing w:after="0"/>
              <w:rPr>
                <w:sz w:val="19"/>
                <w:szCs w:val="19"/>
                <w:color w:val="auto"/>
              </w:rPr>
            </w:pPr>
          </w:p>
        </w:tc>
        <w:tc>
          <w:tcPr>
            <w:tcW w:w="8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Repurchases</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Shares issued for stock compensation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8"/>
        </w:trPr>
        <w:tc>
          <w:tcPr>
            <w:tcW w:w="35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June 30</w:t>
            </w:r>
          </w:p>
        </w:tc>
        <w:tc>
          <w:tcPr>
            <w:tcW w:w="220" w:type="dxa"/>
            <w:vAlign w:val="bottom"/>
            <w:tcBorders>
              <w:top w:val="single" w:sz="8" w:color="DBDBDB"/>
              <w:bottom w:val="single" w:sz="8" w:color="DBDBDB"/>
            </w:tcBorders>
            <w:shd w:val="clear" w:color="auto" w:fill="DBDBDB"/>
          </w:tcPr>
          <w:p>
            <w:pPr>
              <w:spacing w:after="0"/>
              <w:rPr>
                <w:sz w:val="21"/>
                <w:szCs w:val="21"/>
                <w:color w:val="auto"/>
              </w:rPr>
            </w:pPr>
          </w:p>
        </w:tc>
        <w:tc>
          <w:tcPr>
            <w:tcW w:w="8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DBDBDB"/>
              <w:bottom w:val="single" w:sz="8" w:color="DBDBDB"/>
            </w:tcBorders>
            <w:shd w:val="clear" w:color="auto" w:fill="DBDBDB"/>
          </w:tcPr>
          <w:p>
            <w:pPr>
              <w:spacing w:after="0"/>
              <w:rPr>
                <w:sz w:val="21"/>
                <w:szCs w:val="21"/>
                <w:color w:val="auto"/>
              </w:rPr>
            </w:pPr>
          </w:p>
        </w:tc>
        <w:tc>
          <w:tcPr>
            <w:tcW w:w="86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DBDBDB"/>
              <w:bottom w:val="single" w:sz="8" w:color="DBDBDB"/>
            </w:tcBorders>
            <w:shd w:val="clear" w:color="auto" w:fill="DBDBDB"/>
          </w:tcPr>
          <w:p>
            <w:pPr>
              <w:spacing w:after="0"/>
              <w:rPr>
                <w:sz w:val="21"/>
                <w:szCs w:val="21"/>
                <w:color w:val="auto"/>
              </w:rPr>
            </w:pPr>
          </w:p>
        </w:tc>
        <w:tc>
          <w:tcPr>
            <w:tcW w:w="1600" w:type="dxa"/>
            <w:vAlign w:val="bottom"/>
            <w:tcBorders>
              <w:top w:val="single" w:sz="8" w:color="DBDBDB"/>
              <w:bottom w:val="single" w:sz="8" w:color="DBDBDB"/>
            </w:tcBorders>
            <w:gridSpan w:val="2"/>
            <w:shd w:val="clear" w:color="auto" w:fill="DBDBDB"/>
          </w:tcPr>
          <w:p>
            <w:pPr>
              <w:spacing w:after="0"/>
              <w:rPr>
                <w:sz w:val="21"/>
                <w:szCs w:val="21"/>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0"/>
        </w:trPr>
        <w:tc>
          <w:tcPr>
            <w:tcW w:w="3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left="1300" w:right="380" w:hanging="320"/>
        <w:spacing w:after="0" w:line="262"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$3.82 billion, net income was $1.13 billion and earnings per share (EPS) were $1.22.</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decreased 16% from the same quarter a year ago and increased 4% sequentially. Industrial and automotive continued to decline sequentially, while all other end markets grew.</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cash flow from operations of $6.4 billion for the trailing 12 months again underscored the strength of our business model, the quality of our product portfolio and the benefit of 300mm production. Free cash flow for the same period was $1.5 billion.</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Over the past 12 months we invested $3.7 billion in R&amp;D and SG&amp;A, invested $5.0 billion in capital expenditures and returned $4.9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2024 compared with second quarter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$3.82 billion decreased $709 million, or 16%, primarily due to lower revenue from Analog and Embedded Processing.</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Gross profit of $2.21 billion was down $699 million, or 24%, primarily due to lower revenue and, to a lesser extent, higher manufacturing unit costs associated with our planned capacity expansions and reduced factory loadings. As a percentage of revenue, gross profit decreased to 57.8% from 64.2%. Sequentially, gross profit margin increased 60 basis points, primarily due to higher revenue as well as lower manufacturing unit costs due to increased factory loadings and more manufacturing internally, with more wafers on 300mm.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$963 million compared with $938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$1.25 billion, or 32.7% of revenue, compared with $1.97 billion, or 43.5%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$130 million of income compared with $119 million of income, primarily due to higher interest income.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Interest and debt expense of $131 million increased $42 million due to the issuance of additional long-term debt. See Note 6 to the financial statements.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provision for income taxes was $120 million compared with $280 million. This decrease was due to lower income before income taxes and higher discrete tax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$1.13 billion compared with $1.72 billion. EPS was $1.22 compared with $1.87.</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Second quarter 2024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2,928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3,278</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35.8 %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Analog revenue decreased due to the mix of products shipped in both product lines, led by Signal Chain.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615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894</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primarily due to lower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43.4 %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$80 million, and operating profit decreased $70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2024 compared with first six months of 2023</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Revenue of $7.48 billion decreased $1.43 billion, or 16%, primarily due to lower revenue from Analog and, to a lesser extent, Embedded Processing.</w:t>
      </w:r>
    </w:p>
    <w:p>
      <w:pPr>
        <w:spacing w:after="0" w:line="15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Gross profit of $4.31 billion was down $1.47 billion, or 25%, primarily due to lower revenue and, to a lesser extent, higher manufacturing unit costs associated with reduced factory loadings and our planned capacity expansions. As a percentage of revenue, gross profit decreased to 57.5% from 64.8%.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$1.90 billion compared with $1.87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$124 million primarily due to a gain on the sale of a property during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$2.53 billion, or 33.9% of revenue, compared with $3.91 billion, or 43.8%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$253 million of income compared with $199 million of income, primarily due to higher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$247 million increased $90 million due to the issuance of additional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was $308 million compared with $518 million. This decrease was due to lower income before 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income was $2.23 billion compared with $3.43 billion. EPS was $2.42 compared with $3.72.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5,764</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6,567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35.7 %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Analog revenue decreased due to the mix of products shipped in both product lines, led by Signal Chain.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1,267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1,726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14.6 %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primarily due to lower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452</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50.9 %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$165 million, and operating profit decreased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At the end of the second quarter of 2024, total cash (cash and cash equivalents plus short-term investments) was $9.69 billion, an increase of $1.11 billion from the end of 2023.</w:t>
      </w:r>
    </w:p>
    <w:p>
      <w:pPr>
        <w:spacing w:after="0" w:line="15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Accounts receivable were $1.71 billion, a decrease of $76 million compared with the end of 2023. Days sales outstanding for the second quarter of 2024 were 40 compared with 39 at the end of 2023.</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Inventory was $4.11 billion, an increase of $107 million from the end of 2023. Days of inventory for the second quarter of 2024 were 229 compared with 219 at the end of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June 30, 2024, our credit facility was undrawn, and we had no commercial paper outstanding. Cash flows from operating activities for the first six months of 2024 were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$2.59 billion, an increase of $29 million from the year-ago period primarily due to lower cash used for working capital, partially offset by lower net income. Cash flows from operating activities for the first six months of 2024 include a cash benefit of $312 million from the U.S. CHIPS and Science Act investment tax credit used to reduce income taxes payable.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right="80"/>
        <w:spacing w:after="0" w:line="262" w:lineRule="auto"/>
        <w:rPr>
          <w:sz w:val="20"/>
          <w:szCs w:val="20"/>
          <w:color w:val="auto"/>
        </w:rPr>
      </w:pPr>
      <w:r>
        <w:rPr>
          <w:rFonts w:ascii="Arial" w:cs="Arial" w:eastAsia="Arial" w:hAnsi="Arial"/>
          <w:sz w:val="18"/>
          <w:szCs w:val="18"/>
          <w:color w:val="auto"/>
        </w:rPr>
        <w:t>Investing activities for the first six months of 2024 used $3.33 billion compared with $2.36 billion in the year-ago period. Capital expenditures were $2.31 billion compared with $2.43 billion in the year-ago period and were primarily for semiconductor manufacturing equipment and facilities in both periods. Short-term investments used cash of $1.20 billion compared with $31 million of cash provided in the year-ago period.</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remain at elevated levels. In August 2022, the U.S. government enacted the U.S. CHIPS and Science Act, which provides funding for manufacturing grants and research investments and establishes a 25% investment tax credit for certain investments in U.S. semiconductor manufacturing. We began receiving the cash benefit associated with the investment tax credit for qualifying capital expenditures in the second quarter of 2024. See Note 9 to the financial statements. We have also submitted applications for the manufacturing grants provided by the legislation.</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Financing activities for the first six months of 2024 provided $517 million compared with $ 187 million in the year-ago period. In 2024, we received net proceeds of $2.98 billion from the issuance of fixed-rate, long-term debt and retired maturing debt of $300 million. In the year-ago period, we received net proceeds of $3.00 billion from the issuance of fixed-rate, long-term debt and retired maturing debt of $ 500 million. Dividends paid were $2.37 billion compared with $2.25 billion in the year-ago period, reflecting an increased dividend rate. We used $74 million to repurchase 0.4 million shares of our common stock compared with $182 million in the year-ago period to repurchase 1.1 million shares. Employee exercises of stock options provided cash proceeds of $313 million compared with $150 million in the year-ago period.</w:t>
      </w:r>
    </w:p>
    <w:p>
      <w:pPr>
        <w:spacing w:after="0" w:line="1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had $2.74 billion of cash and cash equivalents and $6.95 billion of short-term investments as of June 30, 2024.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6,449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7,367</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(4,955)</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1,494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3,182</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5"/>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16,092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18,821</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40.1 %</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66" w:lineRule="exact"/>
        <w:rPr>
          <w:sz w:val="20"/>
          <w:szCs w:val="20"/>
          <w:color w:val="auto"/>
        </w:rPr>
      </w:pPr>
    </w:p>
    <w:p>
      <w:pPr>
        <w:ind w:right="520" w:firstLine="8"/>
        <w:spacing w:after="0" w:line="287" w:lineRule="auto"/>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 cash benefit of $312 million from the U.S. CHIPS and Science Act ITC used to reduce income taxes payable for the twelve months ended June 30, 2024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2023,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ind w:right="20" w:firstLine="56"/>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April 1, 2024 through April 30, 2024</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20,776</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176.46</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20,776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21.19</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May 1, 2024 through May 31, 2024</w:t>
            </w:r>
          </w:p>
        </w:tc>
        <w:tc>
          <w:tcPr>
            <w:tcW w:w="1280" w:type="dxa"/>
            <w:vAlign w:val="bottom"/>
          </w:tcPr>
          <w:p>
            <w:pPr>
              <w:jc w:val="right"/>
              <w:spacing w:after="0"/>
              <w:rPr>
                <w:sz w:val="20"/>
                <w:szCs w:val="20"/>
                <w:color w:val="auto"/>
              </w:rPr>
            </w:pPr>
            <w:r>
              <w:rPr>
                <w:rFonts w:ascii="Arial" w:cs="Arial" w:eastAsia="Arial" w:hAnsi="Arial"/>
                <w:sz w:val="18"/>
                <w:szCs w:val="18"/>
                <w:color w:val="auto"/>
              </w:rPr>
              <w:t>215,795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213,922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21.15</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June 1, 2024 through June 30, 2024</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146,158</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194.98</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146,158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21.12</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382,729</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189.60</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380,856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760" w:hanging="332"/>
        <w:spacing w:after="0" w:line="287"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open-market purchases, 1,873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400" w:hanging="332"/>
        <w:spacing w:after="0" w:line="28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June 30, 2024,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3" w:name="page24"/>
    <w:bookmarkEnd w:id="23"/>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Designation of Exhibits in</w:t>
            </w: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80" w:type="dxa"/>
            <w:vAlign w:val="bottom"/>
            <w:gridSpan w:val="18"/>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60" w:type="dxa"/>
            <w:vAlign w:val="bottom"/>
            <w:shd w:val="clear" w:color="auto" w:fill="DBDBDB"/>
          </w:tcPr>
          <w:p>
            <w:pPr>
              <w:spacing w:after="0"/>
              <w:rPr>
                <w:sz w:val="18"/>
                <w:szCs w:val="18"/>
                <w:color w:val="auto"/>
              </w:rPr>
            </w:pPr>
          </w:p>
        </w:tc>
        <w:tc>
          <w:tcPr>
            <w:tcW w:w="9320" w:type="dxa"/>
            <w:vAlign w:val="bottom"/>
            <w:gridSpan w:val="17"/>
            <w:shd w:val="clear" w:color="auto" w:fill="DBDBDB"/>
          </w:tcPr>
          <w:p>
            <w:pPr>
              <w:spacing w:after="0"/>
              <w:rPr>
                <w:rFonts w:ascii="Arial" w:cs="Arial" w:eastAsia="Arial" w:hAnsi="Arial"/>
                <w:sz w:val="18"/>
                <w:szCs w:val="18"/>
                <w:color w:val="0000FF"/>
              </w:rPr>
            </w:pPr>
            <w:hyperlink r:id="rId41">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860" w:type="dxa"/>
            <w:vAlign w:val="bottom"/>
            <w:tcBorders>
              <w:top w:val="single" w:sz="8" w:color="DBDBDB"/>
            </w:tcBorders>
            <w:vMerge w:val="continue"/>
            <w:shd w:val="clear" w:color="auto" w:fill="DBDBDB"/>
          </w:tcPr>
          <w:p>
            <w:pPr>
              <w:spacing w:after="0"/>
              <w:rPr>
                <w:sz w:val="11"/>
                <w:szCs w:val="11"/>
                <w:color w:val="auto"/>
              </w:rPr>
            </w:pPr>
          </w:p>
        </w:tc>
        <w:tc>
          <w:tcPr>
            <w:tcW w:w="60" w:type="dxa"/>
            <w:vAlign w:val="bottom"/>
            <w:tcBorders>
              <w:top w:val="single" w:sz="8" w:color="DBDBDB"/>
            </w:tcBorders>
            <w:vMerge w:val="restart"/>
            <w:shd w:val="clear" w:color="auto" w:fill="DBDBDB"/>
          </w:tcPr>
          <w:p>
            <w:pPr>
              <w:spacing w:after="0"/>
              <w:rPr>
                <w:sz w:val="11"/>
                <w:szCs w:val="11"/>
                <w:color w:val="auto"/>
              </w:rPr>
            </w:pPr>
          </w:p>
        </w:tc>
        <w:tc>
          <w:tcPr>
            <w:tcW w:w="8220" w:type="dxa"/>
            <w:vAlign w:val="bottom"/>
            <w:tcBorders>
              <w:top w:val="single" w:sz="8" w:color="0000FF"/>
            </w:tcBorders>
            <w:gridSpan w:val="11"/>
            <w:vMerge w:val="restart"/>
            <w:shd w:val="clear" w:color="auto" w:fill="DBDBDB"/>
          </w:tcPr>
          <w:p>
            <w:pPr>
              <w:spacing w:after="0" w:line="196"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tcBorders>
              <w:bottom w:val="single" w:sz="8" w:color="DBDBDB"/>
            </w:tcBorders>
            <w:shd w:val="clear" w:color="auto" w:fill="DBDBDB"/>
          </w:tcPr>
          <w:p>
            <w:pPr>
              <w:spacing w:after="0"/>
              <w:rPr>
                <w:sz w:val="9"/>
                <w:szCs w:val="9"/>
                <w:color w:val="auto"/>
              </w:rPr>
            </w:pPr>
          </w:p>
        </w:tc>
        <w:tc>
          <w:tcPr>
            <w:tcW w:w="60" w:type="dxa"/>
            <w:vAlign w:val="bottom"/>
            <w:tcBorders>
              <w:bottom w:val="single" w:sz="8" w:color="DBDBDB"/>
            </w:tcBorders>
            <w:vMerge w:val="continue"/>
            <w:shd w:val="clear" w:color="auto" w:fill="DBDBDB"/>
          </w:tcPr>
          <w:p>
            <w:pPr>
              <w:spacing w:after="0"/>
              <w:rPr>
                <w:sz w:val="9"/>
                <w:szCs w:val="9"/>
                <w:color w:val="auto"/>
              </w:rPr>
            </w:pPr>
          </w:p>
        </w:tc>
        <w:tc>
          <w:tcPr>
            <w:tcW w:w="8220" w:type="dxa"/>
            <w:vAlign w:val="bottom"/>
            <w:tcBorders>
              <w:bottom w:val="single" w:sz="8" w:color="0000FF"/>
            </w:tcBorders>
            <w:gridSpan w:val="11"/>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60" w:type="dxa"/>
            <w:vAlign w:val="bottom"/>
          </w:tcPr>
          <w:p>
            <w:pPr>
              <w:spacing w:after="0"/>
              <w:rPr>
                <w:sz w:val="17"/>
                <w:szCs w:val="17"/>
                <w:color w:val="auto"/>
              </w:rPr>
            </w:pPr>
          </w:p>
        </w:tc>
        <w:tc>
          <w:tcPr>
            <w:tcW w:w="8960" w:type="dxa"/>
            <w:vAlign w:val="bottom"/>
            <w:tcBorders>
              <w:bottom w:val="single" w:sz="8" w:color="0000FF"/>
            </w:tcBorders>
            <w:gridSpan w:val="14"/>
          </w:tcPr>
          <w:p>
            <w:pPr>
              <w:spacing w:after="0" w:line="20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9380" w:type="dxa"/>
            <w:vAlign w:val="bottom"/>
            <w:gridSpan w:val="18"/>
            <w:vMerge w:val="restart"/>
          </w:tcPr>
          <w:p>
            <w:pPr>
              <w:ind w:left="60"/>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938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10(a)</w:t>
            </w:r>
          </w:p>
        </w:tc>
        <w:tc>
          <w:tcPr>
            <w:tcW w:w="60" w:type="dxa"/>
            <w:vAlign w:val="bottom"/>
            <w:tcBorders>
              <w:bottom w:val="single" w:sz="8" w:color="DBDBDB"/>
            </w:tcBorders>
            <w:shd w:val="clear" w:color="auto" w:fill="DBDBDB"/>
          </w:tcPr>
          <w:p>
            <w:pPr>
              <w:spacing w:after="0"/>
              <w:rPr>
                <w:sz w:val="21"/>
                <w:szCs w:val="21"/>
                <w:color w:val="auto"/>
              </w:rPr>
            </w:pPr>
          </w:p>
        </w:tc>
        <w:tc>
          <w:tcPr>
            <w:tcW w:w="6580" w:type="dxa"/>
            <w:vAlign w:val="bottom"/>
            <w:tcBorders>
              <w:bottom w:val="single" w:sz="8" w:color="0000FF"/>
            </w:tcBorders>
            <w:gridSpan w:val="8"/>
            <w:shd w:val="clear" w:color="auto" w:fill="DBDBDB"/>
          </w:tcPr>
          <w:p>
            <w:pPr>
              <w:spacing w:after="0" w:line="202" w:lineRule="exact"/>
              <w:rPr>
                <w:sz w:val="20"/>
                <w:szCs w:val="20"/>
                <w:color w:val="auto"/>
              </w:rPr>
            </w:pPr>
            <w:r>
              <w:rPr>
                <w:rFonts w:ascii="Arial" w:cs="Arial" w:eastAsia="Arial" w:hAnsi="Arial"/>
                <w:sz w:val="18"/>
                <w:szCs w:val="18"/>
                <w:color w:val="0000FF"/>
                <w:w w:val="99"/>
              </w:rPr>
              <w:t>Texas Instruments 2018 Director Compensation Plan as amended April 25, 2024.†</w:t>
            </w:r>
          </w:p>
        </w:tc>
        <w:tc>
          <w:tcPr>
            <w:tcW w:w="2740" w:type="dxa"/>
            <w:vAlign w:val="bottom"/>
            <w:tcBorders>
              <w:bottom w:val="single" w:sz="8" w:color="DBDBDB"/>
            </w:tcBorders>
            <w:gridSpan w:val="9"/>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31(a)</w:t>
            </w:r>
          </w:p>
        </w:tc>
        <w:tc>
          <w:tcPr>
            <w:tcW w:w="9380" w:type="dxa"/>
            <w:vAlign w:val="bottom"/>
            <w:gridSpan w:val="18"/>
          </w:tcPr>
          <w:p>
            <w:pPr>
              <w:ind w:left="60"/>
              <w:spacing w:after="0" w:line="202" w:lineRule="exact"/>
              <w:rPr>
                <w:sz w:val="20"/>
                <w:szCs w:val="20"/>
                <w:color w:val="auto"/>
              </w:rPr>
            </w:pPr>
            <w:r>
              <w:rPr>
                <w:rFonts w:ascii="Arial" w:cs="Arial" w:eastAsia="Arial" w:hAnsi="Arial"/>
                <w:sz w:val="18"/>
                <w:szCs w:val="18"/>
                <w:color w:val="0000FF"/>
              </w:rPr>
              <w:t>Certification of Chief Executive Officer of Periodic Report Pursuant to Rule 13a-14(a) or Rule 15d-14(a).†</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31(b)</w:t>
            </w:r>
          </w:p>
        </w:tc>
        <w:tc>
          <w:tcPr>
            <w:tcW w:w="60" w:type="dxa"/>
            <w:vAlign w:val="bottom"/>
            <w:tcBorders>
              <w:bottom w:val="single" w:sz="8" w:color="DBDBDB"/>
            </w:tcBorders>
            <w:shd w:val="clear" w:color="auto" w:fill="DBDBDB"/>
          </w:tcPr>
          <w:p>
            <w:pPr>
              <w:spacing w:after="0"/>
              <w:rPr>
                <w:sz w:val="21"/>
                <w:szCs w:val="21"/>
                <w:color w:val="auto"/>
              </w:rPr>
            </w:pPr>
          </w:p>
        </w:tc>
        <w:tc>
          <w:tcPr>
            <w:tcW w:w="830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Financial Officer of Periodic Report Pursuant to Rule 13a-14(a) or Rule 15d-14(a).†</w:t>
            </w:r>
          </w:p>
        </w:tc>
        <w:tc>
          <w:tcPr>
            <w:tcW w:w="1020" w:type="dxa"/>
            <w:vAlign w:val="bottom"/>
            <w:tcBorders>
              <w:bottom w:val="single" w:sz="8" w:color="DBDBDB"/>
            </w:tcBorders>
            <w:gridSpan w:val="5"/>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32(a)</w:t>
            </w:r>
          </w:p>
        </w:tc>
        <w:tc>
          <w:tcPr>
            <w:tcW w:w="9380" w:type="dxa"/>
            <w:vAlign w:val="bottom"/>
            <w:gridSpan w:val="18"/>
          </w:tcPr>
          <w:p>
            <w:pPr>
              <w:ind w:left="60"/>
              <w:spacing w:after="0" w:line="202" w:lineRule="exact"/>
              <w:rPr>
                <w:sz w:val="20"/>
                <w:szCs w:val="20"/>
                <w:color w:val="auto"/>
              </w:rPr>
            </w:pPr>
            <w:r>
              <w:rPr>
                <w:rFonts w:ascii="Arial" w:cs="Arial" w:eastAsia="Arial" w:hAnsi="Arial"/>
                <w:sz w:val="18"/>
                <w:szCs w:val="18"/>
                <w:color w:val="0000FF"/>
              </w:rPr>
              <w:t>Certification by Chief Executive Officer of Periodic Report Pursuant to 18 U.S.C. Section 1350.†</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32(b)</w:t>
            </w:r>
          </w:p>
        </w:tc>
        <w:tc>
          <w:tcPr>
            <w:tcW w:w="60" w:type="dxa"/>
            <w:vAlign w:val="bottom"/>
            <w:tcBorders>
              <w:bottom w:val="single" w:sz="8" w:color="DBDBDB"/>
            </w:tcBorders>
            <w:shd w:val="clear" w:color="auto" w:fill="DBDBDB"/>
          </w:tcPr>
          <w:p>
            <w:pPr>
              <w:spacing w:after="0"/>
              <w:rPr>
                <w:sz w:val="21"/>
                <w:szCs w:val="21"/>
                <w:color w:val="auto"/>
              </w:rPr>
            </w:pPr>
          </w:p>
        </w:tc>
        <w:tc>
          <w:tcPr>
            <w:tcW w:w="756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Financial Officer of Periodic Report Pursuant to 18 U.S.C. Section 1350.†</w:t>
            </w:r>
          </w:p>
        </w:tc>
        <w:tc>
          <w:tcPr>
            <w:tcW w:w="1760" w:type="dxa"/>
            <w:vAlign w:val="bottom"/>
            <w:tcBorders>
              <w:bottom w:val="single" w:sz="8" w:color="DBDBDB"/>
            </w:tcBorders>
            <w:gridSpan w:val="8"/>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17"/>
                <w:szCs w:val="17"/>
                <w:color w:val="auto"/>
              </w:rPr>
            </w:pPr>
          </w:p>
        </w:tc>
        <w:tc>
          <w:tcPr>
            <w:tcW w:w="9320" w:type="dxa"/>
            <w:vAlign w:val="bottom"/>
            <w:gridSpan w:val="17"/>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60" w:type="dxa"/>
            <w:vAlign w:val="bottom"/>
            <w:vMerge w:val="restart"/>
          </w:tcPr>
          <w:p>
            <w:pPr>
              <w:spacing w:after="0"/>
              <w:rPr>
                <w:sz w:val="11"/>
                <w:szCs w:val="11"/>
                <w:color w:val="auto"/>
              </w:rPr>
            </w:pPr>
          </w:p>
        </w:tc>
        <w:tc>
          <w:tcPr>
            <w:tcW w:w="9060" w:type="dxa"/>
            <w:vAlign w:val="bottom"/>
            <w:tcBorders>
              <w:top w:val="single" w:sz="8" w:color="auto"/>
            </w:tcBorders>
            <w:gridSpan w:val="15"/>
            <w:vMerge w:val="restart"/>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9060" w:type="dxa"/>
            <w:vAlign w:val="bottom"/>
            <w:gridSpan w:val="15"/>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60" w:type="dxa"/>
            <w:vAlign w:val="bottom"/>
            <w:shd w:val="clear" w:color="auto" w:fill="DBDBDB"/>
          </w:tcPr>
          <w:p>
            <w:pPr>
              <w:spacing w:after="0"/>
              <w:rPr>
                <w:sz w:val="21"/>
                <w:szCs w:val="21"/>
                <w:color w:val="auto"/>
              </w:rPr>
            </w:pPr>
          </w:p>
        </w:tc>
        <w:tc>
          <w:tcPr>
            <w:tcW w:w="9320" w:type="dxa"/>
            <w:vAlign w:val="bottom"/>
            <w:gridSpan w:val="17"/>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60" w:type="dxa"/>
            <w:vAlign w:val="bottom"/>
            <w:tcBorders>
              <w:top w:val="single" w:sz="8" w:color="DBDBDB"/>
            </w:tcBorders>
          </w:tcPr>
          <w:p>
            <w:pPr>
              <w:spacing w:after="0"/>
              <w:rPr>
                <w:sz w:val="17"/>
                <w:szCs w:val="17"/>
                <w:color w:val="auto"/>
              </w:rPr>
            </w:pPr>
          </w:p>
        </w:tc>
        <w:tc>
          <w:tcPr>
            <w:tcW w:w="4780" w:type="dxa"/>
            <w:vAlign w:val="bottom"/>
            <w:tcBorders>
              <w:top w:val="single" w:sz="8" w:color="auto"/>
            </w:tcBorders>
            <w:gridSpan w:val="5"/>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4540" w:type="dxa"/>
            <w:vAlign w:val="bottom"/>
            <w:tcBorders>
              <w:top w:val="single" w:sz="8" w:color="DBDBDB"/>
            </w:tcBorders>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60" w:type="dxa"/>
            <w:vAlign w:val="bottom"/>
            <w:shd w:val="clear" w:color="auto" w:fill="DBDBDB"/>
          </w:tcPr>
          <w:p>
            <w:pPr>
              <w:spacing w:after="0"/>
              <w:rPr>
                <w:sz w:val="21"/>
                <w:szCs w:val="21"/>
                <w:color w:val="auto"/>
              </w:rPr>
            </w:pPr>
          </w:p>
        </w:tc>
        <w:tc>
          <w:tcPr>
            <w:tcW w:w="9320" w:type="dxa"/>
            <w:vAlign w:val="bottom"/>
            <w:gridSpan w:val="17"/>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60" w:type="dxa"/>
            <w:vAlign w:val="bottom"/>
            <w:tcBorders>
              <w:top w:val="single" w:sz="8" w:color="DBDBDB"/>
            </w:tcBorders>
          </w:tcPr>
          <w:p>
            <w:pPr>
              <w:spacing w:after="0"/>
              <w:rPr>
                <w:sz w:val="17"/>
                <w:szCs w:val="17"/>
                <w:color w:val="auto"/>
              </w:rPr>
            </w:pPr>
          </w:p>
        </w:tc>
        <w:tc>
          <w:tcPr>
            <w:tcW w:w="4920" w:type="dxa"/>
            <w:vAlign w:val="bottom"/>
            <w:tcBorders>
              <w:top w:val="single" w:sz="8" w:color="auto"/>
            </w:tcBorders>
            <w:gridSpan w:val="6"/>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4400" w:type="dxa"/>
            <w:vAlign w:val="bottom"/>
            <w:tcBorders>
              <w:top w:val="single" w:sz="8" w:color="DBDBDB"/>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101.pre</w:t>
            </w:r>
          </w:p>
        </w:tc>
        <w:tc>
          <w:tcPr>
            <w:tcW w:w="9380" w:type="dxa"/>
            <w:vAlign w:val="bottom"/>
            <w:gridSpan w:val="18"/>
            <w:shd w:val="clear" w:color="auto" w:fill="DBDBDB"/>
          </w:tcPr>
          <w:p>
            <w:pPr>
              <w:ind w:left="60"/>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920" w:hanging="1158"/>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2024</w:t>
      </w:r>
    </w:p>
    <w:p>
      <w:pPr>
        <w:sectPr>
          <w:pgSz w:w="11900" w:h="16838" w:orient="portrait"/>
          <w:cols w:equalWidth="0" w:num="1">
            <w:col w:w="11200"/>
          </w:cols>
          <w:pgMar w:left="320" w:top="890"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2018 DIRECTOR COMPENSATION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April 25, 2024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PURPOSE.</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The Texas Instruments 2018 Director Compensation Plan ("the Plan") is intended as a successor plan to the Company’s 2009 Director Compensation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As used in the Plan, the following terms shall have the meanings set forth below:</w:t>
      </w:r>
    </w:p>
    <w:p>
      <w:pPr>
        <w:spacing w:after="0" w:line="9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"Account" </w:t>
      </w:r>
      <w:r>
        <w:rPr>
          <w:rFonts w:ascii="Arial" w:cs="Arial" w:eastAsia="Arial" w:hAnsi="Arial"/>
          <w:sz w:val="22"/>
          <w:szCs w:val="22"/>
          <w:color w:val="auto"/>
        </w:rPr>
        <w:t>means a Cash Account or Stock Unit Account established under Section 11 of the Plan.</w:t>
      </w:r>
    </w:p>
    <w:p>
      <w:pPr>
        <w:spacing w:after="0" w:line="98" w:lineRule="exact"/>
        <w:rPr>
          <w:rFonts w:ascii="Arial" w:cs="Arial" w:eastAsia="Arial" w:hAnsi="Arial"/>
          <w:sz w:val="22"/>
          <w:szCs w:val="22"/>
          <w:color w:val="auto"/>
        </w:rPr>
      </w:pPr>
    </w:p>
    <w:p>
      <w:pPr>
        <w:ind w:left="640" w:hanging="632"/>
        <w:spacing w:after="0"/>
        <w:tabs>
          <w:tab w:leader="none" w:pos="6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the Board or a committee of directors designated by the Board to administer the Plan.</w:t>
      </w:r>
    </w:p>
    <w:p>
      <w:pPr>
        <w:spacing w:after="0" w:line="98" w:lineRule="exact"/>
        <w:rPr>
          <w:rFonts w:ascii="Arial" w:cs="Arial" w:eastAsia="Arial" w:hAnsi="Arial"/>
          <w:sz w:val="22"/>
          <w:szCs w:val="22"/>
          <w:color w:val="auto"/>
        </w:rPr>
      </w:pPr>
    </w:p>
    <w:p>
      <w:pPr>
        <w:ind w:left="660" w:right="100" w:hanging="652"/>
        <w:spacing w:after="0" w:line="259"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"Award" </w:t>
      </w:r>
      <w:r>
        <w:rPr>
          <w:rFonts w:ascii="Arial" w:cs="Arial" w:eastAsia="Arial" w:hAnsi="Arial"/>
          <w:sz w:val="22"/>
          <w:szCs w:val="22"/>
          <w:color w:val="auto"/>
        </w:rPr>
        <w:t>means any Option, Restricted Stock Unit, Stock Appreciation Right or other stock-based award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w:t>
      </w:r>
    </w:p>
    <w:p>
      <w:pPr>
        <w:spacing w:after="0" w:line="48" w:lineRule="exact"/>
        <w:rPr>
          <w:rFonts w:ascii="Arial" w:cs="Arial" w:eastAsia="Arial" w:hAnsi="Arial"/>
          <w:sz w:val="22"/>
          <w:szCs w:val="22"/>
          <w:color w:val="auto"/>
        </w:rPr>
      </w:pPr>
    </w:p>
    <w:p>
      <w:pPr>
        <w:ind w:left="660" w:right="280" w:hanging="652"/>
        <w:spacing w:after="0" w:line="245" w:lineRule="auto"/>
        <w:tabs>
          <w:tab w:leader="none" w:pos="654"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"Award Agreement" </w:t>
      </w:r>
      <w:r>
        <w:rPr>
          <w:rFonts w:ascii="Arial" w:cs="Arial" w:eastAsia="Arial" w:hAnsi="Arial"/>
          <w:sz w:val="22"/>
          <w:szCs w:val="22"/>
          <w:color w:val="auto"/>
        </w:rPr>
        <w:t>means any written agreement, contract or other instrument or document evidencing any</w:t>
      </w:r>
      <w:r>
        <w:rPr>
          <w:rFonts w:ascii="Arial" w:cs="Arial" w:eastAsia="Arial" w:hAnsi="Arial"/>
          <w:sz w:val="22"/>
          <w:szCs w:val="22"/>
          <w:i w:val="1"/>
          <w:iCs w:val="1"/>
          <w:color w:val="auto"/>
        </w:rPr>
        <w:t xml:space="preserve"> </w:t>
      </w:r>
      <w:r>
        <w:rPr>
          <w:rFonts w:ascii="Arial" w:cs="Arial" w:eastAsia="Arial" w:hAnsi="Arial"/>
          <w:sz w:val="22"/>
          <w:szCs w:val="22"/>
          <w:color w:val="auto"/>
        </w:rPr>
        <w:t>Award granted under the Plan, which may, but need not, be executed or acknowledged by a Director. An Award Agreement may be in electronic form.</w:t>
      </w:r>
    </w:p>
    <w:p>
      <w:pPr>
        <w:spacing w:after="0" w:line="62" w:lineRule="exact"/>
        <w:rPr>
          <w:rFonts w:ascii="Arial" w:cs="Arial" w:eastAsia="Arial" w:hAnsi="Arial"/>
          <w:sz w:val="22"/>
          <w:szCs w:val="22"/>
          <w:color w:val="auto"/>
        </w:rPr>
      </w:pPr>
    </w:p>
    <w:p>
      <w:pPr>
        <w:ind w:left="640" w:hanging="632"/>
        <w:spacing w:after="0"/>
        <w:tabs>
          <w:tab w:leader="none" w:pos="6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 as constituted from time to time.</w:t>
      </w:r>
    </w:p>
    <w:p>
      <w:pPr>
        <w:spacing w:after="0" w:line="84" w:lineRule="exact"/>
        <w:rPr>
          <w:rFonts w:ascii="Arial" w:cs="Arial" w:eastAsia="Arial" w:hAnsi="Arial"/>
          <w:sz w:val="22"/>
          <w:szCs w:val="22"/>
          <w:color w:val="auto"/>
        </w:rPr>
      </w:pPr>
    </w:p>
    <w:p>
      <w:pPr>
        <w:ind w:left="660" w:right="140" w:hanging="652"/>
        <w:spacing w:after="0" w:line="245" w:lineRule="auto"/>
        <w:tabs>
          <w:tab w:leader="none" w:pos="648"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"Cash Account" </w:t>
      </w:r>
      <w:r>
        <w:rPr>
          <w:rFonts w:ascii="Arial" w:cs="Arial" w:eastAsia="Arial" w:hAnsi="Arial"/>
          <w:sz w:val="22"/>
          <w:szCs w:val="22"/>
          <w:color w:val="auto"/>
        </w:rPr>
        <w:t>means the bookkeeping accounts established or maintained pursuant to Section 11(b)(i)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each Director who elects pursuant to Section 11(b) to have any of his or her Deferred Compensation credited to a cash account.</w:t>
      </w:r>
    </w:p>
    <w:p>
      <w:pPr>
        <w:spacing w:after="0" w:line="62" w:lineRule="exact"/>
        <w:rPr>
          <w:rFonts w:ascii="Arial" w:cs="Arial" w:eastAsia="Arial" w:hAnsi="Arial"/>
          <w:sz w:val="22"/>
          <w:szCs w:val="22"/>
          <w:color w:val="auto"/>
        </w:rPr>
      </w:pPr>
    </w:p>
    <w:p>
      <w:pPr>
        <w:ind w:left="640" w:hanging="632"/>
        <w:spacing w:after="0"/>
        <w:tabs>
          <w:tab w:leader="none" w:pos="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shall mean an event that will be deemed to have occurred:</w:t>
      </w:r>
    </w:p>
    <w:p>
      <w:pPr>
        <w:spacing w:after="0" w:line="98" w:lineRule="exact"/>
        <w:rPr>
          <w:rFonts w:ascii="Arial" w:cs="Arial" w:eastAsia="Arial" w:hAnsi="Arial"/>
          <w:sz w:val="22"/>
          <w:szCs w:val="22"/>
          <w:color w:val="auto"/>
        </w:rPr>
      </w:pPr>
    </w:p>
    <w:p>
      <w:pPr>
        <w:ind w:left="1300" w:right="60" w:hanging="511"/>
        <w:spacing w:after="0" w:line="245" w:lineRule="auto"/>
        <w:tabs>
          <w:tab w:leader="none" w:pos="1300" w:val="left"/>
        </w:tabs>
        <w:numPr>
          <w:ilvl w:val="1"/>
          <w:numId w:val="21"/>
        </w:numPr>
        <w:rPr>
          <w:rFonts w:ascii="Arial" w:cs="Arial" w:eastAsia="Arial" w:hAnsi="Arial"/>
          <w:sz w:val="21"/>
          <w:szCs w:val="21"/>
          <w:color w:val="auto"/>
        </w:rPr>
      </w:pPr>
      <w:r>
        <w:rPr>
          <w:rFonts w:ascii="Arial" w:cs="Arial" w:eastAsia="Arial" w:hAnsi="Arial"/>
          <w:sz w:val="21"/>
          <w:szCs w:val="21"/>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7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right="400" w:hanging="559"/>
        <w:spacing w:after="0" w:line="245" w:lineRule="auto"/>
        <w:tabs>
          <w:tab w:leader="none" w:pos="1301" w:val="left"/>
        </w:tabs>
        <w:numPr>
          <w:ilvl w:val="0"/>
          <w:numId w:val="22"/>
        </w:numPr>
        <w:rPr>
          <w:rFonts w:ascii="Arial" w:cs="Arial" w:eastAsia="Arial" w:hAnsi="Arial"/>
          <w:sz w:val="22"/>
          <w:szCs w:val="22"/>
          <w:color w:val="auto"/>
        </w:rPr>
      </w:pPr>
      <w:r>
        <w:rPr>
          <w:rFonts w:ascii="Arial" w:cs="Arial" w:eastAsia="Arial" w:hAnsi="Arial"/>
          <w:sz w:val="22"/>
          <w:szCs w:val="22"/>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62" w:lineRule="exact"/>
        <w:rPr>
          <w:rFonts w:ascii="Arial" w:cs="Arial" w:eastAsia="Arial" w:hAnsi="Arial"/>
          <w:sz w:val="22"/>
          <w:szCs w:val="22"/>
          <w:color w:val="auto"/>
        </w:rPr>
      </w:pPr>
    </w:p>
    <w:p>
      <w:pPr>
        <w:ind w:left="1300" w:right="60" w:hanging="607"/>
        <w:spacing w:after="0" w:line="243" w:lineRule="auto"/>
        <w:tabs>
          <w:tab w:leader="none" w:pos="1301" w:val="left"/>
        </w:tabs>
        <w:numPr>
          <w:ilvl w:val="0"/>
          <w:numId w:val="22"/>
        </w:numPr>
        <w:rPr>
          <w:rFonts w:ascii="Arial" w:cs="Arial" w:eastAsia="Arial" w:hAnsi="Arial"/>
          <w:sz w:val="21"/>
          <w:szCs w:val="21"/>
          <w:color w:val="auto"/>
        </w:rPr>
      </w:pPr>
      <w:r>
        <w:rPr>
          <w:rFonts w:ascii="Arial" w:cs="Arial" w:eastAsia="Arial" w:hAnsi="Arial"/>
          <w:sz w:val="21"/>
          <w:szCs w:val="21"/>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74" w:lineRule="exact"/>
        <w:rPr>
          <w:rFonts w:ascii="Arial" w:cs="Arial" w:eastAsia="Arial" w:hAnsi="Arial"/>
          <w:sz w:val="21"/>
          <w:szCs w:val="21"/>
          <w:color w:val="auto"/>
        </w:rPr>
      </w:pPr>
    </w:p>
    <w:p>
      <w:pPr>
        <w:ind w:left="1300" w:hanging="619"/>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purposes of (i), (ii) and (iii) of this Section 2(g):</w:t>
      </w:r>
    </w:p>
    <w:p>
      <w:pPr>
        <w:spacing w:after="0" w:line="85" w:lineRule="exact"/>
        <w:rPr>
          <w:sz w:val="20"/>
          <w:szCs w:val="20"/>
          <w:color w:val="auto"/>
        </w:rPr>
      </w:pPr>
    </w:p>
    <w:p>
      <w:pPr>
        <w:ind w:left="1960" w:right="420" w:hanging="323"/>
        <w:spacing w:after="0" w:line="259" w:lineRule="auto"/>
        <w:rPr>
          <w:sz w:val="20"/>
          <w:szCs w:val="20"/>
          <w:color w:val="auto"/>
        </w:rPr>
      </w:pPr>
      <w:r>
        <w:rPr>
          <w:rFonts w:ascii="Arial" w:cs="Arial" w:eastAsia="Arial" w:hAnsi="Arial"/>
          <w:sz w:val="22"/>
          <w:szCs w:val="22"/>
          <w:color w:val="auto"/>
        </w:rPr>
        <w:t>(A)"Affiliate" shall have the meaning set forth in Rule 12b-2 promulgated under Section 12 of the Securities Exchange Act of 1934, as amended;</w:t>
      </w:r>
    </w:p>
    <w:p>
      <w:pPr>
        <w:spacing w:after="0" w:line="48" w:lineRule="exact"/>
        <w:rPr>
          <w:sz w:val="20"/>
          <w:szCs w:val="20"/>
          <w:color w:val="auto"/>
        </w:rPr>
      </w:pPr>
    </w:p>
    <w:p>
      <w:pPr>
        <w:ind w:left="1960" w:right="300" w:hanging="323"/>
        <w:spacing w:after="0" w:line="245" w:lineRule="auto"/>
        <w:rPr>
          <w:sz w:val="20"/>
          <w:szCs w:val="20"/>
          <w:color w:val="auto"/>
        </w:rPr>
      </w:pPr>
      <w:r>
        <w:rPr>
          <w:rFonts w:ascii="Arial" w:cs="Arial" w:eastAsia="Arial" w:hAnsi="Arial"/>
          <w:sz w:val="22"/>
          <w:szCs w:val="22"/>
          <w:color w:val="auto"/>
        </w:rPr>
        <w:t>(B)"Person" shall have the meaning given in Section 7701(a)(1) of the Code. Person shall include more than one Person acting as a group as defined by the Final Treasury Regulations issued under Section 409A of the Code; and</w:t>
      </w:r>
    </w:p>
    <w:p>
      <w:pPr>
        <w:spacing w:after="0" w:line="62" w:lineRule="exact"/>
        <w:rPr>
          <w:sz w:val="20"/>
          <w:szCs w:val="20"/>
          <w:color w:val="auto"/>
        </w:rPr>
      </w:pPr>
    </w:p>
    <w:p>
      <w:pPr>
        <w:ind w:left="1960" w:right="440" w:hanging="323"/>
        <w:spacing w:after="0" w:line="245" w:lineRule="auto"/>
        <w:rPr>
          <w:sz w:val="20"/>
          <w:szCs w:val="20"/>
          <w:color w:val="auto"/>
        </w:rPr>
      </w:pPr>
      <w:r>
        <w:rPr>
          <w:rFonts w:ascii="Arial" w:cs="Arial" w:eastAsia="Arial" w:hAnsi="Arial"/>
          <w:sz w:val="22"/>
          <w:szCs w:val="22"/>
          <w:color w:val="auto"/>
        </w:rPr>
        <w:t>(C)"Subsidiary" means any entity whose assets and net income are included in the consolidated financial statements of the Company audited by the Company’s independent auditors and reported to stockholders in the annual report to stockholders.</w:t>
      </w:r>
    </w:p>
    <w:p>
      <w:pPr>
        <w:spacing w:after="0" w:line="62" w:lineRule="exact"/>
        <w:rPr>
          <w:sz w:val="20"/>
          <w:szCs w:val="20"/>
          <w:color w:val="auto"/>
        </w:rPr>
      </w:pPr>
    </w:p>
    <w:p>
      <w:pPr>
        <w:ind w:left="1300" w:right="100" w:hanging="571"/>
        <w:spacing w:after="0" w:line="239" w:lineRule="auto"/>
        <w:tabs>
          <w:tab w:leader="none" w:pos="13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Notwithstanding the foregoing, in no case will an event in (i), (ii) or (iii) of this Section 2(g) be treated as a Change in Control unless such event also constitutes a "change in control event" with respect to the Company within the meaning of Treas. Reg. § 1.409A-3(i)(5) or any successor provision.</w:t>
      </w:r>
    </w:p>
    <w:p>
      <w:pPr>
        <w:spacing w:after="0" w:line="67" w:lineRule="exact"/>
        <w:rPr>
          <w:rFonts w:ascii="Arial" w:cs="Arial" w:eastAsia="Arial" w:hAnsi="Arial"/>
          <w:sz w:val="22"/>
          <w:szCs w:val="22"/>
          <w:color w:val="auto"/>
        </w:rPr>
      </w:pPr>
    </w:p>
    <w:p>
      <w:pPr>
        <w:ind w:left="640" w:hanging="632"/>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w:t>
      </w:r>
    </w:p>
    <w:p>
      <w:pPr>
        <w:spacing w:after="0" w:line="98" w:lineRule="exact"/>
        <w:rPr>
          <w:rFonts w:ascii="Arial" w:cs="Arial" w:eastAsia="Arial" w:hAnsi="Arial"/>
          <w:sz w:val="22"/>
          <w:szCs w:val="22"/>
          <w:color w:val="auto"/>
        </w:rPr>
      </w:pPr>
    </w:p>
    <w:p>
      <w:pPr>
        <w:ind w:left="640" w:hanging="632"/>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Texas Instruments Incorporated, together with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7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220" w:hanging="652"/>
        <w:spacing w:after="0" w:line="259" w:lineRule="auto"/>
        <w:tabs>
          <w:tab w:leader="none" w:pos="649"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"Deferred Cash Compensation" </w:t>
      </w:r>
      <w:r>
        <w:rPr>
          <w:rFonts w:ascii="Arial" w:cs="Arial" w:eastAsia="Arial" w:hAnsi="Arial"/>
          <w:sz w:val="22"/>
          <w:szCs w:val="22"/>
          <w:color w:val="auto"/>
        </w:rPr>
        <w:t>means that portion of any Director’s Eligible Compensation that is payable in</w:t>
      </w:r>
      <w:r>
        <w:rPr>
          <w:rFonts w:ascii="Arial" w:cs="Arial" w:eastAsia="Arial" w:hAnsi="Arial"/>
          <w:sz w:val="22"/>
          <w:szCs w:val="22"/>
          <w:i w:val="1"/>
          <w:iCs w:val="1"/>
          <w:color w:val="auto"/>
        </w:rPr>
        <w:t xml:space="preserve"> </w:t>
      </w:r>
      <w:r>
        <w:rPr>
          <w:rFonts w:ascii="Arial" w:cs="Arial" w:eastAsia="Arial" w:hAnsi="Arial"/>
          <w:sz w:val="22"/>
          <w:szCs w:val="22"/>
          <w:color w:val="auto"/>
        </w:rPr>
        <w:t>cash and that he or she elects pursuant to Section 11(a) to be deferred in accordance with this Plan.</w:t>
      </w:r>
    </w:p>
    <w:p>
      <w:pPr>
        <w:spacing w:after="0" w:line="61" w:lineRule="exact"/>
        <w:rPr>
          <w:rFonts w:ascii="Arial" w:cs="Arial" w:eastAsia="Arial" w:hAnsi="Arial"/>
          <w:sz w:val="22"/>
          <w:szCs w:val="22"/>
          <w:color w:val="auto"/>
        </w:rPr>
      </w:pPr>
    </w:p>
    <w:p>
      <w:pPr>
        <w:ind w:left="660" w:right="460" w:hanging="652"/>
        <w:spacing w:after="0" w:line="259"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"Deferred Compensation" </w:t>
      </w:r>
      <w:r>
        <w:rPr>
          <w:rFonts w:ascii="Arial" w:cs="Arial" w:eastAsia="Arial" w:hAnsi="Arial"/>
          <w:sz w:val="22"/>
          <w:szCs w:val="22"/>
          <w:color w:val="auto"/>
        </w:rPr>
        <w:t>means that portion of any Director’s Eligible Compensation that he or she elects</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11(a) to be deferred in accordance with this Plan.</w:t>
      </w:r>
    </w:p>
    <w:p>
      <w:pPr>
        <w:spacing w:after="0" w:line="61" w:lineRule="exact"/>
        <w:rPr>
          <w:rFonts w:ascii="Arial" w:cs="Arial" w:eastAsia="Arial" w:hAnsi="Arial"/>
          <w:sz w:val="22"/>
          <w:szCs w:val="22"/>
          <w:color w:val="auto"/>
        </w:rPr>
      </w:pPr>
    </w:p>
    <w:p>
      <w:pPr>
        <w:jc w:val="both"/>
        <w:ind w:left="660" w:right="220" w:hanging="652"/>
        <w:spacing w:after="0" w:line="283" w:lineRule="auto"/>
        <w:tabs>
          <w:tab w:leader="none" w:pos="649" w:val="left"/>
        </w:tabs>
        <w:numPr>
          <w:ilvl w:val="0"/>
          <w:numId w:val="25"/>
        </w:numPr>
        <w:rPr>
          <w:rFonts w:ascii="Arial" w:cs="Arial" w:eastAsia="Arial" w:hAnsi="Arial"/>
          <w:sz w:val="21"/>
          <w:szCs w:val="21"/>
          <w:color w:val="auto"/>
        </w:rPr>
      </w:pPr>
      <w:r>
        <w:rPr>
          <w:rFonts w:ascii="Arial" w:cs="Arial" w:eastAsia="Arial" w:hAnsi="Arial"/>
          <w:sz w:val="21"/>
          <w:szCs w:val="21"/>
          <w:i w:val="1"/>
          <w:iCs w:val="1"/>
          <w:color w:val="auto"/>
        </w:rPr>
        <w:t xml:space="preserve">"Deferred Compensation Account" </w:t>
      </w:r>
      <w:r>
        <w:rPr>
          <w:rFonts w:ascii="Arial" w:cs="Arial" w:eastAsia="Arial" w:hAnsi="Arial"/>
          <w:sz w:val="21"/>
          <w:szCs w:val="21"/>
          <w:color w:val="auto"/>
        </w:rPr>
        <w:t>means a Cash Account or Stock Unit Account containing amounts earned</w:t>
      </w:r>
      <w:r>
        <w:rPr>
          <w:rFonts w:ascii="Arial" w:cs="Arial" w:eastAsia="Arial" w:hAnsi="Arial"/>
          <w:sz w:val="21"/>
          <w:szCs w:val="21"/>
          <w:i w:val="1"/>
          <w:iCs w:val="1"/>
          <w:color w:val="auto"/>
        </w:rPr>
        <w:t xml:space="preserve"> </w:t>
      </w:r>
      <w:r>
        <w:rPr>
          <w:rFonts w:ascii="Arial" w:cs="Arial" w:eastAsia="Arial" w:hAnsi="Arial"/>
          <w:sz w:val="21"/>
          <w:szCs w:val="21"/>
          <w:color w:val="auto"/>
        </w:rPr>
        <w:t>and deferred under this Plan and Restricted Stock Units, the receipt of which a Director has elected to defer.</w:t>
      </w:r>
    </w:p>
    <w:p>
      <w:pPr>
        <w:spacing w:after="0" w:line="24" w:lineRule="exact"/>
        <w:rPr>
          <w:rFonts w:ascii="Arial" w:cs="Arial" w:eastAsia="Arial" w:hAnsi="Arial"/>
          <w:sz w:val="21"/>
          <w:szCs w:val="21"/>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"Director" </w:t>
      </w:r>
      <w:r>
        <w:rPr>
          <w:rFonts w:ascii="Arial" w:cs="Arial" w:eastAsia="Arial" w:hAnsi="Arial"/>
          <w:sz w:val="22"/>
          <w:szCs w:val="22"/>
          <w:color w:val="auto"/>
        </w:rPr>
        <w:t>means a member of the Board who is not an employee of the Company or any subsidiary thereof.</w:t>
      </w:r>
    </w:p>
    <w:p>
      <w:pPr>
        <w:spacing w:after="0" w:line="111" w:lineRule="exact"/>
        <w:rPr>
          <w:rFonts w:ascii="Arial" w:cs="Arial" w:eastAsia="Arial" w:hAnsi="Arial"/>
          <w:sz w:val="22"/>
          <w:szCs w:val="22"/>
          <w:color w:val="auto"/>
        </w:rPr>
      </w:pPr>
    </w:p>
    <w:p>
      <w:pPr>
        <w:ind w:left="640" w:hanging="632"/>
        <w:spacing w:after="0"/>
        <w:tabs>
          <w:tab w:leader="none" w:pos="6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means the date this Plan is approved by stockholders of the Company.</w:t>
      </w:r>
    </w:p>
    <w:p>
      <w:pPr>
        <w:spacing w:after="0" w:line="98" w:lineRule="exact"/>
        <w:rPr>
          <w:rFonts w:ascii="Arial" w:cs="Arial" w:eastAsia="Arial" w:hAnsi="Arial"/>
          <w:sz w:val="22"/>
          <w:szCs w:val="22"/>
          <w:color w:val="auto"/>
        </w:rPr>
      </w:pPr>
    </w:p>
    <w:p>
      <w:pPr>
        <w:ind w:left="660" w:right="160" w:hanging="652"/>
        <w:spacing w:after="0" w:line="241" w:lineRule="auto"/>
        <w:tabs>
          <w:tab w:leader="none" w:pos="654"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Eligible Compensation</w:t>
      </w:r>
      <w:r>
        <w:rPr>
          <w:rFonts w:ascii="Arial" w:cs="Arial" w:eastAsia="Arial" w:hAnsi="Arial"/>
          <w:sz w:val="22"/>
          <w:szCs w:val="22"/>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68" w:lineRule="exact"/>
        <w:rPr>
          <w:rFonts w:ascii="Arial" w:cs="Arial" w:eastAsia="Arial" w:hAnsi="Arial"/>
          <w:sz w:val="22"/>
          <w:szCs w:val="22"/>
          <w:color w:val="auto"/>
        </w:rPr>
      </w:pPr>
    </w:p>
    <w:p>
      <w:pPr>
        <w:jc w:val="both"/>
        <w:ind w:left="660" w:right="340" w:hanging="652"/>
        <w:spacing w:after="0" w:line="248" w:lineRule="auto"/>
        <w:tabs>
          <w:tab w:leader="none" w:pos="654"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"Fair Market Value" </w:t>
      </w:r>
      <w:r>
        <w:rPr>
          <w:rFonts w:ascii="Arial" w:cs="Arial" w:eastAsia="Arial" w:hAnsi="Arial"/>
          <w:sz w:val="22"/>
          <w:szCs w:val="22"/>
          <w:color w:val="auto"/>
        </w:rPr>
        <w:t>means the closing price of the Shares on the date specified (or, if there is no trading on</w:t>
      </w:r>
      <w:r>
        <w:rPr>
          <w:rFonts w:ascii="Arial" w:cs="Arial" w:eastAsia="Arial" w:hAnsi="Arial"/>
          <w:sz w:val="22"/>
          <w:szCs w:val="22"/>
          <w:i w:val="1"/>
          <w:iCs w:val="1"/>
          <w:color w:val="auto"/>
        </w:rPr>
        <w:t xml:space="preserve"> </w:t>
      </w:r>
      <w:r>
        <w:rPr>
          <w:rFonts w:ascii="Arial" w:cs="Arial" w:eastAsia="Arial" w:hAnsi="Arial"/>
          <w:sz w:val="22"/>
          <w:szCs w:val="22"/>
          <w:color w:val="auto"/>
        </w:rPr>
        <w:t>The NASDAQ Stock Market on such date, then on the first previous date on which there is such trading) as reported by WSJ.com or Bloomberg L.P.</w:t>
      </w:r>
      <w:r>
        <w:rPr>
          <w:rFonts w:ascii="Arial" w:cs="Arial" w:eastAsia="Arial" w:hAnsi="Arial"/>
          <w:sz w:val="22"/>
          <w:szCs w:val="22"/>
          <w:i w:val="1"/>
          <w:iCs w:val="1"/>
          <w:color w:val="auto"/>
        </w:rPr>
        <w:t>,</w:t>
      </w:r>
      <w:r>
        <w:rPr>
          <w:rFonts w:ascii="Arial" w:cs="Arial" w:eastAsia="Arial" w:hAnsi="Arial"/>
          <w:sz w:val="22"/>
          <w:szCs w:val="22"/>
          <w:color w:val="auto"/>
        </w:rPr>
        <w:t xml:space="preserve"> or if unavailable, then by reference to any other source as may be deemed appropriate by the GSR Committee.</w:t>
      </w:r>
    </w:p>
    <w:p>
      <w:pPr>
        <w:spacing w:after="0" w:line="61" w:lineRule="exact"/>
        <w:rPr>
          <w:rFonts w:ascii="Arial" w:cs="Arial" w:eastAsia="Arial" w:hAnsi="Arial"/>
          <w:sz w:val="22"/>
          <w:szCs w:val="22"/>
          <w:color w:val="auto"/>
        </w:rPr>
      </w:pPr>
    </w:p>
    <w:p>
      <w:pPr>
        <w:ind w:left="660" w:right="980" w:hanging="652"/>
        <w:spacing w:after="0" w:line="259" w:lineRule="auto"/>
        <w:tabs>
          <w:tab w:leader="none" w:pos="654"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"GSR Committee" </w:t>
      </w:r>
      <w:r>
        <w:rPr>
          <w:rFonts w:ascii="Arial" w:cs="Arial" w:eastAsia="Arial" w:hAnsi="Arial"/>
          <w:sz w:val="22"/>
          <w:szCs w:val="22"/>
          <w:color w:val="auto"/>
        </w:rPr>
        <w:t>means the Governance and Stockholder Relations Committee of the Board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committee.</w:t>
      </w:r>
    </w:p>
    <w:p>
      <w:pPr>
        <w:spacing w:after="0" w:line="61" w:lineRule="exact"/>
        <w:rPr>
          <w:rFonts w:ascii="Arial" w:cs="Arial" w:eastAsia="Arial" w:hAnsi="Arial"/>
          <w:sz w:val="22"/>
          <w:szCs w:val="22"/>
          <w:color w:val="auto"/>
        </w:rPr>
      </w:pPr>
    </w:p>
    <w:p>
      <w:pPr>
        <w:ind w:left="660" w:right="120" w:hanging="652"/>
        <w:spacing w:after="0" w:line="259"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means an option granted under this Plan to purchase Shares on the terms and conditions set forth in</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and the applicable Award Agreement.</w:t>
      </w:r>
    </w:p>
    <w:p>
      <w:pPr>
        <w:spacing w:after="0" w:line="61" w:lineRule="exact"/>
        <w:rPr>
          <w:rFonts w:ascii="Arial" w:cs="Arial" w:eastAsia="Arial" w:hAnsi="Arial"/>
          <w:sz w:val="22"/>
          <w:szCs w:val="22"/>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means an individual who has received an Award or established an Account under the Plan.</w:t>
      </w:r>
    </w:p>
    <w:p>
      <w:pPr>
        <w:spacing w:after="0" w:line="98" w:lineRule="exact"/>
        <w:rPr>
          <w:rFonts w:ascii="Arial" w:cs="Arial" w:eastAsia="Arial" w:hAnsi="Arial"/>
          <w:sz w:val="22"/>
          <w:szCs w:val="22"/>
          <w:color w:val="auto"/>
        </w:rPr>
      </w:pPr>
    </w:p>
    <w:p>
      <w:pPr>
        <w:ind w:left="640" w:hanging="632"/>
        <w:spacing w:after="0"/>
        <w:tabs>
          <w:tab w:leader="none" w:pos="64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this Texas Instruments 2018 Director Compensation Plan.</w:t>
      </w:r>
    </w:p>
    <w:p>
      <w:pPr>
        <w:spacing w:after="0" w:line="98" w:lineRule="exact"/>
        <w:rPr>
          <w:rFonts w:ascii="Arial" w:cs="Arial" w:eastAsia="Arial" w:hAnsi="Arial"/>
          <w:sz w:val="22"/>
          <w:szCs w:val="22"/>
          <w:color w:val="auto"/>
        </w:rPr>
      </w:pPr>
    </w:p>
    <w:p>
      <w:pPr>
        <w:ind w:left="660" w:right="140" w:hanging="652"/>
        <w:spacing w:after="0" w:line="245" w:lineRule="auto"/>
        <w:tabs>
          <w:tab w:leader="none" w:pos="654"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"Restricted Stock Unit" </w:t>
      </w:r>
      <w:r>
        <w:rPr>
          <w:rFonts w:ascii="Arial" w:cs="Arial" w:eastAsia="Arial" w:hAnsi="Arial"/>
          <w:sz w:val="22"/>
          <w:szCs w:val="22"/>
          <w:color w:val="auto"/>
        </w:rPr>
        <w:t>means a contractual right granted under this Plan that is denominated in Shares, each</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represents a right to receive a Share on the terms and conditions set forth in the Plan and the applicable Award Agreement.</w:t>
      </w:r>
    </w:p>
    <w:p>
      <w:pPr>
        <w:spacing w:after="0" w:line="62" w:lineRule="exact"/>
        <w:rPr>
          <w:rFonts w:ascii="Arial" w:cs="Arial" w:eastAsia="Arial" w:hAnsi="Arial"/>
          <w:sz w:val="22"/>
          <w:szCs w:val="22"/>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"Secretary" </w:t>
      </w:r>
      <w:r>
        <w:rPr>
          <w:rFonts w:ascii="Arial" w:cs="Arial" w:eastAsia="Arial" w:hAnsi="Arial"/>
          <w:sz w:val="22"/>
          <w:szCs w:val="22"/>
          <w:color w:val="auto"/>
        </w:rPr>
        <w:t>means the Secretary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7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20" w:hanging="652"/>
        <w:spacing w:after="0" w:line="239" w:lineRule="auto"/>
        <w:tabs>
          <w:tab w:leader="none" w:pos="649"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Separation from Service"</w:t>
      </w:r>
      <w:r>
        <w:rPr>
          <w:rFonts w:ascii="Arial" w:cs="Arial" w:eastAsia="Arial" w:hAnsi="Arial"/>
          <w:sz w:val="22"/>
          <w:szCs w:val="22"/>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86" w:lineRule="exact"/>
        <w:rPr>
          <w:rFonts w:ascii="Arial" w:cs="Arial" w:eastAsia="Arial" w:hAnsi="Arial"/>
          <w:sz w:val="22"/>
          <w:szCs w:val="22"/>
          <w:color w:val="auto"/>
        </w:rPr>
      </w:pPr>
    </w:p>
    <w:p>
      <w:pPr>
        <w:ind w:left="1300" w:right="20" w:hanging="511"/>
        <w:spacing w:after="0" w:line="241" w:lineRule="auto"/>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68" w:lineRule="exact"/>
        <w:rPr>
          <w:rFonts w:ascii="Arial" w:cs="Arial" w:eastAsia="Arial" w:hAnsi="Arial"/>
          <w:sz w:val="22"/>
          <w:szCs w:val="22"/>
          <w:color w:val="auto"/>
        </w:rPr>
      </w:pPr>
    </w:p>
    <w:p>
      <w:pPr>
        <w:ind w:left="1300" w:right="80" w:hanging="559"/>
        <w:spacing w:after="0" w:line="244" w:lineRule="auto"/>
        <w:tabs>
          <w:tab w:leader="none" w:pos="1301"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64" w:lineRule="exact"/>
        <w:rPr>
          <w:rFonts w:ascii="Arial" w:cs="Arial" w:eastAsia="Arial" w:hAnsi="Arial"/>
          <w:sz w:val="22"/>
          <w:szCs w:val="22"/>
          <w:color w:val="auto"/>
        </w:rPr>
      </w:pPr>
    </w:p>
    <w:p>
      <w:pPr>
        <w:jc w:val="both"/>
        <w:ind w:left="1300" w:right="320" w:hanging="607"/>
        <w:spacing w:after="0" w:line="251" w:lineRule="auto"/>
        <w:tabs>
          <w:tab w:leader="none" w:pos="1301"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56" w:lineRule="exact"/>
        <w:rPr>
          <w:rFonts w:ascii="Arial" w:cs="Arial" w:eastAsia="Arial" w:hAnsi="Arial"/>
          <w:sz w:val="22"/>
          <w:szCs w:val="22"/>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"Shares" </w:t>
      </w:r>
      <w:r>
        <w:rPr>
          <w:rFonts w:ascii="Arial" w:cs="Arial" w:eastAsia="Arial" w:hAnsi="Arial"/>
          <w:sz w:val="22"/>
          <w:szCs w:val="22"/>
          <w:color w:val="auto"/>
        </w:rPr>
        <w:t>shall mean shares of the common stock of the Company, $1.00 par value.</w:t>
      </w:r>
    </w:p>
    <w:p>
      <w:pPr>
        <w:spacing w:after="0" w:line="111" w:lineRule="exact"/>
        <w:rPr>
          <w:rFonts w:ascii="Arial" w:cs="Arial" w:eastAsia="Arial" w:hAnsi="Arial"/>
          <w:sz w:val="22"/>
          <w:szCs w:val="22"/>
          <w:color w:val="auto"/>
        </w:rPr>
      </w:pPr>
    </w:p>
    <w:p>
      <w:pPr>
        <w:ind w:left="660" w:right="380" w:hanging="652"/>
        <w:spacing w:after="0" w:line="244"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"Specified Employee" </w:t>
      </w:r>
      <w:r>
        <w:rPr>
          <w:rFonts w:ascii="Arial" w:cs="Arial" w:eastAsia="Arial" w:hAnsi="Arial"/>
          <w:sz w:val="22"/>
          <w:szCs w:val="22"/>
          <w:color w:val="auto"/>
        </w:rPr>
        <w:t>means any Participant who is determined to be a "key employee" (as defined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416(i) of the Code without regard to paragraph (5) thereof) for the applicable period, as determined annually by the Administrator in accordance with Treas. Reg. §1.409A-1(i). In determining whether a Participant is a Specified Employee, the following provisions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7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right="20" w:hanging="511"/>
        <w:spacing w:after="0" w:line="255" w:lineRule="auto"/>
        <w:tabs>
          <w:tab w:leader="none" w:pos="1300" w:val="left"/>
        </w:tabs>
        <w:numPr>
          <w:ilvl w:val="1"/>
          <w:numId w:val="27"/>
        </w:numPr>
        <w:rPr>
          <w:rFonts w:ascii="Arial" w:cs="Arial" w:eastAsia="Arial" w:hAnsi="Arial"/>
          <w:sz w:val="21"/>
          <w:szCs w:val="21"/>
          <w:color w:val="auto"/>
        </w:rPr>
      </w:pPr>
      <w:r>
        <w:rPr>
          <w:rFonts w:ascii="Arial" w:cs="Arial" w:eastAsia="Arial" w:hAnsi="Arial"/>
          <w:sz w:val="21"/>
          <w:szCs w:val="21"/>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53" w:lineRule="exact"/>
        <w:rPr>
          <w:rFonts w:ascii="Arial" w:cs="Arial" w:eastAsia="Arial" w:hAnsi="Arial"/>
          <w:sz w:val="21"/>
          <w:szCs w:val="21"/>
          <w:color w:val="auto"/>
        </w:rPr>
      </w:pPr>
    </w:p>
    <w:p>
      <w:pPr>
        <w:jc w:val="both"/>
        <w:ind w:left="1300" w:right="20" w:hanging="559"/>
        <w:spacing w:after="0" w:line="248" w:lineRule="auto"/>
        <w:tabs>
          <w:tab w:leader="none" w:pos="1301" w:val="left"/>
        </w:tabs>
        <w:numPr>
          <w:ilvl w:val="1"/>
          <w:numId w:val="27"/>
        </w:numPr>
        <w:rPr>
          <w:rFonts w:ascii="Arial" w:cs="Arial" w:eastAsia="Arial" w:hAnsi="Arial"/>
          <w:sz w:val="22"/>
          <w:szCs w:val="22"/>
          <w:color w:val="auto"/>
        </w:rPr>
      </w:pPr>
      <w:r>
        <w:rPr>
          <w:rFonts w:ascii="Arial" w:cs="Arial" w:eastAsia="Arial" w:hAnsi="Arial"/>
          <w:sz w:val="22"/>
          <w:szCs w:val="22"/>
          <w:color w:val="auto"/>
        </w:rPr>
        <w:t>Each Participant who is among the individuals identified as a "key employee" in accordance with part (i) of this Section 2(y) shall be treated as a Specified Employee for purposes of this Plan if such Participant experiences a Separation from Service during the 12-month period that begins on the April 1st following the applicable identification date.</w:t>
      </w:r>
    </w:p>
    <w:p>
      <w:pPr>
        <w:spacing w:after="0" w:line="61" w:lineRule="exact"/>
        <w:rPr>
          <w:rFonts w:ascii="Arial" w:cs="Arial" w:eastAsia="Arial" w:hAnsi="Arial"/>
          <w:sz w:val="22"/>
          <w:szCs w:val="22"/>
          <w:color w:val="auto"/>
        </w:rPr>
      </w:pPr>
    </w:p>
    <w:p>
      <w:pPr>
        <w:ind w:left="660" w:right="220" w:hanging="652"/>
        <w:spacing w:after="0" w:line="259"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"Stock Appreciation Right</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"SAR" </w:t>
      </w:r>
      <w:r>
        <w:rPr>
          <w:rFonts w:ascii="Arial" w:cs="Arial" w:eastAsia="Arial" w:hAnsi="Arial"/>
          <w:sz w:val="21"/>
          <w:szCs w:val="21"/>
          <w:color w:val="auto"/>
        </w:rPr>
        <w:t>means a right granted pursuant to Section 10 to receive, upon exercise</w:t>
      </w:r>
      <w:r>
        <w:rPr>
          <w:rFonts w:ascii="Arial" w:cs="Arial" w:eastAsia="Arial" w:hAnsi="Arial"/>
          <w:sz w:val="21"/>
          <w:szCs w:val="21"/>
          <w:i w:val="1"/>
          <w:iCs w:val="1"/>
          <w:color w:val="auto"/>
        </w:rPr>
        <w:t xml:space="preserve"> </w:t>
      </w:r>
      <w:r>
        <w:rPr>
          <w:rFonts w:ascii="Arial" w:cs="Arial" w:eastAsia="Arial" w:hAnsi="Arial"/>
          <w:sz w:val="21"/>
          <w:szCs w:val="21"/>
          <w:color w:val="auto"/>
        </w:rPr>
        <w:t>by the Participant, the excess of (i) the 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51" w:lineRule="exact"/>
        <w:rPr>
          <w:sz w:val="20"/>
          <w:szCs w:val="20"/>
          <w:color w:val="auto"/>
        </w:rPr>
      </w:pPr>
    </w:p>
    <w:p>
      <w:pPr>
        <w:ind w:left="660" w:right="160" w:hanging="652"/>
        <w:spacing w:after="0" w:line="251" w:lineRule="auto"/>
        <w:tabs>
          <w:tab w:leader="none" w:pos="653"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"Stock Unit Account" </w:t>
      </w:r>
      <w:r>
        <w:rPr>
          <w:rFonts w:ascii="Arial" w:cs="Arial" w:eastAsia="Arial" w:hAnsi="Arial"/>
          <w:sz w:val="22"/>
          <w:szCs w:val="22"/>
          <w:color w:val="auto"/>
        </w:rPr>
        <w:t>means the bookkeeping accounts established, pursuant to Section 11(b)(ii), on behalf of</w:t>
      </w:r>
      <w:r>
        <w:rPr>
          <w:rFonts w:ascii="Arial" w:cs="Arial" w:eastAsia="Arial" w:hAnsi="Arial"/>
          <w:sz w:val="22"/>
          <w:szCs w:val="22"/>
          <w:i w:val="1"/>
          <w:iCs w:val="1"/>
          <w:color w:val="auto"/>
        </w:rPr>
        <w:t xml:space="preserve"> </w:t>
      </w:r>
      <w:r>
        <w:rPr>
          <w:rFonts w:ascii="Arial" w:cs="Arial" w:eastAsia="Arial" w:hAnsi="Arial"/>
          <w:sz w:val="22"/>
          <w:szCs w:val="22"/>
          <w:color w:val="auto"/>
        </w:rPr>
        <w:t>each Director who elects, pursuant to Section 11(b), to have any of his or her Deferred Cash Compensation credited to a stock unit account.</w:t>
      </w:r>
    </w:p>
    <w:p>
      <w:pPr>
        <w:spacing w:after="0" w:line="70" w:lineRule="exact"/>
        <w:rPr>
          <w:sz w:val="20"/>
          <w:szCs w:val="20"/>
          <w:color w:val="auto"/>
        </w:rPr>
      </w:pPr>
    </w:p>
    <w:p>
      <w:pPr>
        <w:ind w:left="640" w:right="20" w:hanging="647"/>
        <w:spacing w:after="0" w:line="255" w:lineRule="auto"/>
        <w:tabs>
          <w:tab w:leader="none" w:pos="620" w:val="left"/>
        </w:tabs>
        <w:rPr>
          <w:sz w:val="20"/>
          <w:szCs w:val="20"/>
          <w:color w:val="auto"/>
        </w:rPr>
      </w:pPr>
      <w:r>
        <w:rPr>
          <w:rFonts w:ascii="Arial" w:cs="Arial" w:eastAsia="Arial" w:hAnsi="Arial"/>
          <w:sz w:val="22"/>
          <w:szCs w:val="22"/>
          <w:color w:val="auto"/>
        </w:rPr>
        <w:t>(ab)</w:t>
      </w:r>
      <w:r>
        <w:rPr>
          <w:sz w:val="20"/>
          <w:szCs w:val="20"/>
          <w:color w:val="auto"/>
        </w:rPr>
        <w:tab/>
      </w:r>
      <w:r>
        <w:rPr>
          <w:rFonts w:ascii="Arial" w:cs="Arial" w:eastAsia="Arial" w:hAnsi="Arial"/>
          <w:sz w:val="21"/>
          <w:szCs w:val="21"/>
          <w:i w:val="1"/>
          <w:iCs w:val="1"/>
          <w:color w:val="auto"/>
        </w:rPr>
        <w:t xml:space="preserve">"Unforeseeable Emergency" </w:t>
      </w:r>
      <w:r>
        <w:rPr>
          <w:rFonts w:ascii="Arial" w:cs="Arial" w:eastAsia="Arial" w:hAnsi="Arial"/>
          <w:sz w:val="21"/>
          <w:szCs w:val="21"/>
          <w:color w:val="auto"/>
        </w:rPr>
        <w:t>means a severe financial hardship to the Participant resulting from (i) an illness or</w:t>
      </w:r>
      <w:r>
        <w:rPr>
          <w:rFonts w:ascii="Arial" w:cs="Arial" w:eastAsia="Arial" w:hAnsi="Arial"/>
          <w:sz w:val="21"/>
          <w:szCs w:val="21"/>
          <w:i w:val="1"/>
          <w:iCs w:val="1"/>
          <w:color w:val="auto"/>
        </w:rPr>
        <w:t xml:space="preserve"> </w:t>
      </w:r>
      <w:r>
        <w:rPr>
          <w:rFonts w:ascii="Arial" w:cs="Arial" w:eastAsia="Arial" w:hAnsi="Arial"/>
          <w:sz w:val="21"/>
          <w:szCs w:val="21"/>
          <w:color w:val="auto"/>
        </w:rPr>
        <w:t>accident of the Participant or the 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5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22"/>
          <w:szCs w:val="22"/>
          <w:i w:val="1"/>
          <w:iCs w:val="1"/>
          <w:color w:val="auto"/>
        </w:rPr>
        <w:t xml:space="preserve">"Year" </w:t>
      </w:r>
      <w:r>
        <w:rPr>
          <w:rFonts w:ascii="Arial" w:cs="Arial" w:eastAsia="Arial" w:hAnsi="Arial"/>
          <w:sz w:val="22"/>
          <w:szCs w:val="22"/>
          <w:color w:val="auto"/>
        </w:rPr>
        <w:t>means a calendar year.</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ELIGIBILITY.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Each Director shall be eligible to defer Eligible Compensation and to receive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7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ADMINISTRATION.</w:t>
      </w:r>
    </w:p>
    <w:p>
      <w:pPr>
        <w:spacing w:after="0" w:line="100"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SHARES AVAILABLE FOR AWARDS.</w:t>
      </w:r>
    </w:p>
    <w:p>
      <w:pPr>
        <w:spacing w:after="0" w:line="100" w:lineRule="exact"/>
        <w:rPr>
          <w:sz w:val="20"/>
          <w:szCs w:val="20"/>
          <w:color w:val="auto"/>
        </w:rPr>
      </w:pPr>
    </w:p>
    <w:p>
      <w:pPr>
        <w:ind w:left="660" w:right="280" w:hanging="652"/>
        <w:spacing w:after="0" w:line="245" w:lineRule="auto"/>
        <w:tabs>
          <w:tab w:leader="none" w:pos="654"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adjustment as provided in this Section 5, the number of Shares available for issuance under the Plan shall be 2,000,000 Shares. Notwithstanding anything to the contrary set forth herein, in any given Year, the total value of Awards granted to any Director shall not exceed $500,000 in grant-date value.</w:t>
      </w:r>
    </w:p>
    <w:p>
      <w:pPr>
        <w:spacing w:after="0" w:line="62" w:lineRule="exact"/>
        <w:rPr>
          <w:rFonts w:ascii="Arial" w:cs="Arial" w:eastAsia="Arial" w:hAnsi="Arial"/>
          <w:sz w:val="22"/>
          <w:szCs w:val="22"/>
          <w:color w:val="auto"/>
        </w:rPr>
      </w:pPr>
    </w:p>
    <w:p>
      <w:pPr>
        <w:ind w:left="660" w:right="40" w:hanging="652"/>
        <w:spacing w:after="0" w:line="233" w:lineRule="auto"/>
        <w:tabs>
          <w:tab w:leader="none" w:pos="654"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If, after the effective date of the Plan, (i) any Shares covered by an Award or Stock Unit Account, or to which such an Award relates, are forfeited, or (ii) 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68" w:lineRule="exact"/>
        <w:rPr>
          <w:rFonts w:ascii="Arial" w:cs="Arial" w:eastAsia="Arial" w:hAnsi="Arial"/>
          <w:sz w:val="22"/>
          <w:szCs w:val="22"/>
          <w:color w:val="auto"/>
        </w:rPr>
      </w:pPr>
    </w:p>
    <w:p>
      <w:pPr>
        <w:ind w:left="660" w:right="960" w:hanging="652"/>
        <w:spacing w:after="0" w:line="259"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Shares delivered pursuant to an Award or Stock Unit Account may consist, in whole or in part, of authorized and unissued Shares, of treasury Shares or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37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160" w:hanging="652"/>
        <w:spacing w:after="0" w:line="232" w:lineRule="auto"/>
        <w:tabs>
          <w:tab w:leader="none" w:pos="654"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limits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EQUITY GRANT UPON INITIAL ELECTION.</w:t>
      </w:r>
    </w:p>
    <w:p>
      <w:pPr>
        <w:spacing w:after="0" w:line="100" w:lineRule="exact"/>
        <w:rPr>
          <w:sz w:val="20"/>
          <w:szCs w:val="20"/>
          <w:color w:val="auto"/>
        </w:rPr>
      </w:pPr>
    </w:p>
    <w:p>
      <w:pPr>
        <w:ind w:left="660" w:right="120" w:hanging="652"/>
        <w:spacing w:after="0" w:line="239" w:lineRule="auto"/>
        <w:tabs>
          <w:tab w:leader="none" w:pos="654"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Initial Grant</w:t>
      </w:r>
      <w:r>
        <w:rPr>
          <w:rFonts w:ascii="Arial" w:cs="Arial" w:eastAsia="Arial" w:hAnsi="Arial"/>
          <w:sz w:val="22"/>
          <w:szCs w:val="22"/>
          <w:color w:val="auto"/>
        </w:rPr>
        <w:t>. Following the effective date of this Plan, each Director shall, effective as of the date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individual’s initial election or appointment to the Board, be granted a Restricted Stock Unit Award with a grant-date value of approximately $200,000, rounded down to the nearest whole share.</w:t>
      </w:r>
    </w:p>
    <w:p>
      <w:pPr>
        <w:spacing w:after="0" w:line="67" w:lineRule="exact"/>
        <w:rPr>
          <w:rFonts w:ascii="Arial" w:cs="Arial" w:eastAsia="Arial" w:hAnsi="Arial"/>
          <w:sz w:val="22"/>
          <w:szCs w:val="22"/>
          <w:color w:val="auto"/>
        </w:rPr>
      </w:pPr>
    </w:p>
    <w:p>
      <w:pPr>
        <w:ind w:left="660" w:right="300" w:hanging="652"/>
        <w:spacing w:after="0"/>
        <w:tabs>
          <w:tab w:leader="none" w:pos="654"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Reductions in Awards</w:t>
      </w:r>
      <w:r>
        <w:rPr>
          <w:rFonts w:ascii="Arial" w:cs="Arial" w:eastAsia="Arial" w:hAnsi="Arial"/>
          <w:sz w:val="22"/>
          <w:szCs w:val="22"/>
          <w:color w:val="auto"/>
        </w:rPr>
        <w:t>. Prior to the effective date of any initial grant as described in this Section 6, the Board</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right to make reductions in the Awards to be granted under this Section 6. In determining whether to reduce any Award and the amount of any reduction, the Board shall take into consideration such factors as the Board shall determine.</w:t>
      </w:r>
    </w:p>
    <w:p>
      <w:pPr>
        <w:spacing w:after="0" w:line="68" w:lineRule="exact"/>
        <w:rPr>
          <w:rFonts w:ascii="Arial" w:cs="Arial" w:eastAsia="Arial" w:hAnsi="Arial"/>
          <w:sz w:val="22"/>
          <w:szCs w:val="22"/>
          <w:color w:val="auto"/>
        </w:rPr>
      </w:pPr>
    </w:p>
    <w:p>
      <w:pPr>
        <w:ind w:left="660" w:right="340" w:hanging="652"/>
        <w:spacing w:after="0" w:line="259"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Terms and Conditions</w:t>
      </w:r>
      <w:r>
        <w:rPr>
          <w:rFonts w:ascii="Arial" w:cs="Arial" w:eastAsia="Arial" w:hAnsi="Arial"/>
          <w:sz w:val="22"/>
          <w:szCs w:val="22"/>
          <w:color w:val="auto"/>
        </w:rPr>
        <w:t>. The terms and conditions of each Restricted Stock Unit granted under this Section 6</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as described in Section 9.</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ANNUAL EQUITY GRANTS.</w:t>
      </w:r>
    </w:p>
    <w:p>
      <w:pPr>
        <w:spacing w:after="0" w:line="10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Annual Grant</w:t>
      </w:r>
      <w:r>
        <w:rPr>
          <w:rFonts w:ascii="Arial" w:cs="Arial" w:eastAsia="Arial" w:hAnsi="Arial"/>
          <w:sz w:val="22"/>
          <w:szCs w:val="22"/>
          <w:color w:val="auto"/>
        </w:rPr>
        <w:t>. Each Director will be granted annually an Option with a grant-date value of approximately</w:t>
      </w:r>
    </w:p>
    <w:p>
      <w:pPr>
        <w:spacing w:after="0" w:line="10" w:lineRule="exact"/>
        <w:rPr>
          <w:rFonts w:ascii="Arial" w:cs="Arial" w:eastAsia="Arial" w:hAnsi="Arial"/>
          <w:sz w:val="22"/>
          <w:szCs w:val="22"/>
          <w:color w:val="auto"/>
        </w:rPr>
      </w:pPr>
    </w:p>
    <w:p>
      <w:pPr>
        <w:ind w:left="660" w:right="60"/>
        <w:spacing w:after="0" w:line="232" w:lineRule="auto"/>
        <w:rPr>
          <w:rFonts w:ascii="Arial" w:cs="Arial" w:eastAsia="Arial" w:hAnsi="Arial"/>
          <w:sz w:val="22"/>
          <w:szCs w:val="22"/>
          <w:color w:val="auto"/>
        </w:rPr>
      </w:pPr>
      <w:r>
        <w:rPr>
          <w:rFonts w:ascii="Arial" w:cs="Arial" w:eastAsia="Arial" w:hAnsi="Arial"/>
          <w:sz w:val="22"/>
          <w:szCs w:val="22"/>
          <w:color w:val="auto"/>
        </w:rPr>
        <w:t>$115,000 determined using a Black-Scholes option-pricing model and a Restricted Stock Unit Award with a grant-date value of approximately $115,000, in each case rounded down to the nearest whole share. The Restricted Stock Units granted under this Section 7(a) shall be in addition to any RSUs granted to any Director pursuant to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37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20" w:hanging="652"/>
        <w:spacing w:after="0" w:line="249" w:lineRule="auto"/>
        <w:tabs>
          <w:tab w:leader="none" w:pos="654"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Effective Date of Annual Grant</w:t>
      </w:r>
      <w:r>
        <w:rPr>
          <w:rFonts w:ascii="Arial" w:cs="Arial" w:eastAsia="Arial" w:hAnsi="Arial"/>
          <w:sz w:val="21"/>
          <w:szCs w:val="21"/>
          <w:color w:val="auto"/>
        </w:rPr>
        <w:t>. In each year the effective date for the annual grant of equity to the Company’s</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by the Compensation 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49" w:lineRule="exact"/>
        <w:rPr>
          <w:rFonts w:ascii="Arial" w:cs="Arial" w:eastAsia="Arial" w:hAnsi="Arial"/>
          <w:sz w:val="21"/>
          <w:szCs w:val="21"/>
          <w:color w:val="auto"/>
        </w:rPr>
      </w:pPr>
    </w:p>
    <w:p>
      <w:pPr>
        <w:ind w:left="660" w:right="180" w:hanging="652"/>
        <w:spacing w:after="0" w:line="259"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Terms and Conditions</w:t>
      </w:r>
      <w:r>
        <w:rPr>
          <w:rFonts w:ascii="Arial" w:cs="Arial" w:eastAsia="Arial" w:hAnsi="Arial"/>
          <w:sz w:val="22"/>
          <w:szCs w:val="22"/>
          <w:color w:val="auto"/>
        </w:rPr>
        <w:t>. The terms and conditions of each Option and Restricted Stock Unit granted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6 shall be as described in Sections 8 and 9, respectively.</w:t>
      </w:r>
    </w:p>
    <w:p>
      <w:pPr>
        <w:spacing w:after="0" w:line="48" w:lineRule="exact"/>
        <w:rPr>
          <w:rFonts w:ascii="Arial" w:cs="Arial" w:eastAsia="Arial" w:hAnsi="Arial"/>
          <w:sz w:val="22"/>
          <w:szCs w:val="22"/>
          <w:color w:val="auto"/>
        </w:rPr>
      </w:pPr>
    </w:p>
    <w:p>
      <w:pPr>
        <w:ind w:left="660" w:right="160" w:hanging="652"/>
        <w:spacing w:after="0"/>
        <w:tabs>
          <w:tab w:leader="none" w:pos="654"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Reductions in Awards</w:t>
      </w:r>
      <w:r>
        <w:rPr>
          <w:rFonts w:ascii="Arial" w:cs="Arial" w:eastAsia="Arial" w:hAnsi="Arial"/>
          <w:sz w:val="22"/>
          <w:szCs w:val="22"/>
          <w:color w:val="auto"/>
        </w:rPr>
        <w:t>. Prior to the effective date of any annual grant as described in this Section 7, the Board</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right to make reductions in the Awards to be granted under this Section 7. In determining whether to reduce any Award and the amount of any reduction, the Board shall take into consideration such factors as the Board shall determine.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OPTIONS.</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The Options granted under this Plan will be nonstatutory stock options not intended to qualify under Section 422 of the Code and shall have the terms and conditions described in this Section 8:</w:t>
      </w:r>
    </w:p>
    <w:p>
      <w:pPr>
        <w:spacing w:after="0" w:line="48" w:lineRule="exact"/>
        <w:rPr>
          <w:sz w:val="20"/>
          <w:szCs w:val="20"/>
          <w:color w:val="auto"/>
        </w:rPr>
      </w:pPr>
    </w:p>
    <w:p>
      <w:pPr>
        <w:ind w:left="660" w:right="420" w:hanging="652"/>
        <w:spacing w:after="0" w:line="239" w:lineRule="auto"/>
        <w:tabs>
          <w:tab w:leader="none" w:pos="654"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Price and Term of Options</w:t>
      </w:r>
      <w:r>
        <w:rPr>
          <w:rFonts w:ascii="Arial" w:cs="Arial" w:eastAsia="Arial" w:hAnsi="Arial"/>
          <w:sz w:val="22"/>
          <w:szCs w:val="22"/>
          <w:color w:val="auto"/>
        </w:rPr>
        <w:t>. The purchase price per share of Shares deliverable upon the exercise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Option shall be 100% of the Fair Market Value per share of the Shares on the effective date of the grant as determined in Section 7(b).</w:t>
      </w:r>
    </w:p>
    <w:p>
      <w:pPr>
        <w:spacing w:after="0" w:line="67" w:lineRule="exact"/>
        <w:rPr>
          <w:rFonts w:ascii="Arial" w:cs="Arial" w:eastAsia="Arial" w:hAnsi="Arial"/>
          <w:sz w:val="22"/>
          <w:szCs w:val="22"/>
          <w:color w:val="auto"/>
        </w:rPr>
      </w:pPr>
    </w:p>
    <w:p>
      <w:pPr>
        <w:ind w:left="660" w:right="240" w:hanging="652"/>
        <w:spacing w:after="0"/>
        <w:tabs>
          <w:tab w:leader="none" w:pos="654"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Payment</w:t>
      </w:r>
      <w:r>
        <w:rPr>
          <w:rFonts w:ascii="Arial" w:cs="Arial" w:eastAsia="Arial" w:hAnsi="Arial"/>
          <w:sz w:val="22"/>
          <w:szCs w:val="22"/>
          <w:color w:val="auto"/>
        </w:rPr>
        <w:t>. The Secretary shall determine the method or methods by which, and the form or forms,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limitation, cash, Shares, or other property, or any combination thereof, having a Fair Market Value on the exercise date equal to the relevant exercise price, in which payment of the exercise price with respect to an Option may be made or deemed to have been made.</w:t>
      </w:r>
    </w:p>
    <w:p>
      <w:pPr>
        <w:spacing w:after="0" w:line="68" w:lineRule="exact"/>
        <w:rPr>
          <w:rFonts w:ascii="Arial" w:cs="Arial" w:eastAsia="Arial" w:hAnsi="Arial"/>
          <w:sz w:val="22"/>
          <w:szCs w:val="22"/>
          <w:color w:val="auto"/>
        </w:rPr>
      </w:pPr>
    </w:p>
    <w:p>
      <w:pPr>
        <w:ind w:left="660" w:right="540" w:hanging="652"/>
        <w:spacing w:after="0" w:line="259"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Exercisability. </w:t>
      </w:r>
      <w:r>
        <w:rPr>
          <w:rFonts w:ascii="Arial" w:cs="Arial" w:eastAsia="Arial" w:hAnsi="Arial"/>
          <w:sz w:val="22"/>
          <w:szCs w:val="22"/>
          <w:color w:val="auto"/>
        </w:rPr>
        <w:t>Subject to Section 8(d), Options shall become exercisable in four equal annual installments</w:t>
      </w:r>
      <w:r>
        <w:rPr>
          <w:rFonts w:ascii="Arial" w:cs="Arial" w:eastAsia="Arial" w:hAnsi="Arial"/>
          <w:sz w:val="22"/>
          <w:szCs w:val="22"/>
          <w:i w:val="1"/>
          <w:iCs w:val="1"/>
          <w:color w:val="auto"/>
        </w:rPr>
        <w:t xml:space="preserve"> </w:t>
      </w:r>
      <w:r>
        <w:rPr>
          <w:rFonts w:ascii="Arial" w:cs="Arial" w:eastAsia="Arial" w:hAnsi="Arial"/>
          <w:sz w:val="22"/>
          <w:szCs w:val="22"/>
          <w:color w:val="auto"/>
        </w:rPr>
        <w:t>commencing on the first anniversary date of the grant.</w:t>
      </w:r>
    </w:p>
    <w:p>
      <w:pPr>
        <w:spacing w:after="0" w:line="61" w:lineRule="exact"/>
        <w:rPr>
          <w:rFonts w:ascii="Arial" w:cs="Arial" w:eastAsia="Arial" w:hAnsi="Arial"/>
          <w:sz w:val="22"/>
          <w:szCs w:val="22"/>
          <w:color w:val="auto"/>
        </w:rPr>
      </w:pPr>
    </w:p>
    <w:p>
      <w:pPr>
        <w:ind w:left="660" w:right="400" w:hanging="652"/>
        <w:spacing w:after="0" w:line="259" w:lineRule="auto"/>
        <w:tabs>
          <w:tab w:leader="none" w:pos="654"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Service as a Director. </w:t>
      </w:r>
      <w:r>
        <w:rPr>
          <w:rFonts w:ascii="Arial" w:cs="Arial" w:eastAsia="Arial" w:hAnsi="Arial"/>
          <w:sz w:val="22"/>
          <w:szCs w:val="22"/>
          <w:color w:val="auto"/>
        </w:rPr>
        <w:t>The effect of a Participant’s termination of service as a member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shall be as follows:</w:t>
      </w:r>
    </w:p>
    <w:p>
      <w:pPr>
        <w:spacing w:after="0" w:line="61" w:lineRule="exact"/>
        <w:rPr>
          <w:rFonts w:ascii="Arial" w:cs="Arial" w:eastAsia="Arial" w:hAnsi="Arial"/>
          <w:sz w:val="22"/>
          <w:szCs w:val="22"/>
          <w:color w:val="auto"/>
        </w:rPr>
      </w:pPr>
    </w:p>
    <w:p>
      <w:pPr>
        <w:ind w:left="1300" w:right="400" w:hanging="511"/>
        <w:spacing w:after="0" w:line="259"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Termination for cause: All outstanding Options held by the Participant shall be canceled immediately upon termination.</w:t>
      </w:r>
    </w:p>
    <w:p>
      <w:pPr>
        <w:spacing w:after="0" w:line="48" w:lineRule="exact"/>
        <w:rPr>
          <w:rFonts w:ascii="Arial" w:cs="Arial" w:eastAsia="Arial" w:hAnsi="Arial"/>
          <w:sz w:val="22"/>
          <w:szCs w:val="22"/>
          <w:color w:val="auto"/>
        </w:rPr>
      </w:pPr>
    </w:p>
    <w:p>
      <w:pPr>
        <w:ind w:left="1300" w:right="160" w:hanging="559"/>
        <w:spacing w:after="0" w:line="251" w:lineRule="auto"/>
        <w:tabs>
          <w:tab w:leader="none" w:pos="1301" w:val="left"/>
        </w:tabs>
        <w:numPr>
          <w:ilvl w:val="1"/>
          <w:numId w:val="35"/>
        </w:numPr>
        <w:rPr>
          <w:rFonts w:ascii="Arial" w:cs="Arial" w:eastAsia="Arial" w:hAnsi="Arial"/>
          <w:sz w:val="22"/>
          <w:szCs w:val="22"/>
          <w:color w:val="auto"/>
        </w:rPr>
      </w:pPr>
      <w:r>
        <w:rPr>
          <w:rFonts w:ascii="Arial" w:cs="Arial" w:eastAsia="Arial" w:hAnsi="Arial"/>
          <w:sz w:val="22"/>
          <w:szCs w:val="22"/>
          <w:color w:val="auto"/>
        </w:rPr>
        <w:t>Death: All outstanding Options held by the Participant shall continue to full term, becoming exercisable in accordance with Section 8(c), and shall be exercisable by such Participant’s heirs or legal representatives.</w:t>
      </w:r>
    </w:p>
    <w:p>
      <w:pPr>
        <w:spacing w:after="0" w:line="56" w:lineRule="exact"/>
        <w:rPr>
          <w:rFonts w:ascii="Arial" w:cs="Arial" w:eastAsia="Arial" w:hAnsi="Arial"/>
          <w:sz w:val="22"/>
          <w:szCs w:val="22"/>
          <w:color w:val="auto"/>
        </w:rPr>
      </w:pPr>
    </w:p>
    <w:p>
      <w:pPr>
        <w:ind w:left="1300" w:right="60" w:hanging="607"/>
        <w:spacing w:after="0" w:line="251" w:lineRule="auto"/>
        <w:tabs>
          <w:tab w:leader="none" w:pos="1301" w:val="left"/>
        </w:tabs>
        <w:numPr>
          <w:ilvl w:val="1"/>
          <w:numId w:val="35"/>
        </w:numPr>
        <w:rPr>
          <w:rFonts w:ascii="Arial" w:cs="Arial" w:eastAsia="Arial" w:hAnsi="Arial"/>
          <w:sz w:val="22"/>
          <w:szCs w:val="22"/>
          <w:color w:val="auto"/>
        </w:rPr>
      </w:pPr>
      <w:r>
        <w:rPr>
          <w:rFonts w:ascii="Arial" w:cs="Arial" w:eastAsia="Arial" w:hAnsi="Arial"/>
          <w:sz w:val="22"/>
          <w:szCs w:val="22"/>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37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0" w:right="100" w:hanging="619"/>
        <w:spacing w:after="0" w:line="251" w:lineRule="auto"/>
        <w:tabs>
          <w:tab w:leader="none" w:pos="13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Change in Control: If a Participant experiences a Separation From Service (other than for cause) within 24 months after a Change in Control, the provisions of Section 8(c) shall not apply and Options held by the Participant shall be immediately exercisable and shall continue to full term.</w:t>
      </w:r>
    </w:p>
    <w:p>
      <w:pPr>
        <w:spacing w:after="0" w:line="56" w:lineRule="exact"/>
        <w:rPr>
          <w:rFonts w:ascii="Arial" w:cs="Arial" w:eastAsia="Arial" w:hAnsi="Arial"/>
          <w:sz w:val="22"/>
          <w:szCs w:val="22"/>
          <w:color w:val="auto"/>
        </w:rPr>
      </w:pPr>
    </w:p>
    <w:p>
      <w:pPr>
        <w:ind w:left="1300" w:right="40" w:hanging="571"/>
        <w:spacing w:after="0" w:line="241" w:lineRule="auto"/>
        <w:tabs>
          <w:tab w:leader="none" w:pos="13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82" w:lineRule="exact"/>
        <w:rPr>
          <w:rFonts w:ascii="Arial" w:cs="Arial" w:eastAsia="Arial" w:hAnsi="Arial"/>
          <w:sz w:val="22"/>
          <w:szCs w:val="22"/>
          <w:color w:val="auto"/>
        </w:rPr>
      </w:pPr>
    </w:p>
    <w:p>
      <w:pPr>
        <w:jc w:val="both"/>
        <w:ind w:left="660" w:right="140" w:hanging="652"/>
        <w:spacing w:after="0" w:line="245" w:lineRule="auto"/>
        <w:tabs>
          <w:tab w:leader="none" w:pos="654"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Option Agreement</w:t>
      </w:r>
      <w:r>
        <w:rPr>
          <w:rFonts w:ascii="Arial" w:cs="Arial" w:eastAsia="Arial" w:hAnsi="Arial"/>
          <w:sz w:val="22"/>
          <w:szCs w:val="22"/>
          <w:color w:val="auto"/>
        </w:rPr>
        <w:t>. Each Option granted under this Plan shall be evidenced by an Award Agreement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which shall contain the terms and provisions set forth herein and shall otherwise be consistent with the provisions of the Plan.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RESTRICTED STOCK UNITS.</w:t>
      </w:r>
    </w:p>
    <w:p>
      <w:pPr>
        <w:spacing w:after="0" w:line="100" w:lineRule="exact"/>
        <w:rPr>
          <w:sz w:val="20"/>
          <w:szCs w:val="20"/>
          <w:color w:val="auto"/>
        </w:rPr>
      </w:pPr>
    </w:p>
    <w:p>
      <w:pPr>
        <w:ind w:right="360"/>
        <w:spacing w:after="0" w:line="259" w:lineRule="auto"/>
        <w:rPr>
          <w:sz w:val="20"/>
          <w:szCs w:val="20"/>
          <w:color w:val="auto"/>
        </w:rPr>
      </w:pPr>
      <w:r>
        <w:rPr>
          <w:rFonts w:ascii="Arial" w:cs="Arial" w:eastAsia="Arial" w:hAnsi="Arial"/>
          <w:sz w:val="22"/>
          <w:szCs w:val="22"/>
          <w:color w:val="auto"/>
        </w:rPr>
        <w:t>Each Restricted Stock Unit granted under this Plan shall be paid or settled by the issuance of one Share and shall have the terms and conditions described in this Section 9:</w:t>
      </w:r>
    </w:p>
    <w:p>
      <w:pPr>
        <w:spacing w:after="0" w:line="35" w:lineRule="exact"/>
        <w:rPr>
          <w:sz w:val="20"/>
          <w:szCs w:val="20"/>
          <w:color w:val="auto"/>
        </w:rPr>
      </w:pPr>
    </w:p>
    <w:p>
      <w:pPr>
        <w:jc w:val="both"/>
        <w:ind w:left="660" w:right="200" w:hanging="652"/>
        <w:spacing w:after="0" w:line="245" w:lineRule="auto"/>
        <w:tabs>
          <w:tab w:leader="none" w:pos="65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Vesting and Settlement</w:t>
      </w:r>
      <w:r>
        <w:rPr>
          <w:rFonts w:ascii="Arial" w:cs="Arial" w:eastAsia="Arial" w:hAnsi="Arial"/>
          <w:sz w:val="22"/>
          <w:szCs w:val="22"/>
          <w:color w:val="auto"/>
        </w:rPr>
        <w:t>. Subject to Section 9(b) and subject to a Director’s election to defer the settlement of</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Restricted Stock Units pursuant to Section 11, the shares covered by the Restricted Stock Units shall be paid or settled as soon as practicable after the fourth anniversary of the date of grant.</w:t>
      </w:r>
    </w:p>
    <w:p>
      <w:pPr>
        <w:spacing w:after="0" w:line="62" w:lineRule="exact"/>
        <w:rPr>
          <w:rFonts w:ascii="Arial" w:cs="Arial" w:eastAsia="Arial" w:hAnsi="Arial"/>
          <w:sz w:val="22"/>
          <w:szCs w:val="22"/>
          <w:color w:val="auto"/>
        </w:rPr>
      </w:pPr>
    </w:p>
    <w:p>
      <w:pPr>
        <w:ind w:left="660" w:right="400" w:hanging="652"/>
        <w:spacing w:after="0" w:line="259" w:lineRule="auto"/>
        <w:tabs>
          <w:tab w:leader="none" w:pos="65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Termination of Service as a Director</w:t>
      </w:r>
      <w:r>
        <w:rPr>
          <w:rFonts w:ascii="Arial" w:cs="Arial" w:eastAsia="Arial" w:hAnsi="Arial"/>
          <w:sz w:val="22"/>
          <w:szCs w:val="22"/>
          <w:color w:val="auto"/>
        </w:rPr>
        <w:t>. The effect of a Participant's termination of service as a member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shall be as follows:</w:t>
      </w:r>
    </w:p>
    <w:p>
      <w:pPr>
        <w:spacing w:after="0" w:line="48" w:lineRule="exact"/>
        <w:rPr>
          <w:rFonts w:ascii="Arial" w:cs="Arial" w:eastAsia="Arial" w:hAnsi="Arial"/>
          <w:sz w:val="22"/>
          <w:szCs w:val="22"/>
          <w:color w:val="auto"/>
        </w:rPr>
      </w:pPr>
    </w:p>
    <w:p>
      <w:pPr>
        <w:ind w:left="1300" w:hanging="511"/>
        <w:spacing w:after="0" w:line="245"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62" w:lineRule="exact"/>
        <w:rPr>
          <w:rFonts w:ascii="Arial" w:cs="Arial" w:eastAsia="Arial" w:hAnsi="Arial"/>
          <w:sz w:val="22"/>
          <w:szCs w:val="22"/>
          <w:color w:val="auto"/>
        </w:rPr>
      </w:pPr>
    </w:p>
    <w:p>
      <w:pPr>
        <w:ind w:left="1300" w:right="200" w:hanging="559"/>
        <w:spacing w:after="0"/>
        <w:tabs>
          <w:tab w:leader="none" w:pos="1301" w:val="left"/>
        </w:tabs>
        <w:numPr>
          <w:ilvl w:val="1"/>
          <w:numId w:val="38"/>
        </w:numPr>
        <w:rPr>
          <w:rFonts w:ascii="Arial" w:cs="Arial" w:eastAsia="Arial" w:hAnsi="Arial"/>
          <w:sz w:val="22"/>
          <w:szCs w:val="22"/>
          <w:color w:val="auto"/>
        </w:rPr>
      </w:pPr>
      <w:r>
        <w:rPr>
          <w:rFonts w:ascii="Arial" w:cs="Arial" w:eastAsia="Arial" w:hAnsi="Arial"/>
          <w:sz w:val="22"/>
          <w:szCs w:val="22"/>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85" w:lineRule="exact"/>
        <w:rPr>
          <w:rFonts w:ascii="Arial" w:cs="Arial" w:eastAsia="Arial" w:hAnsi="Arial"/>
          <w:sz w:val="22"/>
          <w:szCs w:val="22"/>
          <w:color w:val="auto"/>
        </w:rPr>
      </w:pPr>
    </w:p>
    <w:p>
      <w:pPr>
        <w:ind w:left="1300" w:right="20" w:hanging="607"/>
        <w:spacing w:after="0" w:line="245" w:lineRule="auto"/>
        <w:tabs>
          <w:tab w:leader="none" w:pos="1301" w:val="left"/>
        </w:tabs>
        <w:numPr>
          <w:ilvl w:val="1"/>
          <w:numId w:val="38"/>
        </w:numPr>
        <w:rPr>
          <w:rFonts w:ascii="Arial" w:cs="Arial" w:eastAsia="Arial" w:hAnsi="Arial"/>
          <w:sz w:val="22"/>
          <w:szCs w:val="22"/>
          <w:color w:val="auto"/>
        </w:rPr>
      </w:pPr>
      <w:r>
        <w:rPr>
          <w:rFonts w:ascii="Arial" w:cs="Arial" w:eastAsia="Arial" w:hAnsi="Arial"/>
          <w:sz w:val="22"/>
          <w:szCs w:val="22"/>
          <w:color w:val="auto"/>
        </w:rPr>
        <w:t>Separation From Service after a Change in Control: If a Participant experiences a Separation From Service (other than for cause) within 24 months after a Change in Control, the provisions of Section 9(a) shall not apply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37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60" w:hanging="323"/>
        <w:spacing w:after="0" w:line="253" w:lineRule="auto"/>
        <w:rPr>
          <w:sz w:val="20"/>
          <w:szCs w:val="20"/>
          <w:color w:val="auto"/>
        </w:rPr>
      </w:pPr>
      <w:r>
        <w:rPr>
          <w:rFonts w:ascii="Arial" w:cs="Arial" w:eastAsia="Arial" w:hAnsi="Arial"/>
          <w:sz w:val="21"/>
          <w:szCs w:val="21"/>
          <w:color w:val="auto"/>
        </w:rPr>
        <w:t>(A)To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56" w:lineRule="exact"/>
        <w:rPr>
          <w:sz w:val="20"/>
          <w:szCs w:val="20"/>
          <w:color w:val="auto"/>
        </w:rPr>
      </w:pPr>
    </w:p>
    <w:p>
      <w:pPr>
        <w:ind w:left="1960" w:right="240" w:hanging="323"/>
        <w:spacing w:after="0" w:line="244" w:lineRule="auto"/>
        <w:rPr>
          <w:sz w:val="20"/>
          <w:szCs w:val="20"/>
          <w:color w:val="auto"/>
        </w:rPr>
      </w:pPr>
      <w:r>
        <w:rPr>
          <w:rFonts w:ascii="Arial" w:cs="Arial" w:eastAsia="Arial" w:hAnsi="Arial"/>
          <w:sz w:val="22"/>
          <w:szCs w:val="22"/>
          <w:color w:val="auto"/>
        </w:rPr>
        <w:t>(B)To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64" w:lineRule="exact"/>
        <w:rPr>
          <w:sz w:val="20"/>
          <w:szCs w:val="20"/>
          <w:color w:val="auto"/>
        </w:rPr>
      </w:pPr>
    </w:p>
    <w:p>
      <w:pPr>
        <w:ind w:left="1300" w:right="60" w:hanging="619"/>
        <w:spacing w:after="0" w:line="259" w:lineRule="auto"/>
        <w:tabs>
          <w:tab w:leader="none" w:pos="13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Other: For any termination other than those specified above, all outstanding Restricted Stock Units held by the Participant shall terminate and become void without any shares being issued.</w:t>
      </w:r>
    </w:p>
    <w:p>
      <w:pPr>
        <w:spacing w:after="0" w:line="61" w:lineRule="exact"/>
        <w:rPr>
          <w:rFonts w:ascii="Arial" w:cs="Arial" w:eastAsia="Arial" w:hAnsi="Arial"/>
          <w:sz w:val="22"/>
          <w:szCs w:val="22"/>
          <w:color w:val="auto"/>
        </w:rPr>
      </w:pPr>
    </w:p>
    <w:p>
      <w:pPr>
        <w:ind w:left="660" w:right="260" w:hanging="652"/>
        <w:spacing w:after="0" w:line="251"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Restricted Stock Unit Agreement</w:t>
      </w:r>
      <w:r>
        <w:rPr>
          <w:rFonts w:ascii="Arial" w:cs="Arial" w:eastAsia="Arial" w:hAnsi="Arial"/>
          <w:sz w:val="22"/>
          <w:szCs w:val="22"/>
          <w:color w:val="auto"/>
        </w:rPr>
        <w:t>. Each Restricted Stock Unit Award granted under this Plan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evidenced by an Award Agreement with the Company, which shall contain the terms and conditions set forth herein and shall otherwise be consistent with the provisions of this Plan.</w:t>
      </w:r>
    </w:p>
    <w:p>
      <w:pPr>
        <w:spacing w:after="0" w:line="56" w:lineRule="exact"/>
        <w:rPr>
          <w:rFonts w:ascii="Arial" w:cs="Arial" w:eastAsia="Arial" w:hAnsi="Arial"/>
          <w:sz w:val="22"/>
          <w:szCs w:val="22"/>
          <w:color w:val="auto"/>
        </w:rPr>
      </w:pPr>
    </w:p>
    <w:p>
      <w:pPr>
        <w:ind w:left="660" w:right="280" w:hanging="652"/>
        <w:spacing w:after="0"/>
        <w:tabs>
          <w:tab w:leader="none" w:pos="654"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Right to Dividend Equivalents. </w:t>
      </w:r>
      <w:r>
        <w:rPr>
          <w:rFonts w:ascii="Arial" w:cs="Arial" w:eastAsia="Arial" w:hAnsi="Arial"/>
          <w:sz w:val="22"/>
          <w:szCs w:val="22"/>
          <w:color w:val="auto"/>
        </w:rPr>
        <w:t>Each recipient of Restricted Stock Units under this Plan shall have the right,</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period when such 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68" w:lineRule="exact"/>
        <w:rPr>
          <w:rFonts w:ascii="Arial" w:cs="Arial" w:eastAsia="Arial" w:hAnsi="Arial"/>
          <w:sz w:val="22"/>
          <w:szCs w:val="22"/>
          <w:color w:val="auto"/>
        </w:rPr>
      </w:pPr>
    </w:p>
    <w:p>
      <w:pPr>
        <w:ind w:left="660" w:right="180" w:hanging="652"/>
        <w:spacing w:after="0" w:line="244" w:lineRule="auto"/>
        <w:tabs>
          <w:tab w:leader="none" w:pos="654"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Issuance of Shares</w:t>
      </w:r>
      <w:r>
        <w:rPr>
          <w:rFonts w:ascii="Arial" w:cs="Arial" w:eastAsia="Arial" w:hAnsi="Arial"/>
          <w:sz w:val="22"/>
          <w:szCs w:val="22"/>
          <w:color w:val="auto"/>
        </w:rPr>
        <w:t>. A stock certificate or certificates shall be registered and issued or other indicia of</w:t>
      </w:r>
      <w:r>
        <w:rPr>
          <w:rFonts w:ascii="Arial" w:cs="Arial" w:eastAsia="Arial" w:hAnsi="Arial"/>
          <w:sz w:val="22"/>
          <w:szCs w:val="22"/>
          <w:i w:val="1"/>
          <w:iCs w:val="1"/>
          <w:color w:val="auto"/>
        </w:rPr>
        <w:t xml:space="preserve"> </w:t>
      </w:r>
      <w:r>
        <w:rPr>
          <w:rFonts w:ascii="Arial" w:cs="Arial" w:eastAsia="Arial" w:hAnsi="Arial"/>
          <w:sz w:val="22"/>
          <w:szCs w:val="22"/>
          <w:color w:val="auto"/>
        </w:rPr>
        <w:t>ownership of shares shall be issued, in the name or for the benefit of the holder of Restricted Stock Units and delivered to such holder as soon as practicable after such Restricted Stock Units have become payable or settleable in accordance with the terms of the Plan.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STOCK APPRECIATION RIGHTS (SARs).</w:t>
      </w:r>
    </w:p>
    <w:p>
      <w:pPr>
        <w:spacing w:after="0" w:line="100" w:lineRule="exact"/>
        <w:rPr>
          <w:sz w:val="20"/>
          <w:szCs w:val="20"/>
          <w:color w:val="auto"/>
        </w:rPr>
      </w:pPr>
    </w:p>
    <w:p>
      <w:pPr>
        <w:ind w:left="660" w:right="440" w:hanging="652"/>
        <w:spacing w:after="0" w:line="259" w:lineRule="auto"/>
        <w:tabs>
          <w:tab w:leader="none" w:pos="654" w:val="left"/>
        </w:tabs>
        <w:numPr>
          <w:ilvl w:val="0"/>
          <w:numId w:val="41"/>
        </w:numPr>
        <w:rPr>
          <w:rFonts w:ascii="Arial" w:cs="Arial" w:eastAsia="Arial" w:hAnsi="Arial"/>
          <w:sz w:val="22"/>
          <w:szCs w:val="22"/>
          <w:color w:val="auto"/>
        </w:rPr>
      </w:pPr>
      <w:r>
        <w:rPr>
          <w:rFonts w:ascii="Arial" w:cs="Arial" w:eastAsia="Arial" w:hAnsi="Arial"/>
          <w:sz w:val="22"/>
          <w:szCs w:val="22"/>
          <w:color w:val="auto"/>
        </w:rPr>
        <w:t>SARs may be granted to Directors with such terms and conditions as the Administrator shall determine not inconsistent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37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term of each SAR shall be fixed by the Administrator but shall not exceed 10 years.</w:t>
      </w:r>
    </w:p>
    <w:p>
      <w:pPr>
        <w:spacing w:after="0" w:line="9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SECTION 11. DEFERRED COMPENSATION.</w:t>
      </w:r>
    </w:p>
    <w:p>
      <w:pPr>
        <w:spacing w:after="0" w:line="100" w:lineRule="exact"/>
        <w:rPr>
          <w:sz w:val="20"/>
          <w:szCs w:val="20"/>
          <w:color w:val="auto"/>
        </w:rPr>
      </w:pPr>
    </w:p>
    <w:p>
      <w:pPr>
        <w:ind w:left="660" w:right="420" w:hanging="652"/>
        <w:spacing w:after="0" w:line="259" w:lineRule="auto"/>
        <w:tabs>
          <w:tab w:leader="none" w:pos="654"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Deferral Election</w:t>
      </w:r>
      <w:r>
        <w:rPr>
          <w:rFonts w:ascii="Arial" w:cs="Arial" w:eastAsia="Arial" w:hAnsi="Arial"/>
          <w:sz w:val="22"/>
          <w:szCs w:val="22"/>
          <w:color w:val="auto"/>
        </w:rPr>
        <w:t>. Each Director may elect, with respect to any Year, that all or any percentage of his or her</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Compensation be deferred in accordance with the terms of this Plan.</w:t>
      </w:r>
    </w:p>
    <w:p>
      <w:pPr>
        <w:spacing w:after="0" w:line="48" w:lineRule="exact"/>
        <w:rPr>
          <w:rFonts w:ascii="Arial" w:cs="Arial" w:eastAsia="Arial" w:hAnsi="Arial"/>
          <w:sz w:val="22"/>
          <w:szCs w:val="22"/>
          <w:color w:val="auto"/>
        </w:rPr>
      </w:pPr>
    </w:p>
    <w:p>
      <w:pPr>
        <w:ind w:left="660" w:right="580" w:hanging="652"/>
        <w:spacing w:after="0" w:line="245" w:lineRule="auto"/>
        <w:tabs>
          <w:tab w:leader="none" w:pos="654"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Cash Compensation Investment Alternatives</w:t>
      </w:r>
      <w:r>
        <w:rPr>
          <w:rFonts w:ascii="Arial" w:cs="Arial" w:eastAsia="Arial" w:hAnsi="Arial"/>
          <w:sz w:val="22"/>
          <w:szCs w:val="22"/>
          <w:color w:val="auto"/>
        </w:rPr>
        <w:t>. Each Director may elect that his or her Deferred Cash</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for any Year be credited to a Cash Account or a Stock Unit Account or to any combination thereof.</w:t>
      </w:r>
    </w:p>
    <w:p>
      <w:pPr>
        <w:spacing w:after="0" w:line="62" w:lineRule="exact"/>
        <w:rPr>
          <w:rFonts w:ascii="Arial" w:cs="Arial" w:eastAsia="Arial" w:hAnsi="Arial"/>
          <w:sz w:val="22"/>
          <w:szCs w:val="22"/>
          <w:color w:val="auto"/>
        </w:rPr>
      </w:pPr>
    </w:p>
    <w:p>
      <w:pPr>
        <w:ind w:left="1300" w:hanging="511"/>
        <w:spacing w:after="0"/>
        <w:tabs>
          <w:tab w:leader="none" w:pos="1300"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Cash Accounts</w:t>
      </w:r>
      <w:r>
        <w:rPr>
          <w:rFonts w:ascii="Arial" w:cs="Arial" w:eastAsia="Arial" w:hAnsi="Arial"/>
          <w:sz w:val="22"/>
          <w:szCs w:val="22"/>
          <w:color w:val="auto"/>
        </w:rPr>
        <w:t>.</w:t>
      </w:r>
    </w:p>
    <w:p>
      <w:pPr>
        <w:spacing w:after="0" w:line="98" w:lineRule="exact"/>
        <w:rPr>
          <w:sz w:val="20"/>
          <w:szCs w:val="20"/>
          <w:color w:val="auto"/>
        </w:rPr>
      </w:pPr>
    </w:p>
    <w:p>
      <w:pPr>
        <w:ind w:left="1960" w:right="100" w:hanging="323"/>
        <w:spacing w:after="0" w:line="245" w:lineRule="auto"/>
        <w:rPr>
          <w:sz w:val="20"/>
          <w:szCs w:val="20"/>
          <w:color w:val="auto"/>
        </w:rPr>
      </w:pPr>
      <w:r>
        <w:rPr>
          <w:rFonts w:ascii="Arial" w:cs="Arial" w:eastAsia="Arial" w:hAnsi="Arial"/>
          <w:sz w:val="22"/>
          <w:szCs w:val="22"/>
          <w:color w:val="auto"/>
        </w:rPr>
        <w:t>(A)The Company shall establish and maintain, as appropriate, separate unfunded Cash Accounts for each Director who has elected that any portion of his or her Deferred Cash Compensation be credited to a Cash Account.</w:t>
      </w:r>
    </w:p>
    <w:p>
      <w:pPr>
        <w:spacing w:after="0" w:line="49" w:lineRule="exact"/>
        <w:rPr>
          <w:sz w:val="20"/>
          <w:szCs w:val="20"/>
          <w:color w:val="auto"/>
        </w:rPr>
      </w:pPr>
    </w:p>
    <w:p>
      <w:pPr>
        <w:ind w:left="1960" w:right="220" w:hanging="323"/>
        <w:spacing w:after="0"/>
        <w:rPr>
          <w:sz w:val="20"/>
          <w:szCs w:val="20"/>
          <w:color w:val="auto"/>
        </w:rPr>
      </w:pPr>
      <w:r>
        <w:rPr>
          <w:rFonts w:ascii="Arial" w:cs="Arial" w:eastAsia="Arial" w:hAnsi="Arial"/>
          <w:sz w:val="22"/>
          <w:szCs w:val="22"/>
          <w:color w:val="auto"/>
        </w:rPr>
        <w:t>(B)As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68" w:lineRule="exact"/>
        <w:rPr>
          <w:sz w:val="20"/>
          <w:szCs w:val="20"/>
          <w:color w:val="auto"/>
        </w:rPr>
      </w:pPr>
    </w:p>
    <w:p>
      <w:pPr>
        <w:ind w:left="1960" w:right="20" w:hanging="323"/>
        <w:spacing w:after="0" w:line="233" w:lineRule="auto"/>
        <w:rPr>
          <w:sz w:val="20"/>
          <w:szCs w:val="20"/>
          <w:color w:val="auto"/>
        </w:rPr>
      </w:pPr>
      <w:r>
        <w:rPr>
          <w:rFonts w:ascii="Arial" w:cs="Arial" w:eastAsia="Arial" w:hAnsi="Arial"/>
          <w:sz w:val="22"/>
          <w:szCs w:val="22"/>
          <w:color w:val="auto"/>
        </w:rPr>
        <w:t>(C)As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GSR Committee for each Year.</w:t>
      </w:r>
    </w:p>
    <w:p>
      <w:pPr>
        <w:spacing w:after="0" w:line="74" w:lineRule="exact"/>
        <w:rPr>
          <w:sz w:val="20"/>
          <w:szCs w:val="20"/>
          <w:color w:val="auto"/>
        </w:rPr>
      </w:pPr>
    </w:p>
    <w:p>
      <w:pPr>
        <w:ind w:left="1300" w:hanging="559"/>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Stock Unit Accounts</w:t>
      </w:r>
      <w:r>
        <w:rPr>
          <w:rFonts w:ascii="Arial" w:cs="Arial" w:eastAsia="Arial" w:hAnsi="Arial"/>
          <w:sz w:val="22"/>
          <w:szCs w:val="22"/>
          <w:color w:val="auto"/>
        </w:rPr>
        <w:t>.</w:t>
      </w:r>
    </w:p>
    <w:p>
      <w:pPr>
        <w:spacing w:after="0" w:line="98" w:lineRule="exact"/>
        <w:rPr>
          <w:sz w:val="20"/>
          <w:szCs w:val="20"/>
          <w:color w:val="auto"/>
        </w:rPr>
      </w:pPr>
    </w:p>
    <w:p>
      <w:pPr>
        <w:ind w:left="1960" w:right="760" w:hanging="323"/>
        <w:spacing w:after="0" w:line="245" w:lineRule="auto"/>
        <w:rPr>
          <w:sz w:val="20"/>
          <w:szCs w:val="20"/>
          <w:color w:val="auto"/>
        </w:rPr>
      </w:pPr>
      <w:r>
        <w:rPr>
          <w:rFonts w:ascii="Arial" w:cs="Arial" w:eastAsia="Arial" w:hAnsi="Arial"/>
          <w:sz w:val="22"/>
          <w:szCs w:val="22"/>
          <w:color w:val="auto"/>
        </w:rPr>
        <w:t>(A)The Company shall establish and maintain, as appropriate, separate unfunded Stock Unit Accounts for each Director who has elected that any portion of his or her Deferred Cash Compensation be credited to a Stock Unit Account.</w:t>
      </w:r>
    </w:p>
    <w:p>
      <w:pPr>
        <w:spacing w:after="0" w:line="62" w:lineRule="exact"/>
        <w:rPr>
          <w:sz w:val="20"/>
          <w:szCs w:val="20"/>
          <w:color w:val="auto"/>
        </w:rPr>
      </w:pPr>
    </w:p>
    <w:p>
      <w:pPr>
        <w:ind w:left="1960" w:right="40" w:hanging="323"/>
        <w:spacing w:after="0" w:line="238" w:lineRule="auto"/>
        <w:rPr>
          <w:sz w:val="20"/>
          <w:szCs w:val="20"/>
          <w:color w:val="auto"/>
        </w:rPr>
      </w:pPr>
      <w:r>
        <w:rPr>
          <w:rFonts w:ascii="Arial" w:cs="Arial" w:eastAsia="Arial" w:hAnsi="Arial"/>
          <w:sz w:val="22"/>
          <w:szCs w:val="22"/>
          <w:color w:val="auto"/>
        </w:rPr>
        <w:t>(B)As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37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60" w:right="240" w:hanging="323"/>
        <w:spacing w:after="0" w:line="236" w:lineRule="auto"/>
        <w:rPr>
          <w:sz w:val="20"/>
          <w:szCs w:val="20"/>
          <w:color w:val="auto"/>
        </w:rPr>
      </w:pPr>
      <w:r>
        <w:rPr>
          <w:rFonts w:ascii="Arial" w:cs="Arial" w:eastAsia="Arial" w:hAnsi="Arial"/>
          <w:sz w:val="22"/>
          <w:szCs w:val="22"/>
          <w:color w:val="auto"/>
        </w:rPr>
        <w:t>(C)As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6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Restricted Stock Units</w:t>
      </w:r>
      <w:r>
        <w:rPr>
          <w:rFonts w:ascii="Arial" w:cs="Arial" w:eastAsia="Arial" w:hAnsi="Arial"/>
          <w:sz w:val="22"/>
          <w:szCs w:val="22"/>
          <w:color w:val="auto"/>
        </w:rPr>
        <w:t>. Each Director may elect to defer all or a portion of any Restricted Stock Unit Award.</w:t>
      </w:r>
    </w:p>
    <w:p>
      <w:pPr>
        <w:spacing w:after="0" w:line="98" w:lineRule="exact"/>
        <w:rPr>
          <w:rFonts w:ascii="Arial" w:cs="Arial" w:eastAsia="Arial" w:hAnsi="Arial"/>
          <w:sz w:val="22"/>
          <w:szCs w:val="22"/>
          <w:color w:val="auto"/>
        </w:rPr>
      </w:pPr>
    </w:p>
    <w:p>
      <w:pPr>
        <w:ind w:left="660" w:right="500" w:hanging="652"/>
        <w:spacing w:after="0" w:line="259" w:lineRule="auto"/>
        <w:tabs>
          <w:tab w:leader="none" w:pos="654"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Dividend Equivalents. </w:t>
      </w:r>
      <w:r>
        <w:rPr>
          <w:rFonts w:ascii="Arial" w:cs="Arial" w:eastAsia="Arial" w:hAnsi="Arial"/>
          <w:sz w:val="22"/>
          <w:szCs w:val="22"/>
          <w:color w:val="auto"/>
        </w:rPr>
        <w:t>Each Director may elect to defer all or a portion of any dividend equivalents paid on</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Restricted Stock Units.</w:t>
      </w:r>
    </w:p>
    <w:p>
      <w:pPr>
        <w:spacing w:after="0" w:line="48" w:lineRule="exact"/>
        <w:rPr>
          <w:rFonts w:ascii="Arial" w:cs="Arial" w:eastAsia="Arial" w:hAnsi="Arial"/>
          <w:sz w:val="22"/>
          <w:szCs w:val="22"/>
          <w:color w:val="auto"/>
        </w:rPr>
      </w:pPr>
    </w:p>
    <w:p>
      <w:pPr>
        <w:ind w:left="660" w:right="100" w:hanging="652"/>
        <w:spacing w:after="0" w:line="259" w:lineRule="auto"/>
        <w:tabs>
          <w:tab w:leader="none" w:pos="654"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Time of Election. </w:t>
      </w:r>
      <w:r>
        <w:rPr>
          <w:rFonts w:ascii="Arial" w:cs="Arial" w:eastAsia="Arial" w:hAnsi="Arial"/>
          <w:sz w:val="22"/>
          <w:szCs w:val="22"/>
          <w:color w:val="auto"/>
        </w:rPr>
        <w:t>An election to defer all or any portion of Eligible Compensation for any Year shall be made in</w:t>
      </w:r>
      <w:r>
        <w:rPr>
          <w:rFonts w:ascii="Arial" w:cs="Arial" w:eastAsia="Arial" w:hAnsi="Arial"/>
          <w:sz w:val="22"/>
          <w:szCs w:val="22"/>
          <w:i w:val="1"/>
          <w:iCs w:val="1"/>
          <w:color w:val="auto"/>
        </w:rPr>
        <w:t xml:space="preserve"> </w:t>
      </w:r>
      <w:r>
        <w:rPr>
          <w:rFonts w:ascii="Arial" w:cs="Arial" w:eastAsia="Arial" w:hAnsi="Arial"/>
          <w:sz w:val="22"/>
          <w:szCs w:val="22"/>
          <w:color w:val="auto"/>
        </w:rPr>
        <w:t>writing in the form ("Election Form") prescribed by the Secretary.</w:t>
      </w:r>
    </w:p>
    <w:p>
      <w:pPr>
        <w:spacing w:after="0" w:line="48" w:lineRule="exact"/>
        <w:rPr>
          <w:rFonts w:ascii="Arial" w:cs="Arial" w:eastAsia="Arial" w:hAnsi="Arial"/>
          <w:sz w:val="22"/>
          <w:szCs w:val="22"/>
          <w:color w:val="auto"/>
        </w:rPr>
      </w:pPr>
    </w:p>
    <w:p>
      <w:pPr>
        <w:ind w:left="1300" w:right="240" w:hanging="511"/>
        <w:spacing w:after="0" w:line="233" w:lineRule="auto"/>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73" w:lineRule="exact"/>
        <w:rPr>
          <w:rFonts w:ascii="Arial" w:cs="Arial" w:eastAsia="Arial" w:hAnsi="Arial"/>
          <w:sz w:val="22"/>
          <w:szCs w:val="22"/>
          <w:color w:val="auto"/>
        </w:rPr>
      </w:pPr>
    </w:p>
    <w:p>
      <w:pPr>
        <w:ind w:left="660" w:right="100" w:hanging="652"/>
        <w:spacing w:after="0" w:line="283" w:lineRule="auto"/>
        <w:tabs>
          <w:tab w:leader="none" w:pos="648"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 xml:space="preserve">Irrevocability of Election. </w:t>
      </w:r>
      <w:r>
        <w:rPr>
          <w:rFonts w:ascii="Arial" w:cs="Arial" w:eastAsia="Arial" w:hAnsi="Arial"/>
          <w:sz w:val="21"/>
          <w:szCs w:val="21"/>
          <w:color w:val="auto"/>
        </w:rPr>
        <w:t>A Director’s election to defer all or any portion of his or her Eligible Compensation for</w:t>
      </w:r>
      <w:r>
        <w:rPr>
          <w:rFonts w:ascii="Arial" w:cs="Arial" w:eastAsia="Arial" w:hAnsi="Arial"/>
          <w:sz w:val="21"/>
          <w:szCs w:val="21"/>
          <w:i w:val="1"/>
          <w:iCs w:val="1"/>
          <w:color w:val="auto"/>
        </w:rPr>
        <w:t xml:space="preserve"> </w:t>
      </w:r>
      <w:r>
        <w:rPr>
          <w:rFonts w:ascii="Arial" w:cs="Arial" w:eastAsia="Arial" w:hAnsi="Arial"/>
          <w:sz w:val="21"/>
          <w:szCs w:val="21"/>
          <w:color w:val="auto"/>
        </w:rPr>
        <w:t>any Year shall be irrevocable upon receipt by the Secretary of a completed Election Form from the Director.</w:t>
      </w:r>
    </w:p>
    <w:p>
      <w:pPr>
        <w:spacing w:after="0" w:line="24" w:lineRule="exact"/>
        <w:rPr>
          <w:rFonts w:ascii="Arial" w:cs="Arial" w:eastAsia="Arial" w:hAnsi="Arial"/>
          <w:sz w:val="21"/>
          <w:szCs w:val="21"/>
          <w:color w:val="auto"/>
        </w:rPr>
      </w:pPr>
    </w:p>
    <w:p>
      <w:pPr>
        <w:ind w:left="640" w:hanging="632"/>
        <w:spacing w:after="0"/>
        <w:tabs>
          <w:tab w:leader="none" w:pos="64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Form of Distributions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300" w:hanging="511"/>
        <w:spacing w:after="0"/>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Distributions of amounts credited to each Participant’s Cash Account shall be made in cash.</w:t>
      </w:r>
    </w:p>
    <w:p>
      <w:pPr>
        <w:spacing w:after="0" w:line="98" w:lineRule="exact"/>
        <w:rPr>
          <w:rFonts w:ascii="Arial" w:cs="Arial" w:eastAsia="Arial" w:hAnsi="Arial"/>
          <w:sz w:val="22"/>
          <w:szCs w:val="22"/>
          <w:color w:val="auto"/>
        </w:rPr>
      </w:pPr>
    </w:p>
    <w:p>
      <w:pPr>
        <w:ind w:left="1300" w:right="100" w:hanging="559"/>
        <w:spacing w:after="0" w:line="259" w:lineRule="auto"/>
        <w:tabs>
          <w:tab w:leader="none" w:pos="1301" w:val="left"/>
        </w:tabs>
        <w:numPr>
          <w:ilvl w:val="1"/>
          <w:numId w:val="45"/>
        </w:numPr>
        <w:rPr>
          <w:rFonts w:ascii="Arial" w:cs="Arial" w:eastAsia="Arial" w:hAnsi="Arial"/>
          <w:sz w:val="22"/>
          <w:szCs w:val="22"/>
          <w:color w:val="auto"/>
        </w:rPr>
      </w:pPr>
      <w:r>
        <w:rPr>
          <w:rFonts w:ascii="Arial" w:cs="Arial" w:eastAsia="Arial" w:hAnsi="Arial"/>
          <w:sz w:val="22"/>
          <w:szCs w:val="22"/>
          <w:color w:val="auto"/>
        </w:rPr>
        <w:t>Distributions of units credited to each Participant’s Stock Unit Account shall be made by issuing to such Participant an equivalent number of Shares.</w:t>
      </w:r>
    </w:p>
    <w:p>
      <w:pPr>
        <w:spacing w:after="0" w:line="48" w:lineRule="exact"/>
        <w:rPr>
          <w:rFonts w:ascii="Arial" w:cs="Arial" w:eastAsia="Arial" w:hAnsi="Arial"/>
          <w:sz w:val="22"/>
          <w:szCs w:val="22"/>
          <w:color w:val="auto"/>
        </w:rPr>
      </w:pPr>
    </w:p>
    <w:p>
      <w:pPr>
        <w:ind w:left="1300" w:right="80" w:hanging="607"/>
        <w:spacing w:after="0" w:line="235" w:lineRule="auto"/>
        <w:tabs>
          <w:tab w:leader="none" w:pos="1301" w:val="left"/>
        </w:tabs>
        <w:numPr>
          <w:ilvl w:val="1"/>
          <w:numId w:val="45"/>
        </w:numPr>
        <w:rPr>
          <w:rFonts w:ascii="Arial" w:cs="Arial" w:eastAsia="Arial" w:hAnsi="Arial"/>
          <w:sz w:val="22"/>
          <w:szCs w:val="22"/>
          <w:color w:val="auto"/>
        </w:rPr>
      </w:pPr>
      <w:r>
        <w:rPr>
          <w:rFonts w:ascii="Arial" w:cs="Arial" w:eastAsia="Arial" w:hAnsi="Arial"/>
          <w:sz w:val="22"/>
          <w:szCs w:val="22"/>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37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Time of Distributions.</w:t>
      </w:r>
    </w:p>
    <w:p>
      <w:pPr>
        <w:spacing w:after="0" w:line="98" w:lineRule="exact"/>
        <w:rPr>
          <w:rFonts w:ascii="Arial" w:cs="Arial" w:eastAsia="Arial" w:hAnsi="Arial"/>
          <w:sz w:val="22"/>
          <w:szCs w:val="22"/>
          <w:color w:val="auto"/>
        </w:rPr>
      </w:pPr>
    </w:p>
    <w:p>
      <w:pPr>
        <w:ind w:left="1300" w:right="20" w:hanging="511"/>
        <w:spacing w:after="0" w:line="245"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Normal Distributions. Except as otherwise hereinafter provided, distributions from a Participant's Deferred Compensation Account shall be made on the first day of the month following such Participant’s Separation from Service on the Board for any reason other than death.</w:t>
      </w:r>
    </w:p>
    <w:p>
      <w:pPr>
        <w:spacing w:after="0" w:line="62" w:lineRule="exact"/>
        <w:rPr>
          <w:rFonts w:ascii="Arial" w:cs="Arial" w:eastAsia="Arial" w:hAnsi="Arial"/>
          <w:sz w:val="22"/>
          <w:szCs w:val="22"/>
          <w:color w:val="auto"/>
        </w:rPr>
      </w:pPr>
    </w:p>
    <w:p>
      <w:pPr>
        <w:ind w:left="1300" w:right="340"/>
        <w:spacing w:after="0" w:line="259" w:lineRule="auto"/>
        <w:rPr>
          <w:rFonts w:ascii="Arial" w:cs="Arial" w:eastAsia="Arial" w:hAnsi="Arial"/>
          <w:sz w:val="22"/>
          <w:szCs w:val="22"/>
          <w:color w:val="auto"/>
        </w:rPr>
      </w:pPr>
      <w:r>
        <w:rPr>
          <w:rFonts w:ascii="Arial" w:cs="Arial" w:eastAsia="Arial" w:hAnsi="Arial"/>
          <w:sz w:val="22"/>
          <w:szCs w:val="22"/>
          <w:color w:val="auto"/>
        </w:rPr>
        <w:t>Notwithstanding the foregoing, no distribution may be made to a Specified Employee before the date that is six months after the date of Separation from Service or, if earlier, the date of death.</w:t>
      </w:r>
    </w:p>
    <w:p>
      <w:pPr>
        <w:spacing w:after="0" w:line="48" w:lineRule="exact"/>
        <w:rPr>
          <w:rFonts w:ascii="Arial" w:cs="Arial" w:eastAsia="Arial" w:hAnsi="Arial"/>
          <w:sz w:val="22"/>
          <w:szCs w:val="22"/>
          <w:color w:val="auto"/>
        </w:rPr>
      </w:pPr>
    </w:p>
    <w:p>
      <w:pPr>
        <w:ind w:left="1300" w:right="240" w:hanging="559"/>
        <w:spacing w:after="0" w:line="268" w:lineRule="auto"/>
        <w:tabs>
          <w:tab w:leader="none" w:pos="1301" w:val="left"/>
        </w:tabs>
        <w:numPr>
          <w:ilvl w:val="1"/>
          <w:numId w:val="46"/>
        </w:numPr>
        <w:rPr>
          <w:rFonts w:ascii="Arial" w:cs="Arial" w:eastAsia="Arial" w:hAnsi="Arial"/>
          <w:sz w:val="21"/>
          <w:szCs w:val="21"/>
          <w:color w:val="auto"/>
        </w:rPr>
      </w:pPr>
      <w:r>
        <w:rPr>
          <w:rFonts w:ascii="Arial" w:cs="Arial" w:eastAsia="Arial" w:hAnsi="Arial"/>
          <w:sz w:val="21"/>
          <w:szCs w:val="21"/>
          <w:color w:val="auto"/>
        </w:rPr>
        <w:t>Change in Control. In the event a Participant experiences a Separation From Service (other than for cause) within 24 months after a Change in Control, then, to the extent permitted without additional tax or penalty by Section 409A of the Code, such Participant shall receive a distribution of the balances credited to the Participant’s Account which are attributable to amounts credited to the account. See Section 9(b)(iii) for the effect of such Separation From Service on deferred Restricted Stock Units.</w:t>
      </w:r>
    </w:p>
    <w:p>
      <w:pPr>
        <w:spacing w:after="0" w:line="55" w:lineRule="exact"/>
        <w:rPr>
          <w:rFonts w:ascii="Arial" w:cs="Arial" w:eastAsia="Arial" w:hAnsi="Arial"/>
          <w:sz w:val="21"/>
          <w:szCs w:val="21"/>
          <w:color w:val="auto"/>
        </w:rPr>
      </w:pPr>
    </w:p>
    <w:p>
      <w:pPr>
        <w:ind w:left="1300" w:right="300"/>
        <w:spacing w:after="0" w:line="268" w:lineRule="auto"/>
        <w:rPr>
          <w:rFonts w:ascii="Arial" w:cs="Arial" w:eastAsia="Arial" w:hAnsi="Arial"/>
          <w:sz w:val="21"/>
          <w:szCs w:val="21"/>
          <w:color w:val="auto"/>
        </w:rPr>
      </w:pPr>
      <w:r>
        <w:rPr>
          <w:rFonts w:ascii="Arial" w:cs="Arial" w:eastAsia="Arial" w:hAnsi="Arial"/>
          <w:sz w:val="21"/>
          <w:szCs w:val="21"/>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55" w:lineRule="exact"/>
        <w:rPr>
          <w:rFonts w:ascii="Arial" w:cs="Arial" w:eastAsia="Arial" w:hAnsi="Arial"/>
          <w:sz w:val="21"/>
          <w:szCs w:val="21"/>
          <w:color w:val="auto"/>
        </w:rPr>
      </w:pPr>
    </w:p>
    <w:p>
      <w:pPr>
        <w:ind w:left="1300" w:right="160"/>
        <w:spacing w:after="0" w:line="264" w:lineRule="auto"/>
        <w:rPr>
          <w:rFonts w:ascii="Arial" w:cs="Arial" w:eastAsia="Arial" w:hAnsi="Arial"/>
          <w:sz w:val="21"/>
          <w:szCs w:val="21"/>
          <w:color w:val="auto"/>
        </w:rPr>
      </w:pPr>
      <w:r>
        <w:rPr>
          <w:rFonts w:ascii="Arial" w:cs="Arial" w:eastAsia="Arial" w:hAnsi="Arial"/>
          <w:sz w:val="22"/>
          <w:szCs w:val="22"/>
          <w:color w:val="auto"/>
        </w:rPr>
        <w:t>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11(h)(i).</w:t>
      </w:r>
    </w:p>
    <w:p>
      <w:pPr>
        <w:spacing w:after="0" w:line="56" w:lineRule="exact"/>
        <w:rPr>
          <w:rFonts w:ascii="Arial" w:cs="Arial" w:eastAsia="Arial" w:hAnsi="Arial"/>
          <w:sz w:val="21"/>
          <w:szCs w:val="21"/>
          <w:color w:val="auto"/>
        </w:rPr>
      </w:pPr>
    </w:p>
    <w:p>
      <w:pPr>
        <w:ind w:left="1300" w:hanging="607"/>
        <w:spacing w:after="0" w:line="251" w:lineRule="auto"/>
        <w:tabs>
          <w:tab w:leader="none" w:pos="1301" w:val="left"/>
        </w:tabs>
        <w:numPr>
          <w:ilvl w:val="1"/>
          <w:numId w:val="46"/>
        </w:numPr>
        <w:rPr>
          <w:rFonts w:ascii="Arial" w:cs="Arial" w:eastAsia="Arial" w:hAnsi="Arial"/>
          <w:sz w:val="22"/>
          <w:szCs w:val="22"/>
          <w:color w:val="auto"/>
        </w:rPr>
      </w:pPr>
      <w:r>
        <w:rPr>
          <w:rFonts w:ascii="Arial" w:cs="Arial" w:eastAsia="Arial" w:hAnsi="Arial"/>
          <w:sz w:val="22"/>
          <w:szCs w:val="22"/>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37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right="200"/>
        <w:spacing w:after="0" w:line="249" w:lineRule="auto"/>
        <w:rPr>
          <w:sz w:val="20"/>
          <w:szCs w:val="20"/>
          <w:color w:val="auto"/>
        </w:rPr>
      </w:pPr>
      <w:r>
        <w:rPr>
          <w:rFonts w:ascii="Arial" w:cs="Arial" w:eastAsia="Arial" w:hAnsi="Arial"/>
          <w:sz w:val="22"/>
          <w:szCs w:val="22"/>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87" w:lineRule="exact"/>
        <w:rPr>
          <w:sz w:val="20"/>
          <w:szCs w:val="20"/>
          <w:color w:val="auto"/>
        </w:rPr>
      </w:pPr>
    </w:p>
    <w:p>
      <w:pPr>
        <w:ind w:left="660" w:right="60" w:hanging="652"/>
        <w:spacing w:after="0" w:line="250" w:lineRule="auto"/>
        <w:tabs>
          <w:tab w:leader="none" w:pos="649"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Death of Participant</w:t>
      </w:r>
      <w:r>
        <w:rPr>
          <w:rFonts w:ascii="Arial" w:cs="Arial" w:eastAsia="Arial" w:hAnsi="Arial"/>
          <w:sz w:val="22"/>
          <w:szCs w:val="22"/>
          <w:color w:val="auto"/>
        </w:rPr>
        <w:t>. Notwithstanding the foregoing, in the event of the death of a Participant prior to receipt by</w:t>
      </w:r>
      <w:r>
        <w:rPr>
          <w:rFonts w:ascii="Arial" w:cs="Arial" w:eastAsia="Arial" w:hAnsi="Arial"/>
          <w:sz w:val="22"/>
          <w:szCs w:val="22"/>
          <w:i w:val="1"/>
          <w:iCs w:val="1"/>
          <w:color w:val="auto"/>
        </w:rPr>
        <w:t xml:space="preserve"> </w:t>
      </w:r>
      <w:r>
        <w:rPr>
          <w:rFonts w:ascii="Arial" w:cs="Arial" w:eastAsia="Arial" w:hAnsi="Arial"/>
          <w:sz w:val="22"/>
          <w:szCs w:val="22"/>
          <w:color w:val="auto"/>
        </w:rPr>
        <w:t>such Participant of the full amount of 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72" w:lineRule="exact"/>
        <w:rPr>
          <w:rFonts w:ascii="Arial" w:cs="Arial" w:eastAsia="Arial" w:hAnsi="Arial"/>
          <w:sz w:val="22"/>
          <w:szCs w:val="22"/>
          <w:color w:val="auto"/>
        </w:rPr>
      </w:pPr>
    </w:p>
    <w:p>
      <w:pPr>
        <w:ind w:left="660" w:right="100" w:hanging="652"/>
        <w:spacing w:after="0" w:line="250" w:lineRule="auto"/>
        <w:tabs>
          <w:tab w:leader="none" w:pos="649"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Certain Rights Reserved by the Company</w:t>
      </w:r>
      <w:r>
        <w:rPr>
          <w:rFonts w:ascii="Arial" w:cs="Arial" w:eastAsia="Arial" w:hAnsi="Arial"/>
          <w:sz w:val="22"/>
          <w:szCs w:val="22"/>
          <w:color w:val="auto"/>
        </w:rPr>
        <w:t>. In the event that, pursuant to Section 13, the Company suspends,</w:t>
      </w:r>
      <w:r>
        <w:rPr>
          <w:rFonts w:ascii="Arial" w:cs="Arial" w:eastAsia="Arial" w:hAnsi="Arial"/>
          <w:sz w:val="22"/>
          <w:szCs w:val="22"/>
          <w:i w:val="1"/>
          <w:iCs w:val="1"/>
          <w:color w:val="auto"/>
        </w:rPr>
        <w:t xml:space="preserve"> </w:t>
      </w:r>
      <w:r>
        <w:rPr>
          <w:rFonts w:ascii="Arial" w:cs="Arial" w:eastAsia="Arial" w:hAnsi="Arial"/>
          <w:sz w:val="22"/>
          <w:szCs w:val="22"/>
          <w:color w:val="auto"/>
        </w:rPr>
        <w:t>modifies or terminates this Plan, the 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72" w:lineRule="exact"/>
        <w:rPr>
          <w:rFonts w:ascii="Arial" w:cs="Arial" w:eastAsia="Arial" w:hAnsi="Arial"/>
          <w:sz w:val="22"/>
          <w:szCs w:val="22"/>
          <w:color w:val="auto"/>
        </w:rPr>
      </w:pPr>
    </w:p>
    <w:p>
      <w:pPr>
        <w:ind w:left="660" w:right="200" w:hanging="652"/>
        <w:spacing w:after="0" w:line="251"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Certain Affiliations</w:t>
      </w:r>
      <w:r>
        <w:rPr>
          <w:rFonts w:ascii="Arial" w:cs="Arial" w:eastAsia="Arial" w:hAnsi="Arial"/>
          <w:sz w:val="22"/>
          <w:szCs w:val="22"/>
          <w:color w:val="auto"/>
        </w:rPr>
        <w:t>. In the event that a Participant terminates his or her membership on the Board and</w:t>
      </w:r>
      <w:r>
        <w:rPr>
          <w:rFonts w:ascii="Arial" w:cs="Arial" w:eastAsia="Arial" w:hAnsi="Arial"/>
          <w:sz w:val="22"/>
          <w:szCs w:val="22"/>
          <w:i w:val="1"/>
          <w:iCs w:val="1"/>
          <w:color w:val="auto"/>
        </w:rPr>
        <w:t xml:space="preserve"> </w:t>
      </w:r>
      <w:r>
        <w:rPr>
          <w:rFonts w:ascii="Arial" w:cs="Arial" w:eastAsia="Arial" w:hAnsi="Arial"/>
          <w:sz w:val="22"/>
          <w:szCs w:val="22"/>
          <w:color w:val="auto"/>
        </w:rPr>
        <w:t>becomes affiliated with a government 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37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OTHER STOCK-BASED AWARDS.</w:t>
      </w:r>
    </w:p>
    <w:p>
      <w:pPr>
        <w:spacing w:after="0" w:line="100"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 AMENDMENT AND TERMINATION.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Except to the extent prohibited by or inconsistent with applicable law:</w:t>
      </w:r>
    </w:p>
    <w:p>
      <w:pPr>
        <w:spacing w:after="0" w:line="98" w:lineRule="exact"/>
        <w:rPr>
          <w:sz w:val="20"/>
          <w:szCs w:val="20"/>
          <w:color w:val="auto"/>
        </w:rPr>
      </w:pPr>
    </w:p>
    <w:p>
      <w:pPr>
        <w:ind w:left="660" w:right="80" w:hanging="652"/>
        <w:spacing w:after="0" w:line="231" w:lineRule="auto"/>
        <w:tabs>
          <w:tab w:leader="none" w:pos="654"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Amendments</w:t>
      </w:r>
      <w:r>
        <w:rPr>
          <w:rFonts w:ascii="Arial" w:cs="Arial" w:eastAsia="Arial" w:hAnsi="Arial"/>
          <w:sz w:val="22"/>
          <w:szCs w:val="22"/>
          <w:color w:val="auto"/>
        </w:rPr>
        <w:t>. The Board may amend, alter, suspend, discontinue or terminate the Plan, including,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limitation, the number of shares subject to Awards granted pursuant to Sections 6, 7 and 10, without the consent of any stockholder, Participant, other holder or beneficiary of any Award, or other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such amendment, alteration, suspension, discontinuation or termination shall be made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without (i) 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no such amendment or alteration shall increase the aggregate number of shares that may be issued under the Plan or increase the total value of Awards that may be granted in any given Year, in each case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7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240"/>
        <w:spacing w:after="0" w:line="245" w:lineRule="auto"/>
        <w:rPr>
          <w:sz w:val="20"/>
          <w:szCs w:val="20"/>
          <w:color w:val="auto"/>
        </w:rPr>
      </w:pPr>
      <w:r>
        <w:rPr>
          <w:rFonts w:ascii="Arial" w:cs="Arial" w:eastAsia="Arial" w:hAnsi="Arial"/>
          <w:sz w:val="22"/>
          <w:szCs w:val="22"/>
          <w:color w:val="auto"/>
        </w:rPr>
        <w:t>option, SAR, restricted stock unit or other equity is delivered simultaneously with the cancellation and regardless of whether the cancellation and exchange are treated as a repricing under GAAP or are voluntary on the part of the Participant.</w:t>
      </w:r>
    </w:p>
    <w:p>
      <w:pPr>
        <w:spacing w:after="0" w:line="62" w:lineRule="exact"/>
        <w:rPr>
          <w:sz w:val="20"/>
          <w:szCs w:val="20"/>
          <w:color w:val="auto"/>
        </w:rPr>
      </w:pPr>
    </w:p>
    <w:p>
      <w:pPr>
        <w:ind w:left="660" w:right="260" w:hanging="652"/>
        <w:spacing w:after="0" w:line="245" w:lineRule="auto"/>
        <w:tabs>
          <w:tab w:leader="none" w:pos="654"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Correction of Defects, Omissions and Inconsistencies</w:t>
      </w:r>
      <w:r>
        <w:rPr>
          <w:rFonts w:ascii="Arial" w:cs="Arial" w:eastAsia="Arial" w:hAnsi="Arial"/>
          <w:sz w:val="22"/>
          <w:szCs w:val="22"/>
          <w:color w:val="auto"/>
        </w:rPr>
        <w:t>. The Administrator may correct any defect, supply any</w:t>
      </w:r>
      <w:r>
        <w:rPr>
          <w:rFonts w:ascii="Arial" w:cs="Arial" w:eastAsia="Arial" w:hAnsi="Arial"/>
          <w:sz w:val="22"/>
          <w:szCs w:val="22"/>
          <w:i w:val="1"/>
          <w:iCs w:val="1"/>
          <w:color w:val="auto"/>
        </w:rPr>
        <w:t xml:space="preserve"> </w:t>
      </w:r>
      <w:r>
        <w:rPr>
          <w:rFonts w:ascii="Arial" w:cs="Arial" w:eastAsia="Arial" w:hAnsi="Arial"/>
          <w:sz w:val="22"/>
          <w:szCs w:val="22"/>
          <w:color w:val="auto"/>
        </w:rPr>
        <w:t>omission, or reconcile any inconsistency in the Plan or any Award in the manner and to the extent it shall deem desirable to carry the Plan into effect.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 GENERAL PROVISIONS.</w:t>
      </w:r>
    </w:p>
    <w:p>
      <w:pPr>
        <w:spacing w:after="0" w:line="100" w:lineRule="exact"/>
        <w:rPr>
          <w:sz w:val="20"/>
          <w:szCs w:val="20"/>
          <w:color w:val="auto"/>
        </w:rPr>
      </w:pPr>
    </w:p>
    <w:p>
      <w:pPr>
        <w:ind w:left="660" w:right="120" w:hanging="652"/>
        <w:spacing w:after="0"/>
        <w:tabs>
          <w:tab w:leader="none" w:pos="65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No Rights of Stockholders</w:t>
      </w:r>
      <w:r>
        <w:rPr>
          <w:rFonts w:ascii="Arial" w:cs="Arial" w:eastAsia="Arial" w:hAnsi="Arial"/>
          <w:sz w:val="22"/>
          <w:szCs w:val="22"/>
          <w:color w:val="auto"/>
        </w:rPr>
        <w:t>. Neither a Participant nor a Participant’s legal representative shall be, or have any</w:t>
      </w:r>
      <w:r>
        <w:rPr>
          <w:rFonts w:ascii="Arial" w:cs="Arial" w:eastAsia="Arial" w:hAnsi="Arial"/>
          <w:sz w:val="22"/>
          <w:szCs w:val="22"/>
          <w:i w:val="1"/>
          <w:iCs w:val="1"/>
          <w:color w:val="auto"/>
        </w:rPr>
        <w:t xml:space="preserve"> </w:t>
      </w:r>
      <w:r>
        <w:rPr>
          <w:rFonts w:ascii="Arial" w:cs="Arial" w:eastAsia="Arial" w:hAnsi="Arial"/>
          <w:sz w:val="22"/>
          <w:szCs w:val="22"/>
          <w:color w:val="auto"/>
        </w:rPr>
        <w:t>of the rights and privileges of, a stockholder of the Company in respect of any Shares issuable under the Plan in connection with any Award or Account, in whole or in part, unless and until certificates or other indicia of ownership of such shares shall have been issued.</w:t>
      </w:r>
    </w:p>
    <w:p>
      <w:pPr>
        <w:spacing w:after="0" w:line="68" w:lineRule="exact"/>
        <w:rPr>
          <w:rFonts w:ascii="Arial" w:cs="Arial" w:eastAsia="Arial" w:hAnsi="Arial"/>
          <w:sz w:val="22"/>
          <w:szCs w:val="22"/>
          <w:color w:val="auto"/>
        </w:rPr>
      </w:pPr>
    </w:p>
    <w:p>
      <w:pPr>
        <w:ind w:left="660" w:right="440" w:hanging="652"/>
        <w:spacing w:after="0"/>
        <w:tabs>
          <w:tab w:leader="none" w:pos="65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Limits of Transfer of Awards. </w:t>
      </w:r>
      <w:r>
        <w:rPr>
          <w:rFonts w:ascii="Arial" w:cs="Arial" w:eastAsia="Arial" w:hAnsi="Arial"/>
          <w:sz w:val="22"/>
          <w:szCs w:val="22"/>
          <w:color w:val="auto"/>
        </w:rPr>
        <w:t>No Award and no right under any such Award, shall be assignable, alienable,</w:t>
      </w:r>
      <w:r>
        <w:rPr>
          <w:rFonts w:ascii="Arial" w:cs="Arial" w:eastAsia="Arial" w:hAnsi="Arial"/>
          <w:sz w:val="22"/>
          <w:szCs w:val="22"/>
          <w:i w:val="1"/>
          <w:iCs w:val="1"/>
          <w:color w:val="auto"/>
        </w:rPr>
        <w:t xml:space="preserve"> </w:t>
      </w:r>
      <w:r>
        <w:rPr>
          <w:rFonts w:ascii="Arial" w:cs="Arial" w:eastAsia="Arial" w:hAnsi="Arial"/>
          <w:sz w:val="22"/>
          <w:szCs w:val="22"/>
          <w:color w:val="auto"/>
        </w:rPr>
        <w:t>saleable or transferable by a Participant 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68" w:lineRule="exact"/>
        <w:rPr>
          <w:rFonts w:ascii="Arial" w:cs="Arial" w:eastAsia="Arial" w:hAnsi="Arial"/>
          <w:sz w:val="22"/>
          <w:szCs w:val="22"/>
          <w:color w:val="auto"/>
        </w:rPr>
      </w:pPr>
    </w:p>
    <w:p>
      <w:pPr>
        <w:ind w:left="660" w:right="180" w:hanging="652"/>
        <w:spacing w:after="0" w:line="239"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No Limit on Other Compensation Arrangements</w:t>
      </w:r>
      <w:r>
        <w:rPr>
          <w:rFonts w:ascii="Arial" w:cs="Arial" w:eastAsia="Arial" w:hAnsi="Arial"/>
          <w:sz w:val="22"/>
          <w:szCs w:val="22"/>
          <w:color w:val="auto"/>
        </w:rPr>
        <w:t>. Nothing contained in the Plan shall prevent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from adopting or continuing in effect other or additional compensation arrangements, and such arrangements may be either generally applicable or applicable only in specific cases.</w:t>
      </w:r>
    </w:p>
    <w:p>
      <w:pPr>
        <w:spacing w:after="0" w:line="67" w:lineRule="exact"/>
        <w:rPr>
          <w:rFonts w:ascii="Arial" w:cs="Arial" w:eastAsia="Arial" w:hAnsi="Arial"/>
          <w:sz w:val="22"/>
          <w:szCs w:val="22"/>
          <w:color w:val="auto"/>
        </w:rPr>
      </w:pPr>
    </w:p>
    <w:p>
      <w:pPr>
        <w:ind w:left="660" w:right="240" w:hanging="652"/>
        <w:spacing w:after="0" w:line="245" w:lineRule="auto"/>
        <w:tabs>
          <w:tab w:leader="none" w:pos="65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validity, construction, and effect of the Plan and any rules and regulations relating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shall be determined in accordance with the laws of the State of Delaware without giving effect to the principles of conflict of laws thereof.</w:t>
      </w:r>
    </w:p>
    <w:p>
      <w:pPr>
        <w:spacing w:after="0" w:line="62" w:lineRule="exact"/>
        <w:rPr>
          <w:rFonts w:ascii="Arial" w:cs="Arial" w:eastAsia="Arial" w:hAnsi="Arial"/>
          <w:sz w:val="22"/>
          <w:szCs w:val="22"/>
          <w:color w:val="auto"/>
        </w:rPr>
      </w:pPr>
    </w:p>
    <w:p>
      <w:pPr>
        <w:ind w:left="660" w:right="40" w:hanging="652"/>
        <w:spacing w:after="0" w:line="234" w:lineRule="auto"/>
        <w:tabs>
          <w:tab w:leader="none" w:pos="65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Severability</w:t>
      </w:r>
      <w:r>
        <w:rPr>
          <w:rFonts w:ascii="Arial" w:cs="Arial" w:eastAsia="Arial" w:hAnsi="Arial"/>
          <w:sz w:val="22"/>
          <w:szCs w:val="22"/>
          <w:color w:val="auto"/>
        </w:rPr>
        <w:t>. If any provision of the Plan or any Award Agreement is or becomes or is deemed to be invalid,</w:t>
      </w:r>
      <w:r>
        <w:rPr>
          <w:rFonts w:ascii="Arial" w:cs="Arial" w:eastAsia="Arial" w:hAnsi="Arial"/>
          <w:sz w:val="22"/>
          <w:szCs w:val="22"/>
          <w:i w:val="1"/>
          <w:iCs w:val="1"/>
          <w:color w:val="auto"/>
        </w:rPr>
        <w:t xml:space="preserve"> </w:t>
      </w:r>
      <w:r>
        <w:rPr>
          <w:rFonts w:ascii="Arial" w:cs="Arial" w:eastAsia="Arial" w:hAnsi="Arial"/>
          <w:sz w:val="22"/>
          <w:szCs w:val="22"/>
          <w:color w:val="auto"/>
        </w:rPr>
        <w:t>illegal, or unenforceable in any 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69" w:lineRule="exact"/>
        <w:rPr>
          <w:rFonts w:ascii="Arial" w:cs="Arial" w:eastAsia="Arial" w:hAnsi="Arial"/>
          <w:sz w:val="22"/>
          <w:szCs w:val="22"/>
          <w:color w:val="auto"/>
        </w:rPr>
      </w:pPr>
    </w:p>
    <w:p>
      <w:pPr>
        <w:ind w:left="660" w:right="140" w:hanging="652"/>
        <w:spacing w:after="0" w:line="238" w:lineRule="auto"/>
        <w:tabs>
          <w:tab w:leader="none" w:pos="64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No Trust or Fund Created</w:t>
      </w:r>
      <w:r>
        <w:rPr>
          <w:rFonts w:ascii="Arial" w:cs="Arial" w:eastAsia="Arial" w:hAnsi="Arial"/>
          <w:sz w:val="22"/>
          <w:szCs w:val="22"/>
          <w:color w:val="auto"/>
        </w:rPr>
        <w:t>. Neither the Plan nor any Award or Account shall create or be construed to create a</w:t>
      </w:r>
      <w:r>
        <w:rPr>
          <w:rFonts w:ascii="Arial" w:cs="Arial" w:eastAsia="Arial" w:hAnsi="Arial"/>
          <w:sz w:val="22"/>
          <w:szCs w:val="22"/>
          <w:i w:val="1"/>
          <w:iCs w:val="1"/>
          <w:color w:val="auto"/>
        </w:rPr>
        <w:t xml:space="preserve"> </w:t>
      </w:r>
      <w:r>
        <w:rPr>
          <w:rFonts w:ascii="Arial" w:cs="Arial" w:eastAsia="Arial" w:hAnsi="Arial"/>
          <w:sz w:val="22"/>
          <w:szCs w:val="22"/>
          <w:color w:val="auto"/>
        </w:rPr>
        <w:t>trust or separate fund of any kind or a 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37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380" w:hanging="652"/>
        <w:spacing w:after="0" w:line="251" w:lineRule="auto"/>
        <w:tabs>
          <w:tab w:leader="none" w:pos="654"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Accounts Unsecured</w:t>
      </w:r>
      <w:r>
        <w:rPr>
          <w:rFonts w:ascii="Arial" w:cs="Arial" w:eastAsia="Arial" w:hAnsi="Arial"/>
          <w:sz w:val="21"/>
          <w:szCs w:val="21"/>
          <w:color w:val="auto"/>
        </w:rPr>
        <w:t>. Until distributed, all amounts credited to any Cash Accounts or represented by units</w:t>
      </w:r>
      <w:r>
        <w:rPr>
          <w:rFonts w:ascii="Arial" w:cs="Arial" w:eastAsia="Arial" w:hAnsi="Arial"/>
          <w:sz w:val="21"/>
          <w:szCs w:val="21"/>
          <w:i w:val="1"/>
          <w:iCs w:val="1"/>
          <w:color w:val="auto"/>
        </w:rPr>
        <w:t xml:space="preserve"> </w:t>
      </w:r>
      <w:r>
        <w:rPr>
          <w:rFonts w:ascii="Arial" w:cs="Arial" w:eastAsia="Arial" w:hAnsi="Arial"/>
          <w:sz w:val="21"/>
          <w:szCs w:val="21"/>
          <w:color w:val="auto"/>
        </w:rPr>
        <w:t>credited to any Stock Unit Account shall 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60" w:lineRule="exact"/>
        <w:rPr>
          <w:rFonts w:ascii="Arial" w:cs="Arial" w:eastAsia="Arial" w:hAnsi="Arial"/>
          <w:sz w:val="21"/>
          <w:szCs w:val="21"/>
          <w:color w:val="auto"/>
        </w:rPr>
      </w:pPr>
    </w:p>
    <w:p>
      <w:pPr>
        <w:ind w:left="660" w:right="80" w:hanging="652"/>
        <w:spacing w:after="0" w:line="234" w:lineRule="auto"/>
        <w:tabs>
          <w:tab w:leader="none" w:pos="65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Withholding</w:t>
      </w:r>
      <w:r>
        <w:rPr>
          <w:rFonts w:ascii="Arial" w:cs="Arial" w:eastAsia="Arial" w:hAnsi="Arial"/>
          <w:sz w:val="22"/>
          <w:szCs w:val="22"/>
          <w:color w:val="auto"/>
        </w:rPr>
        <w:t>. The Company shall be authorized to withhold from any Awards granted or any transfer made</w:t>
      </w:r>
      <w:r>
        <w:rPr>
          <w:rFonts w:ascii="Arial" w:cs="Arial" w:eastAsia="Arial" w:hAnsi="Arial"/>
          <w:sz w:val="22"/>
          <w:szCs w:val="22"/>
          <w:i w:val="1"/>
          <w:iCs w:val="1"/>
          <w:color w:val="auto"/>
        </w:rPr>
        <w:t xml:space="preserve"> </w:t>
      </w:r>
      <w:r>
        <w:rPr>
          <w:rFonts w:ascii="Arial" w:cs="Arial" w:eastAsia="Arial" w:hAnsi="Arial"/>
          <w:sz w:val="22"/>
          <w:szCs w:val="22"/>
          <w:color w:val="auto"/>
        </w:rPr>
        <w:t>under any Award or under the Plan or 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72" w:lineRule="exact"/>
        <w:rPr>
          <w:rFonts w:ascii="Arial" w:cs="Arial" w:eastAsia="Arial" w:hAnsi="Arial"/>
          <w:sz w:val="22"/>
          <w:szCs w:val="22"/>
          <w:color w:val="auto"/>
        </w:rPr>
      </w:pPr>
    </w:p>
    <w:p>
      <w:pPr>
        <w:ind w:left="660" w:right="120" w:hanging="652"/>
        <w:spacing w:after="0" w:line="238" w:lineRule="auto"/>
        <w:tabs>
          <w:tab w:leader="none" w:pos="649"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No Right to Continued Board Membership</w:t>
      </w:r>
      <w:r>
        <w:rPr>
          <w:rFonts w:ascii="Arial" w:cs="Arial" w:eastAsia="Arial" w:hAnsi="Arial"/>
          <w:sz w:val="22"/>
          <w:szCs w:val="22"/>
          <w:color w:val="auto"/>
        </w:rPr>
        <w:t>. The grant of an Award or establishment of an Account shall not be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as giving a 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68" w:lineRule="exact"/>
        <w:rPr>
          <w:rFonts w:ascii="Arial" w:cs="Arial" w:eastAsia="Arial" w:hAnsi="Arial"/>
          <w:sz w:val="22"/>
          <w:szCs w:val="22"/>
          <w:color w:val="auto"/>
        </w:rPr>
      </w:pPr>
    </w:p>
    <w:p>
      <w:pPr>
        <w:ind w:left="660" w:right="120" w:hanging="652"/>
        <w:spacing w:after="0" w:line="269" w:lineRule="auto"/>
        <w:tabs>
          <w:tab w:leader="none" w:pos="649"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409A Compliance</w:t>
      </w:r>
      <w:r>
        <w:rPr>
          <w:rFonts w:ascii="Arial" w:cs="Arial" w:eastAsia="Arial" w:hAnsi="Arial"/>
          <w:sz w:val="21"/>
          <w:szCs w:val="21"/>
          <w:color w:val="auto"/>
        </w:rPr>
        <w:t>. The Company makes no representations or covenants that any Award granted or Deferred</w:t>
      </w:r>
      <w:r>
        <w:rPr>
          <w:rFonts w:ascii="Arial" w:cs="Arial" w:eastAsia="Arial" w:hAnsi="Arial"/>
          <w:sz w:val="21"/>
          <w:szCs w:val="21"/>
          <w:i w:val="1"/>
          <w:iCs w:val="1"/>
          <w:color w:val="auto"/>
        </w:rPr>
        <w:t xml:space="preserve"> </w:t>
      </w:r>
      <w:r>
        <w:rPr>
          <w:rFonts w:ascii="Arial" w:cs="Arial" w:eastAsia="Arial" w:hAnsi="Arial"/>
          <w:sz w:val="21"/>
          <w:szCs w:val="21"/>
          <w:color w:val="auto"/>
        </w:rPr>
        <w:t>Compensation arrangement maintained under the Plan will comply with Section 409A of the Code.</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 EFFECTIVE DATE OF THE PLAN.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The Plan shall be effective as of the date of its approval by the stockholders of the Company.</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 TERM OF THE PLAN.</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13 to amend, alter, adjust, suspend, discontinue, or terminate any such Award or Account, or to waive any conditions or rights thereunder,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37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2024</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19"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2024</w:t>
      </w:r>
    </w:p>
    <w:p>
      <w:pPr>
        <w:spacing w:after="0" w:line="26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ind w:firstLine="494"/>
        <w:spacing w:after="0" w:line="268" w:lineRule="auto"/>
        <w:tabs>
          <w:tab w:leader="none" w:pos="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24, 2024</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03"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71" w:lineRule="exact"/>
        <w:rPr>
          <w:sz w:val="20"/>
          <w:szCs w:val="20"/>
          <w:color w:val="auto"/>
        </w:rPr>
      </w:pPr>
    </w:p>
    <w:p>
      <w:pPr>
        <w:ind w:firstLine="494"/>
        <w:spacing w:after="0" w:line="268" w:lineRule="auto"/>
        <w:tabs>
          <w:tab w:leader="none" w:pos="6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24, 2024</w:t>
      </w:r>
    </w:p>
    <w:p>
      <w:pPr>
        <w:spacing w:after="0" w:line="30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9"/>
    </w:lvl>
  </w:abstractNum>
  <w:abstractNum w:abstractNumId="12">
    <w:nsid w:val="614FD4A1"/>
    <w:multiLevelType w:val="hybridMultilevel"/>
    <w:lvl w:ilvl="0">
      <w:lvlJc w:val="left"/>
      <w:lvlText w:val="%1."/>
      <w:numFmt w:val="decimal"/>
      <w:start w:val="1"/>
    </w:lvl>
    <w:lvl w:ilvl="1">
      <w:lvlJc w:val="left"/>
      <w:lvlText w:val="%2."/>
      <w:numFmt w:val="lowerRoman"/>
      <w:start w:val="1"/>
    </w:lvl>
  </w:abstractNum>
  <w:abstractNum w:abstractNumId="13">
    <w:nsid w:val="419AC241"/>
    <w:multiLevelType w:val="hybridMultilevel"/>
    <w:lvl w:ilvl="0">
      <w:lvlJc w:val="left"/>
      <w:lvlText w:val="%1."/>
      <w:numFmt w:val="decimal"/>
      <w:start w:val="2"/>
    </w:lvl>
  </w:abstractNum>
  <w:abstractNum w:abstractNumId="14">
    <w:nsid w:val="5577F8E1"/>
    <w:multiLevelType w:val="hybridMultilevel"/>
    <w:lvl w:ilvl="0">
      <w:lvlJc w:val="left"/>
      <w:lvlText w:val="•"/>
      <w:numFmt w:val="bullet"/>
      <w:start w:val="1"/>
    </w:lvl>
    <w:lvl w:ilvl="1">
      <w:lvlJc w:val="left"/>
      <w:lvlText w:val="◦"/>
      <w:numFmt w:val="bullet"/>
      <w:start w:val="1"/>
    </w:lvl>
  </w:abstractNum>
  <w:abstractNum w:abstractNumId="15">
    <w:nsid w:val="440BADFC"/>
    <w:multiLevelType w:val="hybridMultilevel"/>
    <w:lvl w:ilvl="0">
      <w:lvlJc w:val="left"/>
      <w:lvlText w:val="•"/>
      <w:numFmt w:val="bullet"/>
      <w:start w:val="1"/>
    </w:lvl>
    <w:lvl w:ilvl="1">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
      <w:numFmt w:val="bullet"/>
      <w:start w:val="1"/>
    </w:lvl>
    <w:lvl w:ilvl="1">
      <w:lvlJc w:val="left"/>
      <w:lvlText w:val="%2"/>
      <w:numFmt w:val="decimal"/>
      <w:start w:val="104"/>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Letter"/>
      <w:start w:val="1"/>
    </w:lvl>
    <w:lvl w:ilvl="1">
      <w:lvlJc w:val="left"/>
      <w:lvlText w:val="(%2)"/>
      <w:numFmt w:val="lowerRoman"/>
      <w:start w:val="1"/>
    </w:lvl>
  </w:abstractNum>
  <w:abstractNum w:abstractNumId="21">
    <w:nsid w:val="2463B9EA"/>
    <w:multiLevelType w:val="hybridMultilevel"/>
    <w:lvl w:ilvl="0">
      <w:lvlJc w:val="left"/>
      <w:lvlText w:val="(%1)"/>
      <w:numFmt w:val="lowerRoman"/>
      <w:start w:val="2"/>
    </w:lvl>
  </w:abstractNum>
  <w:abstractNum w:abstractNumId="22">
    <w:nsid w:val="5E884ADC"/>
    <w:multiLevelType w:val="hybridMultilevel"/>
    <w:lvl w:ilvl="0">
      <w:lvlJc w:val="left"/>
      <w:lvlText w:val="%1"/>
      <w:numFmt w:val="lowerLetter"/>
      <w:start w:val="1"/>
    </w:lvl>
    <w:lvl w:ilvl="1">
      <w:lvlJc w:val="left"/>
      <w:lvlText w:val="(%2)"/>
      <w:numFmt w:val="lowerLetter"/>
      <w:start w:val="22"/>
    </w:lvl>
  </w:abstractNum>
  <w:abstractNum w:abstractNumId="23">
    <w:nsid w:val="51EAD36B"/>
    <w:multiLevelType w:val="hybridMultilevel"/>
    <w:lvl w:ilvl="0">
      <w:lvlJc w:val="left"/>
      <w:lvlText w:val="(%1)"/>
      <w:numFmt w:val="lowerLetter"/>
      <w:start w:val="8"/>
    </w:lvl>
    <w:lvl w:ilvl="1">
      <w:lvlJc w:val="left"/>
      <w:lvlText w:val="%2"/>
      <w:numFmt w:val="lowerLetter"/>
      <w:start w:val="1"/>
    </w:lvl>
  </w:abstractNum>
  <w:abstractNum w:abstractNumId="24">
    <w:nsid w:val="2D517796"/>
    <w:multiLevelType w:val="hybridMultilevel"/>
    <w:lvl w:ilvl="0">
      <w:lvlJc w:val="left"/>
      <w:lvlText w:val="(%1)"/>
      <w:numFmt w:val="lowerLetter"/>
      <w:start w:val="10"/>
    </w:lvl>
  </w:abstractNum>
  <w:abstractNum w:abstractNumId="25">
    <w:nsid w:val="580BD78F"/>
    <w:multiLevelType w:val="hybridMultilevel"/>
    <w:lvl w:ilvl="0">
      <w:lvlJc w:val="left"/>
      <w:lvlText w:val="(%1)"/>
      <w:numFmt w:val="lowerLetter"/>
      <w:start w:val="23"/>
    </w:lvl>
    <w:lvl w:ilvl="1">
      <w:lvlJc w:val="left"/>
      <w:lvlText w:val="(%2)"/>
      <w:numFmt w:val="lowerRoman"/>
      <w:start w:val="1"/>
    </w:lvl>
  </w:abstractNum>
  <w:abstractNum w:abstractNumId="26">
    <w:nsid w:val="153EA438"/>
    <w:multiLevelType w:val="hybridMultilevel"/>
    <w:lvl w:ilvl="0">
      <w:lvlJc w:val="left"/>
      <w:lvlText w:val="%1"/>
      <w:numFmt w:val="lowerLetter"/>
      <w:start w:val="1"/>
    </w:lvl>
    <w:lvl w:ilvl="1">
      <w:lvlJc w:val="left"/>
      <w:lvlText w:val="(%2)"/>
      <w:numFmt w:val="lowerRoman"/>
      <w:start w:val="1"/>
    </w:lvl>
  </w:abstractNum>
  <w:abstractNum w:abstractNumId="27">
    <w:nsid w:val="3855585C"/>
    <w:multiLevelType w:val="hybridMultilevel"/>
    <w:lvl w:ilvl="0">
      <w:lvlJc w:val="left"/>
      <w:lvlText w:val="(%1)"/>
      <w:numFmt w:val="lowerLetter"/>
      <w:start w:val="26"/>
    </w:lvl>
    <w:lvl w:ilvl="1">
      <w:lvlJc w:val="left"/>
      <w:lvlText w:val="%2"/>
      <w:numFmt w:val="lowerRoman"/>
      <w:start w:val="1"/>
    </w:lvl>
  </w:abstractNum>
  <w:abstractNum w:abstractNumId="28">
    <w:nsid w:val="70A64E2A"/>
    <w:multiLevelType w:val="hybridMultilevel"/>
    <w:lvl w:ilvl="0">
      <w:lvlJc w:val="left"/>
      <w:lvlText w:val="(%1)"/>
      <w:numFmt w:val="lowerLetter"/>
      <w:start w:val="27"/>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4"/>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lowerLetter"/>
      <w:start w:val="1"/>
    </w:lvl>
    <w:lvl w:ilvl="1">
      <w:lvlJc w:val="left"/>
      <w:lvlText w:val="(%2)"/>
      <w:numFmt w:val="lowerRoman"/>
      <w:start w:val="1"/>
    </w:lvl>
  </w:abstractNum>
  <w:abstractNum w:abstractNumId="35">
    <w:nsid w:val="7A6D8D3C"/>
    <w:multiLevelType w:val="hybridMultilevel"/>
    <w:lvl w:ilvl="0">
      <w:lvlJc w:val="left"/>
      <w:lvlText w:val="%1"/>
      <w:numFmt w:val="lowerLetter"/>
      <w:start w:val="1"/>
    </w:lvl>
    <w:lvl w:ilvl="1">
      <w:lvlJc w:val="left"/>
      <w:lvlText w:val="(%2)"/>
      <w:numFmt w:val="lowerRoman"/>
      <w:start w:val="4"/>
    </w:lvl>
  </w:abstractNum>
  <w:abstractNum w:abstractNumId="36">
    <w:nsid w:val="4B588F54"/>
    <w:multiLevelType w:val="hybridMultilevel"/>
    <w:lvl w:ilvl="0">
      <w:lvlJc w:val="left"/>
      <w:lvlText w:val="(%1)"/>
      <w:numFmt w:val="lowerLetter"/>
      <w:start w:val="5"/>
    </w:lvl>
    <w:lvl w:ilvl="1">
      <w:lvlJc w:val="left"/>
      <w:lvlText w:val="%2"/>
      <w:numFmt w:val="lowerRoman"/>
      <w:start w:val="1"/>
    </w:lvl>
  </w:abstractNum>
  <w:abstractNum w:abstractNumId="37">
    <w:nsid w:val="542289EC"/>
    <w:multiLevelType w:val="hybridMultilevel"/>
    <w:lvl w:ilvl="0">
      <w:lvlJc w:val="left"/>
      <w:lvlText w:val="(%1)"/>
      <w:numFmt w:val="lowerLetter"/>
      <w:start w:val="1"/>
    </w:lvl>
    <w:lvl w:ilvl="1">
      <w:lvlJc w:val="left"/>
      <w:lvlText w:val="(%2)"/>
      <w:numFmt w:val="lowerRoman"/>
      <w:start w:val="1"/>
    </w:lvl>
  </w:abstractNum>
  <w:abstractNum w:abstractNumId="38">
    <w:nsid w:val="6DE91B18"/>
    <w:multiLevelType w:val="hybridMultilevel"/>
    <w:lvl w:ilvl="0">
      <w:lvlJc w:val="left"/>
      <w:lvlText w:val="%1"/>
      <w:numFmt w:val="lowerLetter"/>
      <w:start w:val="1"/>
    </w:lvl>
    <w:lvl w:ilvl="1">
      <w:lvlJc w:val="left"/>
      <w:lvlText w:val="(%2)"/>
      <w:numFmt w:val="lowerRoman"/>
      <w:start w:val="4"/>
    </w:lvl>
  </w:abstractNum>
  <w:abstractNum w:abstractNumId="39">
    <w:nsid w:val="38437FDB"/>
    <w:multiLevelType w:val="hybridMultilevel"/>
    <w:lvl w:ilvl="0">
      <w:lvlJc w:val="left"/>
      <w:lvlText w:val="(%1)"/>
      <w:numFmt w:val="lowerLetter"/>
      <w:start w:val="3"/>
    </w:lvl>
    <w:lvl w:ilvl="1">
      <w:lvlJc w:val="left"/>
      <w:lvlText w:val="%2"/>
      <w:numFmt w:val="lowerRoman"/>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2"/>
    </w:lvl>
  </w:abstractNum>
  <w:abstractNum w:abstractNumId="42">
    <w:nsid w:val="684A481A"/>
    <w:multiLevelType w:val="hybridMultilevel"/>
    <w:lvl w:ilvl="0">
      <w:lvlJc w:val="left"/>
      <w:lvlText w:val="(%1)"/>
      <w:numFmt w:val="lowerLetter"/>
      <w:start w:val="1"/>
    </w:lvl>
    <w:lvl w:ilvl="1">
      <w:lvlJc w:val="left"/>
      <w:lvlText w:val="(%2)"/>
      <w:numFmt w:val="lowerLetter"/>
      <w:start w:val="9"/>
    </w:lvl>
  </w:abstractNum>
  <w:abstractNum w:abstractNumId="43">
    <w:nsid w:val="579478FE"/>
    <w:multiLevelType w:val="hybridMultilevel"/>
    <w:lvl w:ilvl="0">
      <w:lvlJc w:val="left"/>
      <w:lvlText w:val="(%1)"/>
      <w:numFmt w:val="lowerRoman"/>
      <w:start w:val="2"/>
    </w:lvl>
  </w:abstractNum>
  <w:abstractNum w:abstractNumId="44">
    <w:nsid w:val="749ABB43"/>
    <w:multiLevelType w:val="hybridMultilevel"/>
    <w:lvl w:ilvl="0">
      <w:lvlJc w:val="left"/>
      <w:lvlText w:val="(%1)"/>
      <w:numFmt w:val="lowerLetter"/>
      <w:start w:val="3"/>
    </w:lvl>
    <w:lvl w:ilvl="1">
      <w:lvlJc w:val="left"/>
      <w:lvlText w:val="(%2)"/>
      <w:numFmt w:val="lowerRoman"/>
      <w:start w:val="1"/>
    </w:lvl>
  </w:abstractNum>
  <w:abstractNum w:abstractNumId="45">
    <w:nsid w:val="3DC240FB"/>
    <w:multiLevelType w:val="hybridMultilevel"/>
    <w:lvl w:ilvl="0">
      <w:lvlJc w:val="left"/>
      <w:lvlText w:val="(%1)"/>
      <w:numFmt w:val="lowerLetter"/>
      <w:start w:val="8"/>
    </w:lvl>
    <w:lvl w:ilvl="1">
      <w:lvlJc w:val="left"/>
      <w:lvlText w:val="(%2)"/>
      <w:numFmt w:val="lowerRoman"/>
      <w:start w:val="1"/>
    </w:lvl>
  </w:abstractNum>
  <w:abstractNum w:abstractNumId="46">
    <w:nsid w:val="1BA026FA"/>
    <w:multiLevelType w:val="hybridMultilevel"/>
    <w:lvl w:ilvl="0">
      <w:lvlJc w:val="left"/>
      <w:lvlText w:val="(%1)"/>
      <w:numFmt w:val="lowerLetter"/>
      <w:start w:val="9"/>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2"/>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7"/>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1" Type="http://schemas.openxmlformats.org/officeDocument/2006/relationships/hyperlink" Target="https://www.sec.gov/Archives/edgar/data/97476/000009747615000003/txn-12312014xexhibit3a.htm" TargetMode="External"/><Relationship Id="rId42"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2024-07-24T08:35:29Z</dcterms:created>
  <dcterms:modified xsi:type="dcterms:W3CDTF">2024-07-24T08:35:29Z</dcterms:modified>
</cp:coreProperties>
</file>