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882508104</w:t>
      </w:r>
    </w:p>
    <w:p>
      <w:pPr>
        <w:spacing w:after="0"/>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ectPr>
          <w:pgSz w:w="11900" w:h="16838" w:orient="portrait"/>
          <w:cols w:equalWidth="0" w:num="1">
            <w:col w:w="10219"/>
          </w:cols>
          <w:pgMar w:left="240" w:top="649" w:right="1440" w:bottom="0" w:gutter="0" w:footer="0" w:header="0"/>
        </w:sect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517,676</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8,353,555</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8,353,555</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10.05%</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5160" w:space="220"/>
            <w:col w:w="483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8,353,555</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8,353,555</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10.05%</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13500 North Central Expressway, P.O. Box 655474</w:t>
      </w: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882508104</w:t>
      </w:r>
    </w:p>
    <w:p>
      <w:pPr>
        <w:spacing w:after="0" w:line="207"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w:t>
      </w:r>
    </w:p>
    <w:p>
      <w:pPr>
        <w:spacing w:after="0" w:line="6" w:lineRule="exact"/>
        <w:rPr>
          <w:sz w:val="24"/>
          <w:szCs w:val="24"/>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holding company in accordance with Section 240.13d-1(b)(ii)(G). (Note: See Item 7).</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8,353,555</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10.05%</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517,676</w:t>
      </w:r>
    </w:p>
    <w:p>
      <w:pPr>
        <w:spacing w:after="0" w:line="207"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6"/>
          <w:szCs w:val="16"/>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w:t>
      </w:r>
      <w:r>
        <w:rPr>
          <w:rFonts w:ascii="Courier New" w:cs="Courier New" w:eastAsia="Courier New" w:hAnsi="Courier New"/>
          <w:sz w:val="16"/>
          <w:szCs w:val="16"/>
          <w:color w:val="auto"/>
        </w:rPr>
        <w:t>8,353,555</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4199" w:firstLine="948"/>
        <w:spacing w:after="0" w:line="235"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w:t>
      </w:r>
    </w:p>
    <w:p>
      <w:pPr>
        <w:spacing w:after="0" w:line="6" w:lineRule="exact"/>
        <w:rPr>
          <w:sz w:val="20"/>
          <w:szCs w:val="20"/>
          <w:color w:val="auto"/>
        </w:rPr>
      </w:pPr>
    </w:p>
    <w:p>
      <w:pPr>
        <w:ind w:right="4939"/>
        <w:spacing w:after="0" w:line="272" w:lineRule="auto"/>
        <w:rPr>
          <w:sz w:val="20"/>
          <w:szCs w:val="20"/>
          <w:color w:val="auto"/>
        </w:rPr>
      </w:pPr>
      <w:r>
        <w:rPr>
          <w:rFonts w:ascii="Courier New" w:cs="Courier New" w:eastAsia="Courier New" w:hAnsi="Courier New"/>
          <w:sz w:val="16"/>
          <w:szCs w:val="16"/>
          <w:color w:val="auto"/>
        </w:rPr>
        <w:t>the proceeds from the sale of, the common stock of Texas Instruments Incorporated. The interest of one person, Fidelity Magellan Fund, an investment company registered under the Investment Company Act of 1940, in the common stock of Texas Instruments Incorporated, amounted to 4,804,500 shares or 5.78% of the total outstanding common stock at December 31, 1993.</w:t>
      </w:r>
    </w:p>
    <w:p>
      <w:pPr>
        <w:spacing w:after="0" w:line="385"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999" w:firstLine="948"/>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w:t>
      </w:r>
    </w:p>
    <w:p>
      <w:pPr>
        <w:spacing w:after="0" w:line="6"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419" w:firstLine="948"/>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335"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3579" w:firstLine="421"/>
        <w:spacing w:after="0" w:line="270"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7,547,949 shares or 9.08% of the common stock outstanding of Texas Instruments Incorporated ("the Company") as a result of acting as investment adviser to several investment companies registered under Section 8 of the Investment Company Act of 1940. The number of shares of common stock of Texas Instruments Incorporated owned by the investment companies at December 31, 1993 included 120,660 shares of common stock resulting from the assumed conversion of $10,000 principal amount of the 2.75% EuroConvertible Debentures</w:t>
      </w:r>
    </w:p>
    <w:p>
      <w:pPr>
        <w:spacing w:after="0" w:line="18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(12.066 shares of common stock for each $1,000 principal amount of the debentures).</w:t>
      </w:r>
    </w:p>
    <w:p>
      <w:pPr>
        <w:spacing w:after="0" w:line="208" w:lineRule="exact"/>
        <w:rPr>
          <w:sz w:val="20"/>
          <w:szCs w:val="20"/>
          <w:color w:val="auto"/>
        </w:rPr>
      </w:pPr>
    </w:p>
    <w:p>
      <w:pPr>
        <w:ind w:right="3579" w:firstLine="421"/>
        <w:spacing w:after="0" w:line="275" w:lineRule="auto"/>
        <w:rPr>
          <w:sz w:val="20"/>
          <w:szCs w:val="20"/>
          <w:color w:val="auto"/>
        </w:rPr>
      </w:pPr>
      <w:r>
        <w:rPr>
          <w:rFonts w:ascii="Courier New" w:cs="Courier New" w:eastAsia="Courier New" w:hAnsi="Courier New"/>
          <w:sz w:val="16"/>
          <w:szCs w:val="16"/>
          <w:color w:val="auto"/>
        </w:rPr>
        <w:t>The ownership of one investment company, Fidelity Magellan Fund, amounted to 4,804,500 shares or 5.78% of the common stock outstanding. Fidelity Magellan Fund has its principal business office at 82 Devonshire Street, Boston, Massachusetts 02109.</w:t>
      </w:r>
    </w:p>
    <w:p>
      <w:pPr>
        <w:spacing w:after="0" w:line="182" w:lineRule="exact"/>
        <w:rPr>
          <w:sz w:val="20"/>
          <w:szCs w:val="20"/>
          <w:color w:val="auto"/>
        </w:rPr>
      </w:pPr>
    </w:p>
    <w:p>
      <w:pPr>
        <w:ind w:right="3779" w:firstLine="421"/>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7,547,949 shares owned by the Funds.</w:t>
      </w:r>
    </w:p>
    <w:p>
      <w:pPr>
        <w:spacing w:after="0" w:line="209"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727,206 shares or 0.87% of the common stock outstanding of the company as a result of its serving as investment manager of the institutional account(s).</w:t>
      </w:r>
    </w:p>
    <w:p>
      <w:pPr>
        <w:spacing w:after="0" w:line="211"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dispositive power over 727,206 Shares and sole power to vote or to direct the voting of 439,276 shares, and no power to vote or to direct the voting of 287,930 Shares of common stock owned by the institutional account(s) as reported above.</w:t>
      </w:r>
    </w:p>
    <w:p>
      <w:pPr>
        <w:spacing w:after="0" w:line="210" w:lineRule="exact"/>
        <w:rPr>
          <w:sz w:val="20"/>
          <w:szCs w:val="20"/>
          <w:color w:val="auto"/>
        </w:rPr>
      </w:pPr>
    </w:p>
    <w:p>
      <w:pPr>
        <w:ind w:right="3779" w:firstLine="421"/>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11" w:lineRule="exact"/>
        <w:rPr>
          <w:sz w:val="20"/>
          <w:szCs w:val="20"/>
          <w:color w:val="auto"/>
        </w:rPr>
      </w:pPr>
    </w:p>
    <w:p>
      <w:pPr>
        <w:ind w:right="3579" w:firstLine="421"/>
        <w:spacing w:after="0" w:line="271"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78,400 shares or 0.09% of the common stock outstanding of the company. Additional information with respect to the beneficial ownership of Fidelity International Limited is shown on Exhibit B, page 10.</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the beneficial owner of 78,400 shares or 0.09% of the common stock outstanding of Texas Instruments Incorporated.</w:t>
      </w:r>
    </w:p>
    <w:p>
      <w:pPr>
        <w:spacing w:after="0" w:line="214" w:lineRule="exact"/>
        <w:rPr>
          <w:sz w:val="20"/>
          <w:szCs w:val="20"/>
          <w:color w:val="auto"/>
        </w:rPr>
      </w:pPr>
    </w:p>
    <w:p>
      <w:pPr>
        <w:ind w:right="3579" w:firstLine="421"/>
        <w:spacing w:after="0" w:line="271" w:lineRule="auto"/>
        <w:rPr>
          <w:sz w:val="20"/>
          <w:szCs w:val="20"/>
          <w:color w:val="auto"/>
        </w:rPr>
      </w:pPr>
      <w:r>
        <w:rPr>
          <w:rFonts w:ascii="Courier New" w:cs="Courier New" w:eastAsia="Courier New" w:hAnsi="Courier New"/>
          <w:sz w:val="16"/>
          <w:szCs w:val="16"/>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186"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48.879%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Their investment decisions are made independently, and their clients are different organizations.</w:t>
      </w:r>
    </w:p>
    <w:p>
      <w:pPr>
        <w:spacing w:after="0" w:line="215" w:lineRule="exact"/>
        <w:rPr>
          <w:sz w:val="20"/>
          <w:szCs w:val="20"/>
          <w:color w:val="auto"/>
        </w:rPr>
      </w:pPr>
    </w:p>
    <w:p>
      <w:pPr>
        <w:ind w:right="3579" w:firstLine="421"/>
        <w:spacing w:after="0" w:line="270" w:lineRule="auto"/>
        <w:rPr>
          <w:sz w:val="20"/>
          <w:szCs w:val="20"/>
          <w:color w:val="auto"/>
        </w:rPr>
      </w:pPr>
      <w:r>
        <w:rPr>
          <w:rFonts w:ascii="Courier New" w:cs="Courier New" w:eastAsia="Courier New" w:hAnsi="Courier New"/>
          <w:sz w:val="16"/>
          <w:szCs w:val="16"/>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392" w:lineRule="exact"/>
        <w:rPr>
          <w:sz w:val="20"/>
          <w:szCs w:val="20"/>
          <w:color w:val="auto"/>
        </w:rPr>
      </w:pPr>
    </w:p>
    <w:p>
      <w:pPr>
        <w:ind w:right="3579" w:firstLine="421"/>
        <w:spacing w:after="0" w:line="273" w:lineRule="auto"/>
        <w:rPr>
          <w:sz w:val="20"/>
          <w:szCs w:val="20"/>
          <w:color w:val="auto"/>
        </w:rPr>
      </w:pPr>
      <w:r>
        <w:rPr>
          <w:rFonts w:ascii="Courier New" w:cs="Courier New" w:eastAsia="Courier New" w:hAnsi="Courier New"/>
          <w:sz w:val="16"/>
          <w:szCs w:val="16"/>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185"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5" w:lineRule="exact"/>
        <w:rPr>
          <w:sz w:val="20"/>
          <w:szCs w:val="20"/>
          <w:color w:val="auto"/>
        </w:rPr>
      </w:pPr>
    </w:p>
    <w:p>
      <w:pPr>
        <w:ind w:right="3579" w:firstLine="421"/>
        <w:spacing w:after="0" w:line="238"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7" w:lineRule="exact"/>
        <w:rPr>
          <w:sz w:val="20"/>
          <w:szCs w:val="20"/>
          <w:color w:val="auto"/>
        </w:rPr>
      </w:pPr>
    </w:p>
    <w:p>
      <w:pPr>
        <w:ind w:right="4319" w:firstLine="421"/>
        <w:spacing w:after="0" w:line="235" w:lineRule="auto"/>
        <w:rPr>
          <w:sz w:val="20"/>
          <w:szCs w:val="20"/>
          <w:color w:val="auto"/>
        </w:rPr>
      </w:pPr>
      <w:r>
        <w:rPr>
          <w:rFonts w:ascii="Courier New" w:cs="Courier New" w:eastAsia="Courier New" w:hAnsi="Courier New"/>
          <w:sz w:val="18"/>
          <w:szCs w:val="18"/>
          <w:color w:val="auto"/>
        </w:rPr>
        <w:t>FIL has the sole power to vote and the sole power to dispose of the shares.</w:t>
      </w:r>
    </w:p>
    <w:p>
      <w:pPr>
        <w:sectPr>
          <w:pgSz w:w="11900" w:h="16838" w:orient="portrait"/>
          <w:cols w:equalWidth="0" w:num="1">
            <w:col w:w="10219"/>
          </w:cols>
          <w:pgMar w:left="240" w:top="339" w:right="1440" w:bottom="134"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899" w:firstLine="421"/>
        <w:spacing w:after="0" w:line="268" w:lineRule="auto"/>
        <w:rPr>
          <w:sz w:val="20"/>
          <w:szCs w:val="20"/>
          <w:color w:val="auto"/>
        </w:rPr>
      </w:pPr>
      <w:r>
        <w:rPr>
          <w:rFonts w:ascii="Courier New" w:cs="Courier New" w:eastAsia="Courier New" w:hAnsi="Courier New"/>
          <w:sz w:val="16"/>
          <w:szCs w:val="16"/>
          <w:color w:val="auto"/>
        </w:rPr>
        <w:t>The undersigned persons, on February 11, 1994, agree and consent to the joint filing on their behalf of this Schedule</w:t>
      </w:r>
    </w:p>
    <w:p>
      <w:pPr>
        <w:ind w:right="3579"/>
        <w:spacing w:after="0" w:line="290" w:lineRule="auto"/>
        <w:rPr>
          <w:sz w:val="20"/>
          <w:szCs w:val="20"/>
          <w:color w:val="auto"/>
        </w:rPr>
      </w:pPr>
      <w:r>
        <w:rPr>
          <w:rFonts w:ascii="Courier New" w:cs="Courier New" w:eastAsia="Courier New" w:hAnsi="Courier New"/>
          <w:sz w:val="16"/>
          <w:szCs w:val="16"/>
          <w:color w:val="auto"/>
        </w:rPr>
        <w:t>13G in connection with their beneficial ownership of the common stock of Texas Instruments Incorporated at December 31, 1993.</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960"/>
        <w:spacing w:after="0" w:line="238" w:lineRule="auto"/>
        <w:rPr>
          <w:sz w:val="20"/>
          <w:szCs w:val="20"/>
          <w:color w:val="auto"/>
        </w:rPr>
      </w:pPr>
      <w:r>
        <w:rPr>
          <w:rFonts w:ascii="Courier New" w:cs="Courier New" w:eastAsia="Courier New" w:hAnsi="Courier New"/>
          <w:sz w:val="18"/>
          <w:szCs w:val="18"/>
          <w:color w:val="auto"/>
        </w:rPr>
        <w:t>Edward C. Johnson 3d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7"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w:t>
      </w:r>
    </w:p>
    <w:p>
      <w:pPr>
        <w:spacing w:after="0" w:line="237" w:lineRule="auto"/>
        <w:rPr>
          <w:sz w:val="20"/>
          <w:szCs w:val="20"/>
          <w:color w:val="auto"/>
        </w:rPr>
      </w:pPr>
      <w:r>
        <w:rPr>
          <w:rFonts w:ascii="Courier New" w:cs="Courier New" w:eastAsia="Courier New" w:hAnsi="Courier New"/>
          <w:sz w:val="18"/>
          <w:szCs w:val="18"/>
          <w:color w:val="auto"/>
        </w:rPr>
        <w:t>13G for</w:t>
      </w:r>
    </w:p>
    <w:p>
      <w:pPr>
        <w:spacing w:after="0" w:line="238" w:lineRule="auto"/>
        <w:rPr>
          <w:sz w:val="20"/>
          <w:szCs w:val="20"/>
          <w:color w:val="auto"/>
        </w:rPr>
      </w:pPr>
      <w:r>
        <w:rPr>
          <w:rFonts w:ascii="Courier New" w:cs="Courier New" w:eastAsia="Courier New" w:hAnsi="Courier New"/>
          <w:sz w:val="18"/>
          <w:szCs w:val="18"/>
          <w:color w:val="auto"/>
        </w:rPr>
        <w:t>Airborne Freight Corp.</w:t>
      </w:r>
    </w:p>
    <w:p>
      <w:pPr>
        <w:spacing w:after="0"/>
        <w:rPr>
          <w:sz w:val="20"/>
          <w:szCs w:val="20"/>
          <w:color w:val="auto"/>
        </w:rPr>
      </w:pPr>
      <w:r>
        <w:rPr>
          <w:rFonts w:ascii="Courier New" w:cs="Courier New" w:eastAsia="Courier New" w:hAnsi="Courier New"/>
          <w:sz w:val="18"/>
          <w:szCs w:val="18"/>
          <w:color w:val="auto"/>
        </w:rPr>
        <w:t>9/10/91</w:t>
      </w:r>
    </w:p>
    <w:p>
      <w:pPr>
        <w:ind w:left="420"/>
        <w:spacing w:after="0" w:line="237" w:lineRule="auto"/>
        <w:rPr>
          <w:sz w:val="20"/>
          <w:szCs w:val="20"/>
          <w:color w:val="auto"/>
        </w:rPr>
      </w:pPr>
      <w:r>
        <w:rPr>
          <w:rFonts w:ascii="Courier New" w:cs="Courier New" w:eastAsia="Courier New" w:hAnsi="Courier New"/>
          <w:sz w:val="18"/>
          <w:szCs w:val="18"/>
          <w:color w:val="auto"/>
        </w:rPr>
        <w:t>Fidelity Management &amp; Research</w:t>
      </w:r>
    </w:p>
    <w:p>
      <w:pPr>
        <w:spacing w:after="0"/>
        <w:rPr>
          <w:sz w:val="20"/>
          <w:szCs w:val="20"/>
          <w:color w:val="auto"/>
        </w:rPr>
      </w:pPr>
      <w:r>
        <w:rPr>
          <w:rFonts w:ascii="Courier New" w:cs="Courier New" w:eastAsia="Courier New" w:hAnsi="Courier New"/>
          <w:sz w:val="18"/>
          <w:szCs w:val="18"/>
          <w:color w:val="auto"/>
        </w:rPr>
        <w:t>Company</w:t>
      </w:r>
    </w:p>
    <w:p>
      <w:pPr>
        <w:ind w:left="420"/>
        <w:spacing w:after="0" w:line="237"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Sr. V.P. and General</w:t>
      </w:r>
    </w:p>
    <w:p>
      <w:pPr>
        <w:spacing w:after="0" w:line="238" w:lineRule="auto"/>
        <w:rPr>
          <w:sz w:val="20"/>
          <w:szCs w:val="20"/>
          <w:color w:val="auto"/>
        </w:rPr>
      </w:pPr>
      <w:r>
        <w:rPr>
          <w:rFonts w:ascii="Courier New" w:cs="Courier New" w:eastAsia="Courier New" w:hAnsi="Courier New"/>
          <w:sz w:val="18"/>
          <w:szCs w:val="18"/>
          <w:color w:val="auto"/>
        </w:rPr>
        <w:t>Counsel</w:t>
      </w:r>
    </w:p>
    <w:p>
      <w:pPr>
        <w:ind w:left="420"/>
        <w:spacing w:after="0"/>
        <w:rPr>
          <w:sz w:val="20"/>
          <w:szCs w:val="20"/>
          <w:color w:val="auto"/>
        </w:rPr>
      </w:pPr>
      <w:r>
        <w:rPr>
          <w:rFonts w:ascii="Courier New" w:cs="Courier New" w:eastAsia="Courier New" w:hAnsi="Courier New"/>
          <w:sz w:val="18"/>
          <w:szCs w:val="18"/>
          <w:color w:val="auto"/>
        </w:rPr>
        <w:t>Fidelity Magellan Fund</w:t>
      </w:r>
    </w:p>
    <w:p>
      <w:pPr>
        <w:ind w:left="420"/>
        <w:spacing w:after="0" w:line="237"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2)"/>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2019-12-13T07:33:28Z</dcterms:created>
  <dcterms:modified xsi:type="dcterms:W3CDTF">2019-12-13T07:33:28Z</dcterms:modified>
</cp:coreProperties>
</file>