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882508104</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7" w:lineRule="auto"/>
        <w:rPr>
          <w:sz w:val="20"/>
          <w:szCs w:val="20"/>
          <w:color w:val="auto"/>
        </w:rPr>
      </w:pPr>
      <w:r>
        <w:rPr>
          <w:rFonts w:ascii="Courier New" w:cs="Courier New" w:eastAsia="Courier New" w:hAnsi="Courier New"/>
          <w:sz w:val="18"/>
          <w:szCs w:val="18"/>
          <w:color w:val="auto"/>
        </w:rPr>
        <w:t>Item 5: 899,666</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29,209,826</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29,209,826</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7.48%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29,209,826</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29,209,826</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7.48%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882508104</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29,209,826</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29,209,826</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7.48%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Texas Instruments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13500 North Central Expressway, P.O. Box 655474</w:t>
      </w:r>
    </w:p>
    <w:p>
      <w:pPr>
        <w:spacing w:after="0" w:line="16"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Dallas, TX</w:t>
      </w:r>
      <w:r>
        <w:rPr>
          <w:sz w:val="20"/>
          <w:szCs w:val="20"/>
          <w:color w:val="auto"/>
        </w:rPr>
        <w:tab/>
      </w:r>
      <w:r>
        <w:rPr>
          <w:rFonts w:ascii="Courier New" w:cs="Courier New" w:eastAsia="Courier New" w:hAnsi="Courier New"/>
          <w:sz w:val="16"/>
          <w:szCs w:val="16"/>
          <w:color w:val="auto"/>
        </w:rPr>
        <w:t>75265-5474</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882508104</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29,209,826</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7.48%</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899,666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29,209,826</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Texas Instruments Incorporated.</w:t>
      </w:r>
    </w:p>
    <w:p>
      <w:pPr>
        <w:spacing w:after="0" w:line="1"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No one person's interest in the common stock of Texas Instruments Incorporated is more than five percent of the total outstanding common stock.</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Texas Instruments Incorporated at December 31, 1997 is true, complete and correct.</w:t>
      </w:r>
    </w:p>
    <w:p>
      <w:pPr>
        <w:spacing w:after="0" w:line="37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14, 1998</w:t>
      </w:r>
    </w:p>
    <w:p>
      <w:pPr>
        <w:spacing w:after="0" w:line="238" w:lineRule="auto"/>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339"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059"/>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line="238"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pacing w:after="0" w:line="237" w:lineRule="auto"/>
        <w:rPr>
          <w:sz w:val="20"/>
          <w:szCs w:val="20"/>
          <w:color w:val="auto"/>
        </w:rPr>
      </w:pPr>
      <w:r>
        <w:rPr>
          <w:rFonts w:ascii="Courier New" w:cs="Courier New" w:eastAsia="Courier New" w:hAnsi="Courier New"/>
          <w:sz w:val="18"/>
          <w:szCs w:val="18"/>
          <w:color w:val="auto"/>
        </w:rPr>
        <w:t>and indirect</w:t>
      </w:r>
    </w:p>
    <w:p>
      <w:pPr>
        <w:spacing w:after="0"/>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28,059,560 shares or 7.19% of the common stock outstanding of Texas Instruments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28,059,560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1,119,556 shares or 0.29% of the common stock outstanding of the Company as a result of its serving as investment manager of the institutional account(s).</w:t>
      </w: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1,119,556 shares and sole power to vote or to direct the voting of 868,956 shares, and no power to vote or to direct the voting of 250,600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30,710 shares or 0.01% of the common stock outstanding of the Company. Additional information with respect to the beneficial ownership of Fidelity International Limited is shown on Exhibit B, page 1.</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Pursuant to instructions in Item 7 of Schedule 13G, this Exhibit has been</w:t>
      </w:r>
    </w:p>
    <w:p>
      <w:pPr>
        <w:sectPr>
          <w:pgSz w:w="11900" w:h="16838" w:orient="portrait"/>
          <w:cols w:equalWidth="0" w:num="1">
            <w:col w:w="10219"/>
          </w:cols>
          <w:pgMar w:left="240" w:top="541"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prepared to identify Fidelity International Limited, Pembroke Hall, 42 Crow Lane, Hamilton, Bermuda, a Bermudan joint stock company incorporated for an unlimited duration by private act of the Bermuda Legislature (FIL) and an investment adviser to various investment companies (the "International Funds") and certain institutional investors, as a beneficial owner of the 30,710 shares or 0.01% of the common stock outstanding of Texas Instruments Incorporated.</w:t>
      </w:r>
    </w:p>
    <w:p>
      <w:pPr>
        <w:spacing w:after="0" w:line="211"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39.89% of the total votes which may be cast by all holders of FIL voting stock. Mr. Johnson 3d is Chairman of FMR Corp. and FIL. FMR Corp. and FIL are separate and independent corporate entities, and their Boards of Directors are generally composed of different individuals. Other than when one serves as a sub adviser to the other, their investment decisions are made independently, and their clients are generally different organizations.</w:t>
      </w:r>
    </w:p>
    <w:p>
      <w:pPr>
        <w:spacing w:after="0" w:line="212"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FIL has the sole power to vote and the sole power to dispose of 30,710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1998, agree and consent to the joint filing on their behalf of this Schedule 13G in connection with their beneficial ownership of the common stock of Texas Instruments Incorporated at December 31, 1997.</w:t>
      </w: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rPr>
          <w:sz w:val="20"/>
          <w:szCs w:val="20"/>
          <w:color w:val="auto"/>
        </w:rPr>
      </w:pPr>
      <w:r>
        <w:rPr>
          <w:rFonts w:ascii="Courier New" w:cs="Courier New" w:eastAsia="Courier New" w:hAnsi="Courier New"/>
          <w:sz w:val="18"/>
          <w:szCs w:val="18"/>
          <w:color w:val="auto"/>
        </w:rPr>
        <w:t>Eric D. Roiter</w:t>
      </w:r>
    </w:p>
    <w:p>
      <w:pPr>
        <w:spacing w:after="0" w:line="237" w:lineRule="auto"/>
        <w:rPr>
          <w:sz w:val="20"/>
          <w:szCs w:val="20"/>
          <w:color w:val="auto"/>
        </w:rPr>
      </w:pPr>
      <w:r>
        <w:rPr>
          <w:rFonts w:ascii="Courier New" w:cs="Courier New" w:eastAsia="Courier New" w:hAnsi="Courier New"/>
          <w:sz w:val="18"/>
          <w:szCs w:val="18"/>
          <w:color w:val="auto"/>
        </w:rPr>
        <w:t>Duly authorized under of Power</w:t>
      </w:r>
    </w:p>
    <w:p>
      <w:pPr>
        <w:spacing w:after="0" w:line="238" w:lineRule="auto"/>
        <w:rPr>
          <w:sz w:val="20"/>
          <w:szCs w:val="20"/>
          <w:color w:val="auto"/>
        </w:rPr>
      </w:pPr>
      <w:r>
        <w:rPr>
          <w:rFonts w:ascii="Courier New" w:cs="Courier New" w:eastAsia="Courier New" w:hAnsi="Courier New"/>
          <w:sz w:val="18"/>
          <w:szCs w:val="18"/>
          <w:color w:val="auto"/>
        </w:rPr>
        <w:t>of 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FMR Corp. and its direct</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and indirect subsidiaries</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7" w:lineRule="auto"/>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w:t>
      </w:r>
    </w:p>
    <w:p>
      <w:pPr>
        <w:spacing w:after="0"/>
        <w:rPr>
          <w:sz w:val="20"/>
          <w:szCs w:val="20"/>
          <w:color w:val="auto"/>
        </w:rPr>
      </w:pPr>
      <w:r>
        <w:rPr>
          <w:rFonts w:ascii="Courier New" w:cs="Courier New" w:eastAsia="Courier New" w:hAnsi="Courier New"/>
          <w:sz w:val="18"/>
          <w:szCs w:val="18"/>
          <w:color w:val="auto"/>
        </w:rPr>
        <w:t>Attorney</w:t>
      </w:r>
    </w:p>
    <w:p>
      <w:pPr>
        <w:spacing w:after="0" w:line="237" w:lineRule="auto"/>
        <w:rPr>
          <w:sz w:val="20"/>
          <w:szCs w:val="20"/>
          <w:color w:val="auto"/>
        </w:rPr>
      </w:pPr>
      <w:r>
        <w:rPr>
          <w:rFonts w:ascii="Courier New" w:cs="Courier New" w:eastAsia="Courier New" w:hAnsi="Courier New"/>
          <w:sz w:val="18"/>
          <w:szCs w:val="18"/>
          <w:color w:val="auto"/>
        </w:rPr>
        <w:t>dated December 30, 1997, by</w:t>
      </w:r>
    </w:p>
    <w:p>
      <w:pPr>
        <w:spacing w:after="0"/>
        <w:rPr>
          <w:sz w:val="20"/>
          <w:szCs w:val="20"/>
          <w:color w:val="auto"/>
        </w:rPr>
      </w:pPr>
      <w:r>
        <w:rPr>
          <w:rFonts w:ascii="Courier New" w:cs="Courier New" w:eastAsia="Courier New" w:hAnsi="Courier New"/>
          <w:sz w:val="18"/>
          <w:szCs w:val="18"/>
          <w:color w:val="auto"/>
        </w:rPr>
        <w:t>and on behalf</w:t>
      </w:r>
    </w:p>
    <w:p>
      <w:pPr>
        <w:spacing w:after="0" w:line="237" w:lineRule="auto"/>
        <w:rPr>
          <w:sz w:val="20"/>
          <w:szCs w:val="20"/>
          <w:color w:val="auto"/>
        </w:rPr>
      </w:pPr>
      <w:r>
        <w:rPr>
          <w:rFonts w:ascii="Courier New" w:cs="Courier New" w:eastAsia="Courier New" w:hAnsi="Courier New"/>
          <w:sz w:val="18"/>
          <w:szCs w:val="18"/>
          <w:color w:val="auto"/>
        </w:rPr>
        <w:t>of Edward C. Johnson 3d</w:t>
      </w:r>
    </w:p>
    <w:p>
      <w:pPr>
        <w:ind w:left="860"/>
        <w:spacing w:after="0"/>
        <w:rPr>
          <w:sz w:val="20"/>
          <w:szCs w:val="20"/>
          <w:color w:val="auto"/>
        </w:rPr>
      </w:pPr>
      <w:r>
        <w:rPr>
          <w:rFonts w:ascii="Courier New" w:cs="Courier New" w:eastAsia="Courier New" w:hAnsi="Courier New"/>
          <w:sz w:val="18"/>
          <w:szCs w:val="18"/>
          <w:color w:val="auto"/>
        </w:rPr>
        <w:t>Abigail P. Johnson</w:t>
      </w:r>
    </w:p>
    <w:p>
      <w:pPr>
        <w:ind w:left="860"/>
        <w:spacing w:after="0" w:line="237"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w:t>
      </w:r>
    </w:p>
    <w:p>
      <w:pPr>
        <w:spacing w:after="0" w:line="237" w:lineRule="auto"/>
        <w:rPr>
          <w:sz w:val="20"/>
          <w:szCs w:val="20"/>
          <w:color w:val="auto"/>
        </w:rPr>
      </w:pPr>
      <w:r>
        <w:rPr>
          <w:rFonts w:ascii="Courier New" w:cs="Courier New" w:eastAsia="Courier New" w:hAnsi="Courier New"/>
          <w:sz w:val="18"/>
          <w:szCs w:val="18"/>
          <w:color w:val="auto"/>
        </w:rPr>
        <w:t>Attorney</w:t>
      </w:r>
    </w:p>
    <w:p>
      <w:pPr>
        <w:spacing w:after="0"/>
        <w:rPr>
          <w:sz w:val="20"/>
          <w:szCs w:val="20"/>
          <w:color w:val="auto"/>
        </w:rPr>
      </w:pPr>
      <w:r>
        <w:rPr>
          <w:rFonts w:ascii="Courier New" w:cs="Courier New" w:eastAsia="Courier New" w:hAnsi="Courier New"/>
          <w:sz w:val="18"/>
          <w:szCs w:val="18"/>
          <w:color w:val="auto"/>
        </w:rPr>
        <w:t>dated December 30, 1997, by</w:t>
      </w:r>
    </w:p>
    <w:p>
      <w:pPr>
        <w:spacing w:after="0" w:line="237" w:lineRule="auto"/>
        <w:rPr>
          <w:sz w:val="20"/>
          <w:szCs w:val="20"/>
          <w:color w:val="auto"/>
        </w:rPr>
      </w:pPr>
      <w:r>
        <w:rPr>
          <w:rFonts w:ascii="Courier New" w:cs="Courier New" w:eastAsia="Courier New" w:hAnsi="Courier New"/>
          <w:sz w:val="18"/>
          <w:szCs w:val="18"/>
          <w:color w:val="auto"/>
        </w:rPr>
        <w:t>and on behalf</w:t>
      </w:r>
    </w:p>
    <w:p>
      <w:pPr>
        <w:spacing w:after="0"/>
        <w:rPr>
          <w:sz w:val="20"/>
          <w:szCs w:val="20"/>
          <w:color w:val="auto"/>
        </w:rPr>
      </w:pPr>
      <w:r>
        <w:rPr>
          <w:rFonts w:ascii="Courier New" w:cs="Courier New" w:eastAsia="Courier New" w:hAnsi="Courier New"/>
          <w:sz w:val="18"/>
          <w:szCs w:val="18"/>
          <w:color w:val="auto"/>
        </w:rPr>
        <w:t>of Abigail P. Johnson</w:t>
      </w:r>
    </w:p>
    <w:p>
      <w:pPr>
        <w:spacing w:after="0" w:line="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2019-12-13T07:37:22Z</dcterms:created>
  <dcterms:modified xsi:type="dcterms:W3CDTF">2019-12-13T07:37:22Z</dcterms:modified>
</cp:coreProperties>
</file>