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 PURSUANT TO SECTION 13 OR 15(d)</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7"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DATE OF REPORT (DATE OF EARLIEST EVENT REPORTED): September 8, 2004</w:t>
      </w:r>
    </w:p>
    <w:p>
      <w:pPr>
        <w:spacing w:after="0" w:line="200" w:lineRule="exact"/>
        <w:rPr>
          <w:sz w:val="24"/>
          <w:szCs w:val="24"/>
          <w:color w:val="auto"/>
        </w:rPr>
      </w:pPr>
    </w:p>
    <w:p>
      <w:pPr>
        <w:spacing w:after="0" w:line="2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TEXAS INSTRUMENTS INCORPORATED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charter)</w:t>
      </w:r>
    </w:p>
    <w:p>
      <w:pPr>
        <w:sectPr>
          <w:pgSz w:w="11900" w:h="16838" w:orient="portrait"/>
          <w:cols w:equalWidth="0" w:num="1">
            <w:col w:w="10219"/>
          </w:cols>
          <w:pgMar w:left="240" w:top="1440"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001-03761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750289970</w:t>
      </w:r>
    </w:p>
    <w:p>
      <w:pPr>
        <w:ind w:left="1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2960" w:space="200"/>
            <w:col w:w="2540" w:space="200"/>
            <w:col w:w="4319"/>
          </w:cols>
          <w:pgMar w:left="240" w:top="1440" w:right="1440" w:bottom="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12500 TI BOULEVARD</w:t>
      </w:r>
    </w:p>
    <w:p>
      <w:pPr>
        <w:jc w:val="center"/>
        <w:ind w:right="1659"/>
        <w:spacing w:after="0" w:line="238" w:lineRule="auto"/>
        <w:rPr>
          <w:sz w:val="20"/>
          <w:szCs w:val="20"/>
          <w:color w:val="auto"/>
        </w:rPr>
      </w:pPr>
      <w:r>
        <w:rPr>
          <w:rFonts w:ascii="Courier New" w:cs="Courier New" w:eastAsia="Courier New" w:hAnsi="Courier New"/>
          <w:sz w:val="18"/>
          <w:szCs w:val="18"/>
          <w:color w:val="auto"/>
        </w:rPr>
        <w:t>P.O. BOX 660199</w:t>
      </w:r>
    </w:p>
    <w:p>
      <w:pPr>
        <w:jc w:val="center"/>
        <w:ind w:right="1779"/>
        <w:spacing w:after="0"/>
        <w:rPr>
          <w:sz w:val="20"/>
          <w:szCs w:val="20"/>
          <w:color w:val="auto"/>
        </w:rPr>
      </w:pPr>
      <w:r>
        <w:rPr>
          <w:rFonts w:ascii="Courier New" w:cs="Courier New" w:eastAsia="Courier New" w:hAnsi="Courier New"/>
          <w:sz w:val="18"/>
          <w:szCs w:val="18"/>
          <w:color w:val="auto"/>
        </w:rPr>
        <w:t>DALLAS, TEXAS 75266-0199</w:t>
      </w:r>
    </w:p>
    <w:p>
      <w:pPr>
        <w:jc w:val="center"/>
        <w:ind w:right="1779"/>
        <w:spacing w:after="0" w:line="237"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Registrant's telephone number, including area code: (972) 995-3773</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Check the appropriate box below if the Form 8-K is intended to simultaneously satisfy the filing obligation of the registrant under any of the following provisions:</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__</w:t>
            </w:r>
          </w:p>
        </w:tc>
        <w:tc>
          <w:tcPr>
            <w:tcW w:w="474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8"/>
              </w:rPr>
              <w:t>Written communications pursuant to Rule 425</w:t>
            </w:r>
          </w:p>
        </w:tc>
        <w:tc>
          <w:tcPr>
            <w:tcW w:w="32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under the Securities Act (17</w:t>
            </w:r>
          </w:p>
        </w:tc>
      </w:tr>
      <w:tr>
        <w:trPr>
          <w:trHeight w:val="203"/>
        </w:trPr>
        <w:tc>
          <w:tcPr>
            <w:tcW w:w="380" w:type="dxa"/>
            <w:vAlign w:val="bottom"/>
          </w:tcPr>
          <w:p>
            <w:pPr>
              <w:spacing w:after="0"/>
              <w:rPr>
                <w:sz w:val="17"/>
                <w:szCs w:val="17"/>
                <w:color w:val="auto"/>
              </w:rPr>
            </w:pP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CFR 230.425)</w:t>
            </w:r>
          </w:p>
        </w:tc>
        <w:tc>
          <w:tcPr>
            <w:tcW w:w="2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05"/>
        </w:trPr>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__</w:t>
            </w:r>
          </w:p>
        </w:tc>
        <w:tc>
          <w:tcPr>
            <w:tcW w:w="474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8"/>
              </w:rPr>
              <w:t>Soliciting material pursuant to Rule 14a-12</w:t>
            </w:r>
          </w:p>
        </w:tc>
        <w:tc>
          <w:tcPr>
            <w:tcW w:w="322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7"/>
              </w:rPr>
              <w:t>under the Exchange Act (17 CFR</w:t>
            </w:r>
          </w:p>
        </w:tc>
      </w:tr>
      <w:tr>
        <w:trPr>
          <w:trHeight w:val="203"/>
        </w:trPr>
        <w:tc>
          <w:tcPr>
            <w:tcW w:w="380" w:type="dxa"/>
            <w:vAlign w:val="bottom"/>
          </w:tcPr>
          <w:p>
            <w:pPr>
              <w:spacing w:after="0"/>
              <w:rPr>
                <w:sz w:val="17"/>
                <w:szCs w:val="17"/>
                <w:color w:val="auto"/>
              </w:rPr>
            </w:pP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240.14a-12)</w:t>
            </w:r>
          </w:p>
        </w:tc>
        <w:tc>
          <w:tcPr>
            <w:tcW w:w="2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05"/>
        </w:trPr>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__</w:t>
            </w:r>
          </w:p>
        </w:tc>
        <w:tc>
          <w:tcPr>
            <w:tcW w:w="1900" w:type="dxa"/>
            <w:vAlign w:val="bottom"/>
          </w:tcPr>
          <w:p>
            <w:pPr>
              <w:ind w:left="160"/>
              <w:spacing w:after="0"/>
              <w:rPr>
                <w:sz w:val="20"/>
                <w:szCs w:val="20"/>
                <w:color w:val="auto"/>
              </w:rPr>
            </w:pPr>
            <w:r>
              <w:rPr>
                <w:rFonts w:ascii="Courier New" w:cs="Courier New" w:eastAsia="Courier New" w:hAnsi="Courier New"/>
                <w:sz w:val="18"/>
                <w:szCs w:val="18"/>
                <w:color w:val="auto"/>
                <w:w w:val="99"/>
              </w:rPr>
              <w:t>Pre-commencement</w:t>
            </w:r>
          </w:p>
        </w:tc>
        <w:tc>
          <w:tcPr>
            <w:tcW w:w="2840" w:type="dxa"/>
            <w:vAlign w:val="bottom"/>
          </w:tcPr>
          <w:p>
            <w:pPr>
              <w:ind w:left="40"/>
              <w:spacing w:after="0"/>
              <w:rPr>
                <w:sz w:val="20"/>
                <w:szCs w:val="20"/>
                <w:color w:val="auto"/>
              </w:rPr>
            </w:pPr>
            <w:r>
              <w:rPr>
                <w:rFonts w:ascii="Courier New" w:cs="Courier New" w:eastAsia="Courier New" w:hAnsi="Courier New"/>
                <w:sz w:val="18"/>
                <w:szCs w:val="18"/>
                <w:color w:val="auto"/>
                <w:w w:val="98"/>
              </w:rPr>
              <w:t>communications pursuant to</w:t>
            </w:r>
          </w:p>
        </w:tc>
        <w:tc>
          <w:tcPr>
            <w:tcW w:w="1480" w:type="dxa"/>
            <w:vAlign w:val="bottom"/>
          </w:tcPr>
          <w:p>
            <w:pPr>
              <w:ind w:left="40"/>
              <w:spacing w:after="0"/>
              <w:rPr>
                <w:sz w:val="20"/>
                <w:szCs w:val="20"/>
                <w:color w:val="auto"/>
              </w:rPr>
            </w:pPr>
            <w:r>
              <w:rPr>
                <w:rFonts w:ascii="Courier New" w:cs="Courier New" w:eastAsia="Courier New" w:hAnsi="Courier New"/>
                <w:sz w:val="18"/>
                <w:szCs w:val="18"/>
                <w:color w:val="auto"/>
              </w:rPr>
              <w:t>Rule 14d-2(b)</w:t>
            </w:r>
          </w:p>
        </w:tc>
        <w:tc>
          <w:tcPr>
            <w:tcW w:w="1740" w:type="dxa"/>
            <w:vAlign w:val="bottom"/>
          </w:tcPr>
          <w:p>
            <w:pPr>
              <w:ind w:left="40"/>
              <w:spacing w:after="0"/>
              <w:rPr>
                <w:sz w:val="20"/>
                <w:szCs w:val="20"/>
                <w:color w:val="auto"/>
              </w:rPr>
            </w:pPr>
            <w:r>
              <w:rPr>
                <w:rFonts w:ascii="Courier New" w:cs="Courier New" w:eastAsia="Courier New" w:hAnsi="Courier New"/>
                <w:sz w:val="18"/>
                <w:szCs w:val="18"/>
                <w:color w:val="auto"/>
              </w:rPr>
              <w:t>under the</w:t>
            </w:r>
          </w:p>
        </w:tc>
      </w:tr>
      <w:tr>
        <w:trPr>
          <w:trHeight w:val="203"/>
        </w:trPr>
        <w:tc>
          <w:tcPr>
            <w:tcW w:w="380" w:type="dxa"/>
            <w:vAlign w:val="bottom"/>
          </w:tcPr>
          <w:p>
            <w:pPr>
              <w:spacing w:after="0"/>
              <w:rPr>
                <w:sz w:val="17"/>
                <w:szCs w:val="17"/>
                <w:color w:val="auto"/>
              </w:rPr>
            </w:pP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Exchange Act (17</w:t>
            </w:r>
          </w:p>
        </w:tc>
        <w:tc>
          <w:tcPr>
            <w:tcW w:w="2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CFR 240.14d-2(b))</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05"/>
        </w:trPr>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__</w:t>
            </w:r>
          </w:p>
        </w:tc>
        <w:tc>
          <w:tcPr>
            <w:tcW w:w="1900" w:type="dxa"/>
            <w:vAlign w:val="bottom"/>
          </w:tcPr>
          <w:p>
            <w:pPr>
              <w:ind w:left="160"/>
              <w:spacing w:after="0"/>
              <w:rPr>
                <w:sz w:val="20"/>
                <w:szCs w:val="20"/>
                <w:color w:val="auto"/>
              </w:rPr>
            </w:pPr>
            <w:r>
              <w:rPr>
                <w:rFonts w:ascii="Courier New" w:cs="Courier New" w:eastAsia="Courier New" w:hAnsi="Courier New"/>
                <w:sz w:val="18"/>
                <w:szCs w:val="18"/>
                <w:color w:val="auto"/>
                <w:w w:val="99"/>
              </w:rPr>
              <w:t>Pre-commencement</w:t>
            </w:r>
          </w:p>
        </w:tc>
        <w:tc>
          <w:tcPr>
            <w:tcW w:w="2840" w:type="dxa"/>
            <w:vAlign w:val="bottom"/>
          </w:tcPr>
          <w:p>
            <w:pPr>
              <w:ind w:left="40"/>
              <w:spacing w:after="0"/>
              <w:rPr>
                <w:sz w:val="20"/>
                <w:szCs w:val="20"/>
                <w:color w:val="auto"/>
              </w:rPr>
            </w:pPr>
            <w:r>
              <w:rPr>
                <w:rFonts w:ascii="Courier New" w:cs="Courier New" w:eastAsia="Courier New" w:hAnsi="Courier New"/>
                <w:sz w:val="18"/>
                <w:szCs w:val="18"/>
                <w:color w:val="auto"/>
                <w:w w:val="98"/>
              </w:rPr>
              <w:t>communications pursuant to</w:t>
            </w:r>
          </w:p>
        </w:tc>
        <w:tc>
          <w:tcPr>
            <w:tcW w:w="1480" w:type="dxa"/>
            <w:vAlign w:val="bottom"/>
          </w:tcPr>
          <w:p>
            <w:pPr>
              <w:ind w:left="40"/>
              <w:spacing w:after="0"/>
              <w:rPr>
                <w:sz w:val="20"/>
                <w:szCs w:val="20"/>
                <w:color w:val="auto"/>
              </w:rPr>
            </w:pPr>
            <w:r>
              <w:rPr>
                <w:rFonts w:ascii="Courier New" w:cs="Courier New" w:eastAsia="Courier New" w:hAnsi="Courier New"/>
                <w:sz w:val="18"/>
                <w:szCs w:val="18"/>
                <w:color w:val="auto"/>
              </w:rPr>
              <w:t>Rule 13e-4(c)</w:t>
            </w:r>
          </w:p>
        </w:tc>
        <w:tc>
          <w:tcPr>
            <w:tcW w:w="1740" w:type="dxa"/>
            <w:vAlign w:val="bottom"/>
          </w:tcPr>
          <w:p>
            <w:pPr>
              <w:ind w:left="40"/>
              <w:spacing w:after="0"/>
              <w:rPr>
                <w:sz w:val="20"/>
                <w:szCs w:val="20"/>
                <w:color w:val="auto"/>
              </w:rPr>
            </w:pPr>
            <w:r>
              <w:rPr>
                <w:rFonts w:ascii="Courier New" w:cs="Courier New" w:eastAsia="Courier New" w:hAnsi="Courier New"/>
                <w:sz w:val="18"/>
                <w:szCs w:val="18"/>
                <w:color w:val="auto"/>
              </w:rPr>
              <w:t>under the</w:t>
            </w:r>
          </w:p>
        </w:tc>
      </w:tr>
      <w:tr>
        <w:trPr>
          <w:trHeight w:val="203"/>
        </w:trPr>
        <w:tc>
          <w:tcPr>
            <w:tcW w:w="380" w:type="dxa"/>
            <w:vAlign w:val="bottom"/>
          </w:tcPr>
          <w:p>
            <w:pPr>
              <w:spacing w:after="0"/>
              <w:rPr>
                <w:sz w:val="17"/>
                <w:szCs w:val="17"/>
                <w:color w:val="auto"/>
              </w:rPr>
            </w:pP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Exchange Act (17</w:t>
            </w:r>
          </w:p>
        </w:tc>
        <w:tc>
          <w:tcPr>
            <w:tcW w:w="2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CFR 240.13e-(4c))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2.02. Results of Operations and Financial Condition</w:t>
      </w:r>
    </w:p>
    <w:p>
      <w:pPr>
        <w:spacing w:after="0" w:line="207" w:lineRule="exact"/>
        <w:rPr>
          <w:sz w:val="24"/>
          <w:szCs w:val="24"/>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Registrant's news release dated September 8, 2004, regarding the Registrant's outlook for the third quarter of 2004 attached hereto as Exhibit 99 is incorporated by reference herein.</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9.01. Exhibits</w:t>
      </w:r>
    </w:p>
    <w:p>
      <w:pPr>
        <w:sectPr>
          <w:pgSz w:w="11900" w:h="16838" w:orient="portrait"/>
          <w:cols w:equalWidth="0" w:num="1">
            <w:col w:w="10219"/>
          </w:cols>
          <w:pgMar w:left="240" w:top="1440" w:right="1440" w:bottom="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Designation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Exhibit in</w:t>
      </w:r>
    </w:p>
    <w:p>
      <w:pPr>
        <w:spacing w:after="0" w:line="238" w:lineRule="auto"/>
        <w:rPr>
          <w:sz w:val="20"/>
          <w:szCs w:val="20"/>
          <w:color w:val="auto"/>
        </w:rPr>
      </w:pPr>
      <w:r>
        <w:rPr>
          <w:rFonts w:ascii="Courier New" w:cs="Courier New" w:eastAsia="Courier New" w:hAnsi="Courier New"/>
          <w:sz w:val="18"/>
          <w:szCs w:val="18"/>
          <w:color w:val="auto"/>
        </w:rPr>
        <w:t>this Report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Description of Exhibit</w:t>
      </w:r>
    </w:p>
    <w:p>
      <w:pPr>
        <w:spacing w:after="0" w:line="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1500" w:space="720"/>
            <w:col w:w="7999"/>
          </w:cols>
          <w:pgMar w:left="240" w:top="1440" w:right="1440" w:bottom="0" w:gutter="0" w:footer="0" w:header="0"/>
          <w:type w:val="continuous"/>
        </w:sectPr>
      </w:pPr>
    </w:p>
    <w:p>
      <w:pPr>
        <w:spacing w:after="0" w:line="18"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99</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News Release</w:t>
      </w:r>
    </w:p>
    <w:p>
      <w:pPr>
        <w:sectPr>
          <w:pgSz w:w="11900" w:h="16838" w:orient="portrait"/>
          <w:cols w:equalWidth="0" w:num="2">
            <w:col w:w="1600" w:space="720"/>
            <w:col w:w="7899"/>
          </w:cols>
          <w:pgMar w:left="240" w:top="1440" w:right="1440" w:bottom="0" w:gutter="0" w:footer="0" w:header="0"/>
          <w:type w:val="continuous"/>
        </w:sectPr>
      </w:pPr>
    </w:p>
    <w:bookmarkStart w:id="1" w:name="page2"/>
    <w:bookmarkEnd w:id="1"/>
    <w:p>
      <w:pPr>
        <w:ind w:left="2320" w:right="2519"/>
        <w:spacing w:after="0" w:line="235" w:lineRule="auto"/>
        <w:rPr>
          <w:sz w:val="20"/>
          <w:szCs w:val="20"/>
          <w:color w:val="auto"/>
        </w:rPr>
      </w:pPr>
      <w:r>
        <w:rPr>
          <w:rFonts w:ascii="Courier New" w:cs="Courier New" w:eastAsia="Courier New" w:hAnsi="Courier New"/>
          <w:sz w:val="18"/>
          <w:szCs w:val="18"/>
          <w:color w:val="auto"/>
        </w:rPr>
        <w:t>Dated September 8, 2004 (furnished pursuant to Item 2.02)</w:t>
      </w:r>
    </w:p>
    <w:p>
      <w:pPr>
        <w:spacing w:after="0" w:line="200" w:lineRule="exact"/>
        <w:rPr>
          <w:sz w:val="20"/>
          <w:szCs w:val="20"/>
          <w:color w:val="auto"/>
        </w:rPr>
      </w:pPr>
    </w:p>
    <w:p>
      <w:pPr>
        <w:spacing w:after="0" w:line="211"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"Safe Harbor" Statement under the Private Securities Litigation Reform Act of 1995: The statements contained in this report on Form 8-K are "forward-looking statements" intended to qualify for the safe harbor from liability established by the Private Securities Litigation Reform Act of 1995. These forward-looking statements are subject to certain risks and uncertainties that could cause actual results to differ materially from those in forward-looking statements.</w:t>
      </w:r>
    </w:p>
    <w:p>
      <w:pPr>
        <w:spacing w:after="0" w:line="186"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We urge you to carefully consider the following important factors that could cause actual results to differ materially from the expectations of the company or its management:</w:t>
      </w:r>
    </w:p>
    <w:p>
      <w:pPr>
        <w:spacing w:after="0" w:line="209" w:lineRule="exact"/>
        <w:rPr>
          <w:sz w:val="20"/>
          <w:szCs w:val="20"/>
          <w:color w:val="auto"/>
        </w:rPr>
      </w:pPr>
    </w:p>
    <w:p>
      <w:pPr>
        <w:ind w:left="540" w:right="1579" w:hanging="532"/>
        <w:spacing w:after="0" w:line="290"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Market demand for semiconductors, particularly for analog chips and digital signal processors in key markets, such as telecommunications and computers;</w:t>
      </w:r>
    </w:p>
    <w:p>
      <w:pPr>
        <w:spacing w:after="0" w:line="169" w:lineRule="exact"/>
        <w:rPr>
          <w:rFonts w:ascii="Courier New" w:cs="Courier New" w:eastAsia="Courier New" w:hAnsi="Courier New"/>
          <w:sz w:val="18"/>
          <w:szCs w:val="18"/>
          <w:color w:val="auto"/>
        </w:rPr>
      </w:pPr>
    </w:p>
    <w:p>
      <w:pPr>
        <w:ind w:left="540" w:right="1779" w:hanging="532"/>
        <w:spacing w:after="0" w:line="236"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208" w:lineRule="exact"/>
        <w:rPr>
          <w:rFonts w:ascii="Courier New" w:cs="Courier New" w:eastAsia="Courier New" w:hAnsi="Courier New"/>
          <w:sz w:val="18"/>
          <w:szCs w:val="18"/>
          <w:color w:val="auto"/>
        </w:rPr>
      </w:pPr>
    </w:p>
    <w:p>
      <w:pPr>
        <w:ind w:left="540" w:right="187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develop, manufacture and market innovative products in a rapidly changing technological environment;</w:t>
      </w:r>
    </w:p>
    <w:p>
      <w:pPr>
        <w:spacing w:after="0" w:line="208" w:lineRule="exact"/>
        <w:rPr>
          <w:rFonts w:ascii="Courier New" w:cs="Courier New" w:eastAsia="Courier New" w:hAnsi="Courier New"/>
          <w:sz w:val="18"/>
          <w:szCs w:val="18"/>
          <w:color w:val="auto"/>
        </w:rPr>
      </w:pPr>
    </w:p>
    <w:p>
      <w:pPr>
        <w:ind w:left="540" w:right="167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compete in products and prices in an intensely competitive industry;</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The timing of customer inventory adjustments;</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Losses or curtailments of purchases from key customers;</w:t>
      </w:r>
    </w:p>
    <w:p>
      <w:pPr>
        <w:spacing w:after="0" w:line="206" w:lineRule="exact"/>
        <w:rPr>
          <w:rFonts w:ascii="Courier New" w:cs="Courier New" w:eastAsia="Courier New" w:hAnsi="Courier New"/>
          <w:sz w:val="18"/>
          <w:szCs w:val="18"/>
          <w:color w:val="auto"/>
        </w:rPr>
      </w:pPr>
    </w:p>
    <w:p>
      <w:pPr>
        <w:ind w:left="540" w:right="241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maintain and enforce a strong intellectual property portfolio and obtain needed licenses from third parties;</w:t>
      </w:r>
    </w:p>
    <w:p>
      <w:pPr>
        <w:spacing w:after="0" w:line="208" w:lineRule="exact"/>
        <w:rPr>
          <w:rFonts w:ascii="Courier New" w:cs="Courier New" w:eastAsia="Courier New" w:hAnsi="Courier New"/>
          <w:sz w:val="18"/>
          <w:szCs w:val="18"/>
          <w:color w:val="auto"/>
        </w:rPr>
      </w:pPr>
    </w:p>
    <w:p>
      <w:pPr>
        <w:ind w:left="540" w:right="219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-Consolidation of TI's patent licensees and market conditions reducing royalty payments to TI;</w:t>
      </w:r>
    </w:p>
    <w:p>
      <w:pPr>
        <w:spacing w:after="0" w:line="208" w:lineRule="exact"/>
        <w:rPr>
          <w:rFonts w:ascii="Courier New" w:cs="Courier New" w:eastAsia="Courier New" w:hAnsi="Courier New"/>
          <w:sz w:val="18"/>
          <w:szCs w:val="18"/>
          <w:color w:val="auto"/>
        </w:rPr>
      </w:pPr>
    </w:p>
    <w:p>
      <w:pPr>
        <w:ind w:left="540" w:right="1579" w:hanging="532"/>
        <w:spacing w:after="0" w:line="237"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Availability of raw materials and critical manufacturing equipment;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TI's ability to recruit and retain skilled personnel;</w:t>
      </w:r>
    </w:p>
    <w:p>
      <w:pPr>
        <w:spacing w:after="0" w:line="206" w:lineRule="exact"/>
        <w:rPr>
          <w:rFonts w:ascii="Courier New" w:cs="Courier New" w:eastAsia="Courier New" w:hAnsi="Courier New"/>
          <w:sz w:val="18"/>
          <w:szCs w:val="18"/>
          <w:color w:val="auto"/>
        </w:rPr>
      </w:pPr>
    </w:p>
    <w:p>
      <w:pPr>
        <w:ind w:left="540" w:right="157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-Fluctuations in the market value of TI's investments and in interest rates; and</w:t>
      </w:r>
    </w:p>
    <w:p>
      <w:pPr>
        <w:spacing w:after="0" w:line="208" w:lineRule="exact"/>
        <w:rPr>
          <w:rFonts w:ascii="Courier New" w:cs="Courier New" w:eastAsia="Courier New" w:hAnsi="Courier New"/>
          <w:sz w:val="18"/>
          <w:szCs w:val="18"/>
          <w:color w:val="auto"/>
        </w:rPr>
      </w:pPr>
    </w:p>
    <w:p>
      <w:pPr>
        <w:ind w:left="540" w:right="1879" w:hanging="532"/>
        <w:spacing w:after="0" w:line="236"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-Timely implementation of new manufacturing technologies, installation of manufacturing equipment, and the ability to obtain needed third-party foundry and assembly/test subcontract services.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a more detailed discussion of these and other factors, see the text under the heading "Cautionary Statements Regarding Future Results of Operations" in Item 1 of TI's most recent Form 10-K. The forward-looking statements included in this Form 8-K are made only as of the date of this Form 8-K and TI undertakes no obligation to update the forward-looking statements to reflect subsequent events or circumstances.</w:t>
      </w: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TEXAS INSTRUMENTS INCORPORATED</w:t>
      </w:r>
    </w:p>
    <w:p>
      <w:pPr>
        <w:sectPr>
          <w:pgSz w:w="11900" w:h="16838" w:orient="portrait"/>
          <w:cols w:equalWidth="0" w:num="1">
            <w:col w:w="10219"/>
          </w:cols>
          <w:pgMar w:left="240" w:top="142" w:right="144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8, 2004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 KEVIN P. MARCH</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Kevin P. March</w:t>
      </w:r>
    </w:p>
    <w:p>
      <w:pPr>
        <w:ind w:left="320"/>
        <w:spacing w:after="0" w:line="237" w:lineRule="auto"/>
        <w:rPr>
          <w:sz w:val="20"/>
          <w:szCs w:val="20"/>
          <w:color w:val="auto"/>
        </w:rPr>
      </w:pPr>
      <w:r>
        <w:rPr>
          <w:rFonts w:ascii="Courier New" w:cs="Courier New" w:eastAsia="Courier New" w:hAnsi="Courier New"/>
          <w:sz w:val="18"/>
          <w:szCs w:val="18"/>
          <w:color w:val="auto"/>
        </w:rPr>
        <w:t>Senior Vice President</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and Chief Financial Officer</w:t>
      </w:r>
    </w:p>
    <w:p>
      <w:pPr>
        <w:sectPr>
          <w:pgSz w:w="11900" w:h="16838" w:orient="portrait"/>
          <w:cols w:equalWidth="0" w:num="3">
            <w:col w:w="540" w:space="200"/>
            <w:col w:w="2860" w:space="720"/>
            <w:col w:w="5899"/>
          </w:cols>
          <w:pgMar w:left="240" w:top="142" w:right="1440" w:bottom="554" w:gutter="0" w:footer="0" w:header="0"/>
          <w:type w:val="continuous"/>
        </w:sectPr>
      </w:pPr>
    </w:p>
    <w:bookmarkStart w:id="2" w:name="page3"/>
    <w:bookmarkEnd w:id="2"/>
    <w:p>
      <w:pPr>
        <w:ind w:left="7380"/>
        <w:spacing w:after="0"/>
        <w:rPr>
          <w:sz w:val="20"/>
          <w:szCs w:val="20"/>
          <w:color w:val="auto"/>
        </w:rPr>
      </w:pPr>
      <w:r>
        <w:rPr>
          <w:rFonts w:ascii="Courier New" w:cs="Courier New" w:eastAsia="Courier New" w:hAnsi="Courier New"/>
          <w:sz w:val="18"/>
          <w:szCs w:val="18"/>
          <w:color w:val="auto"/>
        </w:rPr>
        <w:t>Exhibit 99</w:t>
      </w:r>
    </w:p>
    <w:p>
      <w:pPr>
        <w:ind w:left="73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NEWS RELEASE</w:t>
      </w:r>
    </w:p>
    <w:p>
      <w:pPr>
        <w:spacing w:after="0" w:line="238" w:lineRule="auto"/>
        <w:rPr>
          <w:sz w:val="20"/>
          <w:szCs w:val="20"/>
          <w:color w:val="auto"/>
        </w:rPr>
      </w:pPr>
      <w:r>
        <w:rPr>
          <w:rFonts w:ascii="Courier New" w:cs="Courier New" w:eastAsia="Courier New" w:hAnsi="Courier New"/>
          <w:sz w:val="18"/>
          <w:szCs w:val="18"/>
          <w:color w:val="auto"/>
        </w:rPr>
        <w:t>C-04041</w:t>
      </w:r>
    </w:p>
    <w:p>
      <w:pPr>
        <w:spacing w:after="0" w:line="200" w:lineRule="exact"/>
        <w:rPr>
          <w:sz w:val="20"/>
          <w:szCs w:val="20"/>
          <w:color w:val="auto"/>
        </w:rPr>
      </w:pPr>
    </w:p>
    <w:p>
      <w:pPr>
        <w:spacing w:after="0" w:line="20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TI UPDATES THIRD-QUARTER 2004 BUSINESS OUTLOOK</w:t>
      </w:r>
    </w:p>
    <w:p>
      <w:pPr>
        <w:spacing w:after="0" w:line="201"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Revenue Expected between $3100 Million and $3240 Million</w:t>
      </w: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EPS Expected between $0.27 and $0.29</w:t>
      </w:r>
    </w:p>
    <w:p>
      <w:pPr>
        <w:spacing w:after="0" w:line="202"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CONFERENCE CALL ON TI WEB SITE AT 3:30 P.M. CENTRAL DAYLIGHT TIME TODAY</w:t>
      </w:r>
    </w:p>
    <w:p>
      <w:pPr>
        <w:jc w:val="center"/>
        <w:ind w:right="1779"/>
        <w:spacing w:after="0" w:line="238" w:lineRule="auto"/>
        <w:rPr>
          <w:sz w:val="20"/>
          <w:szCs w:val="20"/>
          <w:color w:val="auto"/>
        </w:rPr>
      </w:pPr>
      <w:r>
        <w:rPr>
          <w:rFonts w:ascii="Courier New" w:cs="Courier New" w:eastAsia="Courier New" w:hAnsi="Courier New"/>
          <w:sz w:val="18"/>
          <w:szCs w:val="18"/>
          <w:color w:val="auto"/>
        </w:rPr>
        <w:t>WWW.TI.COM</w:t>
      </w:r>
    </w:p>
    <w:p>
      <w:pPr>
        <w:ind w:left="370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DALLAS (Sept. 8, 2004) - In a scheduled update to its business outlook for the third quarter of 2004, Texas Instruments Incorporated (NYSE:TXN) today revised its expected revenue and earnings ranges. This update reflects what TI believes are adjustments by customers as they move quickly to reduce inventory levels to more closely match their own end-equipment growth rates. These adjustments are more aggressive in standard products sold through the distribution channel than in other areas.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company's expectations for revenue are:</w:t>
      </w:r>
    </w:p>
    <w:p>
      <w:pPr>
        <w:spacing w:after="0" w:line="207" w:lineRule="exact"/>
        <w:rPr>
          <w:sz w:val="20"/>
          <w:szCs w:val="20"/>
          <w:color w:val="auto"/>
        </w:rPr>
      </w:pPr>
    </w:p>
    <w:p>
      <w:pPr>
        <w:ind w:left="540" w:right="1879" w:hanging="532"/>
        <w:spacing w:after="0" w:line="235"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revenue between $3100 million and $3240 million, compared with the prior range of $3200 million to $3440 million;</w:t>
      </w:r>
    </w:p>
    <w:p>
      <w:pPr>
        <w:spacing w:after="0" w:line="208" w:lineRule="exact"/>
        <w:rPr>
          <w:rFonts w:ascii="Courier New" w:cs="Courier New" w:eastAsia="Courier New" w:hAnsi="Courier New"/>
          <w:sz w:val="18"/>
          <w:szCs w:val="18"/>
          <w:color w:val="auto"/>
        </w:rPr>
      </w:pPr>
    </w:p>
    <w:p>
      <w:pPr>
        <w:ind w:left="540" w:right="1999" w:hanging="532"/>
        <w:spacing w:after="0" w:line="235"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-Semiconductor revenue between $2665 million and $2785 million, compared with the prior range of $2780 million to $2980 million;</w:t>
      </w:r>
    </w:p>
    <w:p>
      <w:pPr>
        <w:spacing w:after="0" w:line="208" w:lineRule="exact"/>
        <w:rPr>
          <w:rFonts w:ascii="Courier New" w:cs="Courier New" w:eastAsia="Courier New" w:hAnsi="Courier New"/>
          <w:sz w:val="18"/>
          <w:szCs w:val="18"/>
          <w:color w:val="auto"/>
        </w:rPr>
      </w:pPr>
    </w:p>
    <w:p>
      <w:pPr>
        <w:ind w:left="540" w:right="1679" w:hanging="532"/>
        <w:spacing w:after="0" w:line="235"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-Sensors &amp; Controls revenue between $260 million and $270 million, compared with the prior range of $255 million to $275 million; and</w:t>
      </w:r>
    </w:p>
    <w:p>
      <w:pPr>
        <w:spacing w:after="0" w:line="208" w:lineRule="exact"/>
        <w:rPr>
          <w:rFonts w:ascii="Courier New" w:cs="Courier New" w:eastAsia="Courier New" w:hAnsi="Courier New"/>
          <w:sz w:val="18"/>
          <w:szCs w:val="18"/>
          <w:color w:val="auto"/>
        </w:rPr>
      </w:pPr>
    </w:p>
    <w:p>
      <w:pPr>
        <w:ind w:left="540" w:right="1679" w:hanging="532"/>
        <w:spacing w:after="0" w:line="235"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-Educational &amp; Productivity Solutions revenue between $175 million and $185 million, compared with the prior range of $170 million to $190 million.</w:t>
      </w:r>
    </w:p>
    <w:p>
      <w:pPr>
        <w:spacing w:after="0" w:line="208"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TI expects earnings per share (EPS) between $0.27 and $0.29, compared with the previous range of $0.26 to $0.29.</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company's revised earnings estimate reflects reduced factory loadings and a lower expected accrual for profit sharing. Additionally, the effective annual tax rate has been reduced from 29 percent to 26 percent, primarily due to an increase in the estimated tax benefit for export sales. Including catch-up adjustments, the third-quarter effective tax rate is estimated to be about 21 percent.</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will hold a conference call at 3:30 p.m. CDT today to discuss this update. This conference call will be available live at www.ti.com. TI's original third-quarter outlook was published in the company's second-quarter 2004 earnings release on July 20, available at www.ti.com. TI's third quarter ends on September 30.</w:t>
      </w:r>
    </w:p>
    <w:p>
      <w:pPr>
        <w:spacing w:after="0" w:line="203" w:lineRule="exact"/>
        <w:rPr>
          <w:sz w:val="20"/>
          <w:szCs w:val="20"/>
          <w:color w:val="auto"/>
        </w:rPr>
      </w:pPr>
    </w:p>
    <w:p>
      <w:pPr>
        <w:ind w:left="3800"/>
        <w:spacing w:after="0"/>
        <w:tabs>
          <w:tab w:leader="none" w:pos="4200" w:val="left"/>
          <w:tab w:leader="none" w:pos="46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"Safe Harbor" Statement under the Private Securities Litigation Reform Act of 1995: 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release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16"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We urge you to carefully consider the following important factors that could cause actual results to differ materially from the expectations of the company or its management:</w:t>
      </w:r>
    </w:p>
    <w:p>
      <w:pPr>
        <w:spacing w:after="0" w:line="209" w:lineRule="exact"/>
        <w:rPr>
          <w:sz w:val="20"/>
          <w:szCs w:val="20"/>
          <w:color w:val="auto"/>
        </w:rPr>
      </w:pPr>
    </w:p>
    <w:p>
      <w:pPr>
        <w:ind w:left="540" w:right="1579" w:hanging="532"/>
        <w:spacing w:after="0" w:line="290"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Market demand for semiconductors, particularly for analog chips and digital signal processors in key markets, such as telecommunications and computers;</w:t>
      </w:r>
    </w:p>
    <w:p>
      <w:pPr>
        <w:spacing w:after="0" w:line="16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TI's ability to maintain or improve profit margins, including its ability</w:t>
      </w:r>
    </w:p>
    <w:p>
      <w:pPr>
        <w:sectPr>
          <w:pgSz w:w="11900" w:h="16838" w:orient="portrait"/>
          <w:cols w:equalWidth="0" w:num="1">
            <w:col w:w="10219"/>
          </w:cols>
          <w:pgMar w:left="240" w:top="514" w:right="1440" w:bottom="0" w:gutter="0" w:footer="0" w:header="0"/>
        </w:sectPr>
      </w:pPr>
    </w:p>
    <w:bookmarkStart w:id="3" w:name="page4"/>
    <w:bookmarkEnd w:id="3"/>
    <w:p>
      <w:pPr>
        <w:jc w:val="both"/>
        <w:ind w:left="540" w:right="1999"/>
        <w:spacing w:after="0" w:line="290" w:lineRule="auto"/>
        <w:rPr>
          <w:sz w:val="20"/>
          <w:szCs w:val="20"/>
          <w:color w:val="auto"/>
        </w:rPr>
      </w:pPr>
      <w:r>
        <w:rPr>
          <w:rFonts w:ascii="Courier New" w:cs="Courier New" w:eastAsia="Courier New" w:hAnsi="Courier New"/>
          <w:sz w:val="16"/>
          <w:szCs w:val="16"/>
          <w:color w:val="auto"/>
        </w:rPr>
        <w:t>to utilize its manufacturing facilities at sufficient levels to cover its fixed operating costs, in an intensely competitive and cyclical industry;</w:t>
      </w:r>
    </w:p>
    <w:p>
      <w:pPr>
        <w:spacing w:after="0" w:line="170" w:lineRule="exact"/>
        <w:rPr>
          <w:sz w:val="20"/>
          <w:szCs w:val="20"/>
          <w:color w:val="auto"/>
        </w:rPr>
      </w:pPr>
    </w:p>
    <w:p>
      <w:pPr>
        <w:ind w:left="540" w:right="1879" w:hanging="532"/>
        <w:spacing w:after="0" w:line="235"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develop, manufacture and market innovative products in a rapidly changing technological environment;</w:t>
      </w:r>
    </w:p>
    <w:p>
      <w:pPr>
        <w:spacing w:after="0" w:line="208" w:lineRule="exact"/>
        <w:rPr>
          <w:rFonts w:ascii="Courier New" w:cs="Courier New" w:eastAsia="Courier New" w:hAnsi="Courier New"/>
          <w:sz w:val="18"/>
          <w:szCs w:val="18"/>
          <w:color w:val="auto"/>
        </w:rPr>
      </w:pPr>
    </w:p>
    <w:p>
      <w:pPr>
        <w:ind w:left="540" w:right="1679" w:hanging="532"/>
        <w:spacing w:after="0" w:line="235"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compete in products and prices in an intensely competitive industry;</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The timing of customer inventory adjustments;</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Losses or curtailments of purchases from key customers;</w:t>
      </w:r>
    </w:p>
    <w:p>
      <w:pPr>
        <w:spacing w:after="0" w:line="206" w:lineRule="exact"/>
        <w:rPr>
          <w:rFonts w:ascii="Courier New" w:cs="Courier New" w:eastAsia="Courier New" w:hAnsi="Courier New"/>
          <w:sz w:val="18"/>
          <w:szCs w:val="18"/>
          <w:color w:val="auto"/>
        </w:rPr>
      </w:pPr>
    </w:p>
    <w:p>
      <w:pPr>
        <w:ind w:left="540" w:right="2419" w:hanging="532"/>
        <w:spacing w:after="0" w:line="235"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maintain and enforce a strong intellectual property portfolio and obtain needed licenses from third parties;</w:t>
      </w:r>
    </w:p>
    <w:p>
      <w:pPr>
        <w:spacing w:after="0" w:line="208" w:lineRule="exact"/>
        <w:rPr>
          <w:rFonts w:ascii="Courier New" w:cs="Courier New" w:eastAsia="Courier New" w:hAnsi="Courier New"/>
          <w:sz w:val="18"/>
          <w:szCs w:val="18"/>
          <w:color w:val="auto"/>
        </w:rPr>
      </w:pPr>
    </w:p>
    <w:p>
      <w:pPr>
        <w:ind w:left="540" w:right="2199" w:hanging="532"/>
        <w:spacing w:after="0" w:line="235"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-Consolidation of TI's patent licensees and market conditions reducing royalty payments to TI;</w:t>
      </w:r>
    </w:p>
    <w:p>
      <w:pPr>
        <w:spacing w:after="0" w:line="208" w:lineRule="exact"/>
        <w:rPr>
          <w:rFonts w:ascii="Courier New" w:cs="Courier New" w:eastAsia="Courier New" w:hAnsi="Courier New"/>
          <w:sz w:val="18"/>
          <w:szCs w:val="18"/>
          <w:color w:val="auto"/>
        </w:rPr>
      </w:pPr>
    </w:p>
    <w:p>
      <w:pPr>
        <w:ind w:left="540" w:right="1579" w:hanging="532"/>
        <w:spacing w:after="0" w:line="237"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Availability of raw materials and critical manufacturing equipment;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TI's ability to recruit and retain skilled personnel;</w:t>
      </w:r>
    </w:p>
    <w:p>
      <w:pPr>
        <w:spacing w:after="0" w:line="206" w:lineRule="exact"/>
        <w:rPr>
          <w:rFonts w:ascii="Courier New" w:cs="Courier New" w:eastAsia="Courier New" w:hAnsi="Courier New"/>
          <w:sz w:val="18"/>
          <w:szCs w:val="18"/>
          <w:color w:val="auto"/>
        </w:rPr>
      </w:pPr>
    </w:p>
    <w:p>
      <w:pPr>
        <w:ind w:left="540" w:right="1579" w:hanging="532"/>
        <w:spacing w:after="0" w:line="235"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-Fluctuations in the market value of TI's investments and in interest rates; and</w:t>
      </w:r>
    </w:p>
    <w:p>
      <w:pPr>
        <w:spacing w:after="0" w:line="208" w:lineRule="exact"/>
        <w:rPr>
          <w:rFonts w:ascii="Courier New" w:cs="Courier New" w:eastAsia="Courier New" w:hAnsi="Courier New"/>
          <w:sz w:val="18"/>
          <w:szCs w:val="18"/>
          <w:color w:val="auto"/>
        </w:rPr>
      </w:pPr>
    </w:p>
    <w:p>
      <w:pPr>
        <w:ind w:left="540" w:right="1879" w:hanging="532"/>
        <w:spacing w:after="0" w:line="236"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-Timely implementation of new manufacturing technologies, installation of manufacturing equipment, and the ability to obtain needed third-party foundry and assembly/test subcontract services.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a more detailed discussion of these factors, see the text under the heading "Cautionary Statements Regarding Future Results of Operations" in Item 1 of the company's most recent Form 10-K. The forward-looking statements included in this release are made only as of the date of publication, and the company undertakes no obligation to update the forward-looking statements to reflect subsequent events or circumstances.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Texas Instruments Incorporated provides innovative DSP and analog technologies to meet our customers' real world signal processing requirements. In addition to Semiconductor, the company's businesses include Sensors &amp; Controls and Educational &amp; Productivity Solutions. TI is headquartered in Dallas, Texas, and has manufacturing, design or sales operations in more than 25 countries.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is traded on the New York Stock Exchange under the symbol TXN.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More information is located on the World Wide Web at www.ti.com.</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2019-12-11T19:08:57Z</dcterms:created>
  <dcterms:modified xsi:type="dcterms:W3CDTF">2019-12-11T19:08:57Z</dcterms:modified>
</cp:coreProperties>
</file>