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5"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Washington, D.C.</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20549</w:t>
      </w:r>
    </w:p>
    <w:p>
      <w:pPr>
        <w:spacing w:after="0" w:line="342"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FORM 10-Q</w:t>
      </w:r>
    </w:p>
    <w:p>
      <w:pPr>
        <w:spacing w:after="0" w:line="200" w:lineRule="exact"/>
        <w:rPr>
          <w:sz w:val="24"/>
          <w:szCs w:val="24"/>
          <w:color w:val="auto"/>
        </w:rPr>
      </w:pPr>
    </w:p>
    <w:p>
      <w:pPr>
        <w:spacing w:after="0" w:line="309"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OF THE SECURITIES EXCHANGE ACT OF 1934</w:t>
      </w:r>
    </w:p>
    <w:p>
      <w:pPr>
        <w:sectPr>
          <w:pgSz w:w="11900" w:h="16838" w:orient="portrait"/>
          <w:cols w:equalWidth="0" w:num="1">
            <w:col w:w="10239"/>
          </w:cols>
          <w:pgMar w:left="220" w:top="564" w:right="1440" w:bottom="1440" w:gutter="0" w:footer="0" w:header="0"/>
        </w:sectPr>
      </w:pP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Quarter Ended March 31, 2000</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1-3761</w:t>
      </w:r>
    </w:p>
    <w:p>
      <w:pPr>
        <w:spacing w:after="0" w:line="200" w:lineRule="exact"/>
        <w:rPr>
          <w:sz w:val="24"/>
          <w:szCs w:val="24"/>
          <w:color w:val="auto"/>
        </w:rPr>
      </w:pPr>
    </w:p>
    <w:p>
      <w:pPr>
        <w:sectPr>
          <w:pgSz w:w="11900" w:h="16838" w:orient="portrait"/>
          <w:cols w:equalWidth="0" w:num="2">
            <w:col w:w="3460" w:space="720"/>
            <w:col w:w="6059"/>
          </w:cols>
          <w:pgMar w:left="220" w:top="564" w:right="1440" w:bottom="1440" w:gutter="0" w:footer="0" w:header="0"/>
          <w:type w:val="continuous"/>
        </w:sectPr>
      </w:pPr>
    </w:p>
    <w:p>
      <w:pPr>
        <w:spacing w:after="0" w:line="309"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TEXAS INSTRUMENTS INCORPORATED</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4" w:right="1440"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75-0289970</w:t>
      </w:r>
    </w:p>
    <w:p>
      <w:pPr>
        <w:spacing w:after="0" w:line="8"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2940" w:space="720"/>
            <w:col w:w="6579"/>
          </w:cols>
          <w:pgMar w:left="220" w:top="564" w:right="1440"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spacing w:after="0"/>
        <w:tabs>
          <w:tab w:leader="none" w:pos="5720" w:val="left"/>
        </w:tabs>
        <w:rPr>
          <w:sz w:val="20"/>
          <w:szCs w:val="20"/>
          <w:color w:val="auto"/>
        </w:rPr>
      </w:pPr>
      <w:r>
        <w:rPr>
          <w:rFonts w:ascii="Courier New" w:cs="Courier New" w:eastAsia="Courier New" w:hAnsi="Courier New"/>
          <w:sz w:val="14"/>
          <w:szCs w:val="14"/>
          <w:color w:val="auto"/>
        </w:rPr>
        <w:t>12500 TI Boulevard P.O. Box 660199, Dallas, Texas</w:t>
      </w:r>
      <w:r>
        <w:rPr>
          <w:sz w:val="20"/>
          <w:szCs w:val="20"/>
          <w:color w:val="auto"/>
        </w:rPr>
        <w:tab/>
      </w:r>
      <w:r>
        <w:rPr>
          <w:rFonts w:ascii="Courier New" w:cs="Courier New" w:eastAsia="Courier New" w:hAnsi="Courier New"/>
          <w:sz w:val="14"/>
          <w:szCs w:val="14"/>
          <w:color w:val="auto"/>
        </w:rPr>
        <w:t>75266-0199</w:t>
      </w:r>
    </w:p>
    <w:p>
      <w:pPr>
        <w:sectPr>
          <w:pgSz w:w="11900" w:h="16838" w:orient="portrait"/>
          <w:cols w:equalWidth="0" w:num="1">
            <w:col w:w="10239"/>
          </w:cols>
          <w:pgMar w:left="220" w:top="564" w:right="1440" w:bottom="1440"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tabs>
          <w:tab w:leader="none" w:pos="572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42"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972-995-3773</w:t>
      </w:r>
    </w:p>
    <w:p>
      <w:pPr>
        <w:spacing w:after="0" w:line="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Indicate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by</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check mark whether the</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Registrant (1) has filed all</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reports</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required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be filed by Section 13</w:t>
            </w:r>
          </w:p>
        </w:tc>
        <w:tc>
          <w:tcPr>
            <w:tcW w:w="3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 15(d) of the Securities Exchange Act of</w:t>
            </w:r>
          </w:p>
        </w:tc>
      </w:tr>
      <w:tr>
        <w:trPr>
          <w:trHeight w:val="167"/>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1934 during</w:t>
            </w:r>
          </w:p>
        </w:tc>
        <w:tc>
          <w:tcPr>
            <w:tcW w:w="4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the preceding 12 months (or for such shorter period</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that the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required to file such reports), and (2) has been subject to</w:t>
      </w:r>
    </w:p>
    <w:p>
      <w:pPr>
        <w:spacing w:after="0" w:line="8" w:lineRule="exact"/>
        <w:rPr>
          <w:sz w:val="24"/>
          <w:szCs w:val="24"/>
          <w:color w:val="auto"/>
        </w:rPr>
      </w:pPr>
    </w:p>
    <w:p>
      <w:pPr>
        <w:spacing w:after="0"/>
        <w:tabs>
          <w:tab w:leader="none" w:pos="4500" w:val="left"/>
          <w:tab w:leader="none" w:pos="5100" w:val="left"/>
        </w:tabs>
        <w:rPr>
          <w:sz w:val="20"/>
          <w:szCs w:val="20"/>
          <w:color w:val="auto"/>
        </w:rPr>
      </w:pPr>
      <w:r>
        <w:rPr>
          <w:rFonts w:ascii="Courier New" w:cs="Courier New" w:eastAsia="Courier New" w:hAnsi="Courier New"/>
          <w:sz w:val="14"/>
          <w:szCs w:val="14"/>
          <w:color w:val="auto"/>
        </w:rPr>
        <w:t>such filing requirements for the past 90 days. Yes</w:t>
        <w:tab/>
        <w:t>X</w:t>
      </w:r>
      <w:r>
        <w:rPr>
          <w:sz w:val="20"/>
          <w:szCs w:val="20"/>
          <w:color w:val="auto"/>
        </w:rPr>
        <w:tab/>
      </w:r>
      <w:r>
        <w:rPr>
          <w:rFonts w:ascii="Courier New" w:cs="Courier New" w:eastAsia="Courier New" w:hAnsi="Courier New"/>
          <w:sz w:val="14"/>
          <w:szCs w:val="14"/>
          <w:color w:val="auto"/>
        </w:rPr>
        <w:t>No</w:t>
      </w:r>
    </w:p>
    <w:p>
      <w:pPr>
        <w:spacing w:after="0" w:line="8" w:lineRule="exact"/>
        <w:rPr>
          <w:sz w:val="24"/>
          <w:szCs w:val="24"/>
          <w:color w:val="auto"/>
        </w:rPr>
      </w:pPr>
    </w:p>
    <w:p>
      <w:pPr>
        <w:ind w:left="4440"/>
        <w:spacing w:after="0"/>
        <w:tabs>
          <w:tab w:leader="none" w:pos="5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818,196,147</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Number of shares of Registrant's common stock outstanding as of</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March 31, 2000</w:t>
      </w:r>
    </w:p>
    <w:p>
      <w:pPr>
        <w:sectPr>
          <w:pgSz w:w="11900" w:h="16838" w:orient="portrait"/>
          <w:cols w:equalWidth="0" w:num="1">
            <w:col w:w="10239"/>
          </w:cols>
          <w:pgMar w:left="220" w:top="56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7000" w:type="dxa"/>
            <w:vAlign w:val="bottom"/>
          </w:tcPr>
          <w:p>
            <w:pPr>
              <w:jc w:val="right"/>
              <w:ind w:right="2148"/>
              <w:spacing w:after="0"/>
              <w:rPr>
                <w:sz w:val="20"/>
                <w:szCs w:val="20"/>
                <w:color w:val="auto"/>
              </w:rPr>
            </w:pPr>
            <w:r>
              <w:rPr>
                <w:rFonts w:ascii="Courier New" w:cs="Courier New" w:eastAsia="Courier New" w:hAnsi="Courier New"/>
                <w:sz w:val="14"/>
                <w:szCs w:val="14"/>
                <w:color w:val="auto"/>
              </w:rPr>
              <w:t>PART I - FINANCIAL INFORMATION</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1"/>
        </w:trPr>
        <w:tc>
          <w:tcPr>
            <w:tcW w:w="7000" w:type="dxa"/>
            <w:vAlign w:val="bottom"/>
          </w:tcPr>
          <w:p>
            <w:pPr>
              <w:spacing w:after="0"/>
              <w:rPr>
                <w:sz w:val="20"/>
                <w:szCs w:val="20"/>
                <w:color w:val="auto"/>
              </w:rPr>
            </w:pPr>
            <w:r>
              <w:rPr>
                <w:rFonts w:ascii="Courier New" w:cs="Courier New" w:eastAsia="Courier New" w:hAnsi="Courier New"/>
                <w:sz w:val="14"/>
                <w:szCs w:val="14"/>
                <w:color w:val="auto"/>
              </w:rPr>
              <w:t>ITEM 1.  Financial Statements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7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7000" w:type="dxa"/>
            <w:vAlign w:val="bottom"/>
          </w:tcPr>
          <w:p>
            <w:pPr>
              <w:jc w:val="center"/>
              <w:ind w:left="2768"/>
              <w:spacing w:after="0"/>
              <w:rPr>
                <w:sz w:val="20"/>
                <w:szCs w:val="20"/>
                <w:color w:val="auto"/>
              </w:rPr>
            </w:pPr>
            <w:r>
              <w:rPr>
                <w:rFonts w:ascii="Courier New" w:cs="Courier New" w:eastAsia="Courier New" w:hAnsi="Courier New"/>
                <w:sz w:val="14"/>
                <w:szCs w:val="14"/>
                <w:color w:val="auto"/>
              </w:rPr>
              <w:t>TEXAS INSTRUMENTS INCORPORATED AND SUBSIDIARIES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7000" w:type="dxa"/>
            <w:vAlign w:val="bottom"/>
          </w:tcPr>
          <w:p>
            <w:pPr>
              <w:jc w:val="center"/>
              <w:ind w:left="2748"/>
              <w:spacing w:after="0"/>
              <w:rPr>
                <w:sz w:val="20"/>
                <w:szCs w:val="20"/>
                <w:color w:val="auto"/>
              </w:rPr>
            </w:pPr>
            <w:r>
              <w:rPr>
                <w:rFonts w:ascii="Courier New" w:cs="Courier New" w:eastAsia="Courier New" w:hAnsi="Courier New"/>
                <w:sz w:val="14"/>
                <w:szCs w:val="14"/>
                <w:color w:val="auto"/>
              </w:rPr>
              <w:t>Consolidated Financial Statements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220" w:type="dxa"/>
            <w:vAlign w:val="bottom"/>
            <w:gridSpan w:val="2"/>
          </w:tcPr>
          <w:p>
            <w:pPr>
              <w:jc w:val="center"/>
              <w:ind w:left="2528"/>
              <w:spacing w:after="0"/>
              <w:rPr>
                <w:sz w:val="20"/>
                <w:szCs w:val="20"/>
                <w:color w:val="auto"/>
              </w:rPr>
            </w:pPr>
            <w:r>
              <w:rPr>
                <w:rFonts w:ascii="Courier New" w:cs="Courier New" w:eastAsia="Courier New" w:hAnsi="Courier New"/>
                <w:sz w:val="14"/>
                <w:szCs w:val="14"/>
                <w:color w:val="auto"/>
              </w:rPr>
              <w:t>(In millions of dollars, except per-share amounts.)</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7000" w:type="dxa"/>
            <w:vAlign w:val="bottom"/>
          </w:tcPr>
          <w:p>
            <w:pPr>
              <w:spacing w:after="0"/>
              <w:rPr>
                <w:sz w:val="24"/>
                <w:szCs w:val="24"/>
                <w:color w:val="auto"/>
              </w:rPr>
            </w:pPr>
          </w:p>
        </w:tc>
        <w:tc>
          <w:tcPr>
            <w:tcW w:w="21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For Three Months Ended</w:t>
            </w:r>
          </w:p>
        </w:tc>
      </w:tr>
      <w:tr>
        <w:trPr>
          <w:trHeight w:val="167"/>
        </w:trPr>
        <w:tc>
          <w:tcPr>
            <w:tcW w:w="70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Mar.31</w:t>
            </w:r>
          </w:p>
        </w:tc>
        <w:tc>
          <w:tcPr>
            <w:tcW w:w="1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Mar.31</w:t>
            </w:r>
          </w:p>
        </w:tc>
      </w:tr>
      <w:tr>
        <w:trPr>
          <w:trHeight w:val="167"/>
        </w:trPr>
        <w:tc>
          <w:tcPr>
            <w:tcW w:w="700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7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501"/>
        </w:trPr>
        <w:tc>
          <w:tcPr>
            <w:tcW w:w="70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$ 2,653</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$ 2,081</w:t>
            </w:r>
          </w:p>
        </w:tc>
      </w:tr>
      <w:tr>
        <w:trPr>
          <w:trHeight w:val="167"/>
        </w:trPr>
        <w:tc>
          <w:tcPr>
            <w:tcW w:w="700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Cost of revenues..........................................................</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1,370</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1,133</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Research and development..................................................</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373</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Marketing, general and administrative.....................................</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388</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w:t>
            </w:r>
          </w:p>
        </w:tc>
      </w:tr>
      <w:tr>
        <w:trPr>
          <w:trHeight w:val="167"/>
        </w:trPr>
        <w:tc>
          <w:tcPr>
            <w:tcW w:w="7000" w:type="dxa"/>
            <w:vAlign w:val="bottom"/>
          </w:tcPr>
          <w:p>
            <w:pPr>
              <w:spacing w:after="0"/>
              <w:rPr>
                <w:sz w:val="14"/>
                <w:szCs w:val="14"/>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Total...................................................................</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2,131</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1,775</w:t>
            </w:r>
          </w:p>
        </w:tc>
      </w:tr>
      <w:tr>
        <w:trPr>
          <w:trHeight w:val="167"/>
        </w:trPr>
        <w:tc>
          <w:tcPr>
            <w:tcW w:w="7000" w:type="dxa"/>
            <w:vAlign w:val="bottom"/>
          </w:tcPr>
          <w:p>
            <w:pPr>
              <w:spacing w:after="0"/>
              <w:rPr>
                <w:sz w:val="14"/>
                <w:szCs w:val="14"/>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Profit from operations......................................................</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522</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306</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Other income (expense) net..................................................</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Interest on loans...........................................................</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r>
      <w:tr>
        <w:trPr>
          <w:trHeight w:val="167"/>
        </w:trPr>
        <w:tc>
          <w:tcPr>
            <w:tcW w:w="7000" w:type="dxa"/>
            <w:vAlign w:val="bottom"/>
          </w:tcPr>
          <w:p>
            <w:pPr>
              <w:spacing w:after="0"/>
              <w:rPr>
                <w:sz w:val="14"/>
                <w:szCs w:val="14"/>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Income before provision for income taxes....................................</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627</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376</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Provision for income taxes..................................................</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w:t>
            </w:r>
          </w:p>
        </w:tc>
      </w:tr>
      <w:tr>
        <w:trPr>
          <w:trHeight w:val="167"/>
        </w:trPr>
        <w:tc>
          <w:tcPr>
            <w:tcW w:w="7000" w:type="dxa"/>
            <w:vAlign w:val="bottom"/>
          </w:tcPr>
          <w:p>
            <w:pPr>
              <w:spacing w:after="0"/>
              <w:rPr>
                <w:sz w:val="14"/>
                <w:szCs w:val="14"/>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w:t>
            </w:r>
          </w:p>
        </w:tc>
      </w:tr>
      <w:tr>
        <w:trPr>
          <w:trHeight w:val="167"/>
        </w:trPr>
        <w:tc>
          <w:tcPr>
            <w:tcW w:w="7000" w:type="dxa"/>
            <w:vAlign w:val="bottom"/>
          </w:tcPr>
          <w:p>
            <w:pPr>
              <w:spacing w:after="0"/>
              <w:rPr>
                <w:sz w:val="14"/>
                <w:szCs w:val="14"/>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700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0.31</w:t>
            </w:r>
          </w:p>
        </w:tc>
      </w:tr>
      <w:tr>
        <w:trPr>
          <w:trHeight w:val="167"/>
        </w:trPr>
        <w:tc>
          <w:tcPr>
            <w:tcW w:w="7000" w:type="dxa"/>
            <w:vAlign w:val="bottom"/>
          </w:tcPr>
          <w:p>
            <w:pPr>
              <w:spacing w:after="0"/>
              <w:rPr>
                <w:sz w:val="14"/>
                <w:szCs w:val="14"/>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Basic earnings per common share.............................................</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0.32</w:t>
            </w:r>
          </w:p>
        </w:tc>
      </w:tr>
      <w:tr>
        <w:trPr>
          <w:trHeight w:val="167"/>
        </w:trPr>
        <w:tc>
          <w:tcPr>
            <w:tcW w:w="7000" w:type="dxa"/>
            <w:vAlign w:val="bottom"/>
          </w:tcPr>
          <w:p>
            <w:pPr>
              <w:spacing w:after="0"/>
              <w:rPr>
                <w:sz w:val="14"/>
                <w:szCs w:val="14"/>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Cash dividends declared per share of common stock...........................</w:t>
            </w: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.0425</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.0425</w:t>
            </w:r>
          </w:p>
        </w:tc>
      </w:tr>
      <w:tr>
        <w:trPr>
          <w:trHeight w:val="501"/>
        </w:trPr>
        <w:tc>
          <w:tcPr>
            <w:tcW w:w="700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7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402</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w:t>
            </w:r>
          </w:p>
        </w:tc>
      </w:tr>
      <w:tr>
        <w:trPr>
          <w:trHeight w:val="334"/>
        </w:trPr>
        <w:tc>
          <w:tcPr>
            <w:tcW w:w="70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Additions to property, plant and equipment................................</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(641)</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Purchases of short-term investments.......................................</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(967)</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Sales and maturities of short-term investments............................</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1,209</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766</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Purchases of noncurrent investments.......................................</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Sales of noncurrent investments...........................................</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Acquisition of businesses, net of cash acquired...........................</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7"/>
        </w:trPr>
        <w:tc>
          <w:tcPr>
            <w:tcW w:w="7000" w:type="dxa"/>
            <w:vAlign w:val="bottom"/>
          </w:tcPr>
          <w:p>
            <w:pPr>
              <w:spacing w:after="0"/>
              <w:rPr>
                <w:sz w:val="14"/>
                <w:szCs w:val="14"/>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w:t>
            </w:r>
          </w:p>
        </w:tc>
      </w:tr>
      <w:tr>
        <w:trPr>
          <w:trHeight w:val="334"/>
        </w:trPr>
        <w:tc>
          <w:tcPr>
            <w:tcW w:w="70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Payments on long-term debt................................................</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Dividends paid on common stock............................................</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Sales and other common stock transactions.................................</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Common stock repurchase program...........................................</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w:t>
            </w:r>
          </w:p>
        </w:tc>
      </w:tr>
      <w:tr>
        <w:trPr>
          <w:trHeight w:val="167"/>
        </w:trPr>
        <w:tc>
          <w:tcPr>
            <w:tcW w:w="7000" w:type="dxa"/>
            <w:vAlign w:val="bottom"/>
          </w:tcPr>
          <w:p>
            <w:pPr>
              <w:spacing w:after="0"/>
              <w:rPr>
                <w:sz w:val="14"/>
                <w:szCs w:val="14"/>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Net cash used in financing activities.......................................</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w:t>
            </w:r>
          </w:p>
        </w:tc>
      </w:tr>
      <w:tr>
        <w:trPr>
          <w:trHeight w:val="334"/>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Effect of exchange rate changes on cash.....................................</w:t>
            </w:r>
          </w:p>
        </w:tc>
        <w:tc>
          <w:tcPr>
            <w:tcW w:w="22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34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7"/>
        </w:trPr>
        <w:tc>
          <w:tcPr>
            <w:tcW w:w="7000" w:type="dxa"/>
            <w:vAlign w:val="bottom"/>
          </w:tcPr>
          <w:p>
            <w:pPr>
              <w:spacing w:after="0"/>
              <w:rPr>
                <w:sz w:val="14"/>
                <w:szCs w:val="14"/>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Net increase in cash and cash equivalents...................................</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Cash and cash equivalents, January 1........................................</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662</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632</w:t>
            </w:r>
          </w:p>
        </w:tc>
      </w:tr>
      <w:tr>
        <w:trPr>
          <w:trHeight w:val="167"/>
        </w:trPr>
        <w:tc>
          <w:tcPr>
            <w:tcW w:w="7000" w:type="dxa"/>
            <w:vAlign w:val="bottom"/>
          </w:tcPr>
          <w:p>
            <w:pPr>
              <w:spacing w:after="0"/>
              <w:rPr>
                <w:sz w:val="14"/>
                <w:szCs w:val="14"/>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Cash and cash equivalents, March 31.........................................</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909</w:t>
            </w:r>
          </w:p>
        </w:tc>
      </w:tr>
      <w:tr>
        <w:trPr>
          <w:trHeight w:val="167"/>
        </w:trPr>
        <w:tc>
          <w:tcPr>
            <w:tcW w:w="7000" w:type="dxa"/>
            <w:vAlign w:val="bottom"/>
          </w:tcPr>
          <w:p>
            <w:pPr>
              <w:spacing w:after="0"/>
              <w:rPr>
                <w:sz w:val="14"/>
                <w:szCs w:val="14"/>
                <w:color w:val="auto"/>
              </w:rPr>
            </w:pPr>
          </w:p>
        </w:tc>
        <w:tc>
          <w:tcPr>
            <w:tcW w:w="10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700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TEXAS INSTRUMENTS INCORPORATED AND SUBSIDIARIES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Consolidated Financial Statements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72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(In millions of dollars, except per-share amounts.)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501"/>
        </w:trPr>
        <w:tc>
          <w:tcPr>
            <w:tcW w:w="6120" w:type="dxa"/>
            <w:vAlign w:val="bottom"/>
          </w:tcPr>
          <w:p>
            <w:pPr>
              <w:spacing w:after="0"/>
              <w:rPr>
                <w:sz w:val="24"/>
                <w:szCs w:val="2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Mar. 31</w:t>
            </w: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 31</w:t>
            </w: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Balance Sheet</w:t>
            </w:r>
          </w:p>
        </w:tc>
        <w:tc>
          <w:tcPr>
            <w:tcW w:w="2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r>
      <w:tr>
        <w:trPr>
          <w:trHeight w:val="501"/>
        </w:trPr>
        <w:tc>
          <w:tcPr>
            <w:tcW w:w="61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675</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Short-term investments.............................................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1,755</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less allowance for losses of</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 million in 2000 and $67 million in 1999......................</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1,911</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1,843</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Raw materials....................................................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Work in process..................................................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508</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463</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Finished goods...................................................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265</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Inventories....................................................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937</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845</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Prepaid expenses...................................................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583</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605</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current assets.............................................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5,974</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6,055</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plant and equipment........................................</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7,583</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7,120</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Less accumulated depreciation......................................</w:t>
            </w:r>
          </w:p>
        </w:tc>
        <w:tc>
          <w:tcPr>
            <w:tcW w:w="2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(3,367)</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(3,285)</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plant and equipment (net)..............................</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4,216</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3,835</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Investments..........................................................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6,364</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4,204</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Goodwill and other acquisition-related intangibles...................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503</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assets.........................................................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407</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assets.........................................................</w:t>
            </w: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$17,500</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$15,028</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61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Loans payable and current portion long-term debt...................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385</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313</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payable...................................................</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853</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668</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and other current liabilities..............................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1,280</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1,647</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current liabilities........................................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2,518</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2,628</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991</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1,097</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retirement costs.............................................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741</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797</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1,724</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credits and other liabilities...............................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327</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257</w:t>
            </w:r>
          </w:p>
        </w:tc>
      </w:tr>
      <w:tr>
        <w:trPr>
          <w:trHeight w:val="334"/>
        </w:trPr>
        <w:tc>
          <w:tcPr>
            <w:tcW w:w="61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$25 par value. Authorized - 10,000,000 shares.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Participating cumulative preferred. None issued..................</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Common stock, $1 par value. Authorized - 1,200,000,000 shares.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issued: 2000 - 819,479,690; 1999 - 813,926,025............</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819</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814</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Paid-in capital....................................................</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995</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822</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6,569</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6,175</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Less treasury common stock at cost.</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2000 - 1,283,543; 1999 - 1,034,757.......................</w:t>
            </w:r>
          </w:p>
        </w:tc>
        <w:tc>
          <w:tcPr>
            <w:tcW w:w="2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other comprehensive income.............................</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2,977</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1,553</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stockholders' equity.......................................</w:t>
            </w:r>
          </w:p>
        </w:tc>
        <w:tc>
          <w:tcPr>
            <w:tcW w:w="2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11,199</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9,255</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$17,500</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$15,028</w:t>
            </w:r>
          </w:p>
        </w:tc>
      </w:tr>
      <w:tr>
        <w:trPr>
          <w:trHeight w:val="167"/>
        </w:trPr>
        <w:tc>
          <w:tcPr>
            <w:tcW w:w="6120" w:type="dxa"/>
            <w:vAlign w:val="bottom"/>
          </w:tcPr>
          <w:p>
            <w:pPr>
              <w:spacing w:after="0"/>
              <w:rPr>
                <w:sz w:val="14"/>
                <w:szCs w:val="14"/>
                <w:color w:val="auto"/>
              </w:rPr>
            </w:pPr>
          </w:p>
        </w:tc>
        <w:tc>
          <w:tcPr>
            <w:tcW w:w="11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501"/>
        </w:trPr>
        <w:tc>
          <w:tcPr>
            <w:tcW w:w="612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3</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3" w:name="page4"/>
    <w:bookmarkEnd w:id="3"/>
    <w:p>
      <w:pPr>
        <w:ind w:left="1400"/>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Notes to Financial Statements</w:t>
      </w:r>
    </w:p>
    <w:p>
      <w:pPr>
        <w:spacing w:after="0" w:line="342" w:lineRule="exact"/>
        <w:rPr>
          <w:sz w:val="20"/>
          <w:szCs w:val="20"/>
          <w:color w:val="auto"/>
        </w:rPr>
      </w:pPr>
    </w:p>
    <w:p>
      <w:pPr>
        <w:ind w:right="3539" w:firstLine="9"/>
        <w:spacing w:after="0" w:line="255" w:lineRule="auto"/>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per common share are based on average common and dilutive potential common shares outstanding (851.6 and 824.7 million shares for the first quarters of 2000 and 1999).</w:t>
      </w:r>
    </w:p>
    <w:p>
      <w:pPr>
        <w:spacing w:after="0" w:line="162"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2000, the company recorded pretax charges of $29</w:t>
      </w:r>
    </w:p>
    <w:p>
      <w:pPr>
        <w:spacing w:after="0" w:line="8" w:lineRule="exact"/>
        <w:rPr>
          <w:rFonts w:ascii="Courier New" w:cs="Courier New" w:eastAsia="Courier New" w:hAnsi="Courier New"/>
          <w:sz w:val="14"/>
          <w:szCs w:val="14"/>
          <w:color w:val="auto"/>
        </w:rPr>
      </w:pPr>
    </w:p>
    <w:p>
      <w:pPr>
        <w:ind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million, primarily associated with previously announced actions, including the closing of the Materials &amp; Control manufacturing facility in Versailles, Kentucky, and TI's acquisition of Toccata Technology ApS. Of the $29 million charge, $12 million is for severance for the elimination of 480 jobs in Kentucky. At March 31, 2000, the pay-out of the severance cost obligation had not yet begun. Of the $29 million charge, $20 million is included in cost of revenues, $6 million in marketing, general and administrative expense, and $3 million in research and development expense.</w:t>
      </w:r>
    </w:p>
    <w:p>
      <w:pPr>
        <w:spacing w:after="0" w:line="164" w:lineRule="exact"/>
        <w:rPr>
          <w:rFonts w:ascii="Courier New" w:cs="Courier New" w:eastAsia="Courier New" w:hAnsi="Courier New"/>
          <w:sz w:val="14"/>
          <w:szCs w:val="14"/>
          <w:color w:val="auto"/>
        </w:rPr>
      </w:pPr>
    </w:p>
    <w:p>
      <w:pPr>
        <w:ind w:right="3459" w:firstLine="9"/>
        <w:spacing w:after="0" w:line="253" w:lineRule="auto"/>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1999, the company announced a consolidation of semiconductor manufacturing operations in Japan to improve manufacturing efficiencies and reduce costs. The action resulted in a pretax charge of $14 million in the first quarter, of which $13 million was for severance for the elimination of 153 jobs in Hatagoya, Japan. At year-end 1999, this program was complete. Of the $14 million charge, $11 million was included in cost of revenues and $3 million in marketing, general and administrative expense.</w:t>
      </w:r>
    </w:p>
    <w:p>
      <w:pPr>
        <w:spacing w:after="0" w:line="164" w:lineRule="exact"/>
        <w:rPr>
          <w:rFonts w:ascii="Courier New" w:cs="Courier New" w:eastAsia="Courier New" w:hAnsi="Courier New"/>
          <w:sz w:val="14"/>
          <w:szCs w:val="14"/>
          <w:color w:val="auto"/>
        </w:rPr>
      </w:pPr>
    </w:p>
    <w:p>
      <w:pPr>
        <w:ind w:right="3899" w:firstLine="9"/>
        <w:spacing w:after="0" w:line="258" w:lineRule="auto"/>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1999, sale of the Micron subordinated note and other securities generated $172 million in cash.</w:t>
      </w:r>
    </w:p>
    <w:p>
      <w:pPr>
        <w:spacing w:after="0" w:line="159" w:lineRule="exact"/>
        <w:rPr>
          <w:rFonts w:ascii="Courier New" w:cs="Courier New" w:eastAsia="Courier New" w:hAnsi="Courier New"/>
          <w:sz w:val="14"/>
          <w:szCs w:val="14"/>
          <w:color w:val="auto"/>
        </w:rPr>
      </w:pPr>
    </w:p>
    <w:p>
      <w:pPr>
        <w:ind w:right="3539" w:firstLine="9"/>
        <w:spacing w:after="0" w:line="255" w:lineRule="auto"/>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comprehensive income, i.e., net income plus investment and pension liability adjustments to stockholders' equity, for the first quarters of 2000 and 1999 was $1850 million and $266 million.</w:t>
      </w:r>
    </w:p>
    <w:p>
      <w:pPr>
        <w:spacing w:after="0" w:line="162" w:lineRule="exact"/>
        <w:rPr>
          <w:rFonts w:ascii="Courier New" w:cs="Courier New" w:eastAsia="Courier New" w:hAnsi="Courier New"/>
          <w:sz w:val="14"/>
          <w:szCs w:val="14"/>
          <w:color w:val="auto"/>
        </w:rPr>
      </w:pPr>
    </w:p>
    <w:p>
      <w:pPr>
        <w:ind w:right="4159" w:firstLine="9"/>
        <w:spacing w:after="0" w:line="258" w:lineRule="auto"/>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significant change in the status of the audit and investigation concerning grants from the Italian government.</w:t>
      </w:r>
    </w:p>
    <w:p>
      <w:pPr>
        <w:spacing w:after="0" w:line="159" w:lineRule="exact"/>
        <w:rPr>
          <w:rFonts w:ascii="Courier New" w:cs="Courier New" w:eastAsia="Courier New" w:hAnsi="Courier New"/>
          <w:sz w:val="14"/>
          <w:szCs w:val="14"/>
          <w:color w:val="auto"/>
        </w:rPr>
      </w:pPr>
    </w:p>
    <w:p>
      <w:pPr>
        <w:ind w:right="3459" w:firstLine="9"/>
        <w:spacing w:after="0" w:line="254" w:lineRule="auto"/>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1999, the Securities and Exchange Commission issued Staff Accounting Bulletin (SAB) No. 101 on revenue recognition. TI is currently evaluating the impact of SAB No. 101, which is effective in the second quarter of 2000, and expects any effect to be immaterial.</w:t>
      </w:r>
    </w:p>
    <w:p>
      <w:pPr>
        <w:spacing w:after="0" w:line="163"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two-for-one stock split in the form of a 100 percent stock dividend,</w:t>
      </w:r>
    </w:p>
    <w:p>
      <w:pPr>
        <w:spacing w:after="0" w:line="8" w:lineRule="exact"/>
        <w:rPr>
          <w:rFonts w:ascii="Courier New" w:cs="Courier New" w:eastAsia="Courier New" w:hAnsi="Courier New"/>
          <w:sz w:val="14"/>
          <w:szCs w:val="14"/>
          <w:color w:val="auto"/>
        </w:rPr>
      </w:pPr>
    </w:p>
    <w:p>
      <w:pPr>
        <w:ind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payable on May 22, 2000, was announced on April 20, 2000. The EPS amounts in this report were calculated on a pre-split basis.</w:t>
      </w:r>
    </w:p>
    <w:p>
      <w:pPr>
        <w:spacing w:after="0" w:line="159" w:lineRule="exact"/>
        <w:rPr>
          <w:rFonts w:ascii="Courier New" w:cs="Courier New" w:eastAsia="Courier New" w:hAnsi="Courier New"/>
          <w:sz w:val="14"/>
          <w:szCs w:val="14"/>
          <w:color w:val="auto"/>
        </w:rPr>
      </w:pPr>
    </w:p>
    <w:p>
      <w:pPr>
        <w:jc w:val="both"/>
        <w:ind w:right="3539" w:firstLine="9"/>
        <w:spacing w:after="0" w:line="254" w:lineRule="auto"/>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of income, statements of cash flows and balance sheet at March 31, 2000, are not audited but reflect all adjustments which are of a normal recurring nature and are, in the opinion of management, necessary to a fair statement of the results of the periods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10. Business segment information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Three Months Ended</w:t>
            </w:r>
          </w:p>
        </w:tc>
      </w:tr>
      <w:tr>
        <w:trPr>
          <w:trHeight w:val="167"/>
        </w:trPr>
        <w:tc>
          <w:tcPr>
            <w:tcW w:w="400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Business Segment Net Revenues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Mar. 31</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 31</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(millions of dollars)</w:t>
            </w: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2000</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000" w:type="dxa"/>
            <w:vAlign w:val="bottom"/>
          </w:tcPr>
          <w:p>
            <w:pPr>
              <w:spacing w:after="0"/>
              <w:rPr>
                <w:sz w:val="20"/>
                <w:szCs w:val="20"/>
                <w:color w:val="auto"/>
              </w:rPr>
            </w:pPr>
            <w:r>
              <w:rPr>
                <w:rFonts w:ascii="Courier New" w:cs="Courier New" w:eastAsia="Courier New" w:hAnsi="Courier New"/>
                <w:sz w:val="14"/>
                <w:szCs w:val="14"/>
                <w:color w:val="auto"/>
              </w:rPr>
              <w:t>Semiconductor</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w w:val="96"/>
              </w:rPr>
              <w:t>Trade..........................................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$2,265</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$1,737</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w w:val="96"/>
              </w:rPr>
              <w:t>Intersegment...................................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167"/>
        </w:trPr>
        <w:tc>
          <w:tcPr>
            <w:tcW w:w="40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2,270</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1,741</w:t>
            </w:r>
          </w:p>
        </w:tc>
      </w:tr>
      <w:tr>
        <w:trPr>
          <w:trHeight w:val="167"/>
        </w:trPr>
        <w:tc>
          <w:tcPr>
            <w:tcW w:w="40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Materials &amp; Controls</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w w:val="96"/>
              </w:rPr>
              <w:t>Trade..........................................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w:t>
            </w: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w w:val="96"/>
              </w:rPr>
              <w:t>Intersegment...................................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w:t>
            </w:r>
          </w:p>
        </w:tc>
      </w:tr>
      <w:tr>
        <w:trPr>
          <w:trHeight w:val="167"/>
        </w:trPr>
        <w:tc>
          <w:tcPr>
            <w:tcW w:w="40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Educational &amp; Productivity Solutions</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w w:val="96"/>
              </w:rPr>
              <w:t>Trade..........................................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w:t>
            </w: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w w:val="96"/>
              </w:rPr>
              <w:t>Corporate activities.............................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w w:val="96"/>
              </w:rPr>
              <w:t>Divested activities..............................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r>
      <w:tr>
        <w:trPr>
          <w:trHeight w:val="167"/>
        </w:trPr>
        <w:tc>
          <w:tcPr>
            <w:tcW w:w="40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w w:val="96"/>
              </w:rPr>
              <w:t>Total net revenues...............................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$2,653</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$2,081</w:t>
            </w:r>
          </w:p>
        </w:tc>
      </w:tr>
      <w:tr>
        <w:trPr>
          <w:trHeight w:val="167"/>
        </w:trPr>
        <w:tc>
          <w:tcPr>
            <w:tcW w:w="40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Note: The following Segment data includes ongoing amortization of goodwill and other acquisition-related intangible assets.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Profit (Loss)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 of dollars)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Semiconductor....................................</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556</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Materials &amp; Controls.............................</w:t>
            </w:r>
          </w:p>
        </w:tc>
        <w:tc>
          <w:tcPr>
            <w:tcW w:w="34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w:t>
            </w:r>
          </w:p>
        </w:tc>
        <w:tc>
          <w:tcPr>
            <w:tcW w:w="36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Educational &amp; Productivity Solutions.............</w:t>
            </w:r>
          </w:p>
        </w:tc>
        <w:tc>
          <w:tcPr>
            <w:tcW w:w="34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36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Corporate activities.............................</w:t>
            </w:r>
          </w:p>
        </w:tc>
        <w:tc>
          <w:tcPr>
            <w:tcW w:w="34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w:t>
            </w:r>
          </w:p>
        </w:tc>
        <w:tc>
          <w:tcPr>
            <w:tcW w:w="3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Special charges and gains, net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of applicable profit sharing...................</w:t>
            </w:r>
          </w:p>
        </w:tc>
        <w:tc>
          <w:tcPr>
            <w:tcW w:w="34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c>
          <w:tcPr>
            <w:tcW w:w="3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Interest on loans/other income (expense) net.....</w:t>
            </w:r>
          </w:p>
        </w:tc>
        <w:tc>
          <w:tcPr>
            <w:tcW w:w="34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105</w:t>
            </w:r>
          </w:p>
        </w:tc>
        <w:tc>
          <w:tcPr>
            <w:tcW w:w="36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Divested activities..............................</w:t>
            </w:r>
          </w:p>
        </w:tc>
        <w:tc>
          <w:tcPr>
            <w:tcW w:w="34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36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7"/>
        </w:trPr>
        <w:tc>
          <w:tcPr>
            <w:tcW w:w="426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627</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w:t>
            </w:r>
          </w:p>
        </w:tc>
      </w:tr>
      <w:tr>
        <w:trPr>
          <w:trHeight w:val="167"/>
        </w:trPr>
        <w:tc>
          <w:tcPr>
            <w:tcW w:w="426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4260" w:type="dxa"/>
            <w:vAlign w:val="bottom"/>
          </w:tcPr>
          <w:p>
            <w:pPr>
              <w:ind w:left="3220"/>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5" w:name="page6"/>
    <w:bookmarkEnd w:id="5"/>
    <w:p>
      <w:pPr>
        <w:ind w:right="3539" w:firstLine="9"/>
        <w:spacing w:after="0" w:line="253" w:lineRule="auto"/>
        <w:tabs>
          <w:tab w:leader="none" w:pos="34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Acquisition-related purchased in-process R&amp;D charges were $79 million in 1999. These charges are for the value of acquired in-process research and development from business purchase acquisitions.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16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Significant assumptions, detailed in the table below, used in determining the value of purchased R&amp;D included the discount rate, the estimated beginning date of projected operating cash flows, and the remaining cost and time, in engineer-months, to complete the R&amp;D projects. The term "engineer-month" refers to the average amount of research work expected to be performed by an engineer in a month.</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in-process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Millions of Dollars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Cost/time to</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Year</w:t>
            </w: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Purchased</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complete R&amp;D projects</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cash flows</w:t>
            </w: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Entity</w:t>
            </w:r>
          </w:p>
        </w:tc>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Acquisition</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Consid-</w:t>
            </w:r>
          </w:p>
        </w:tc>
        <w:tc>
          <w:tcPr>
            <w:tcW w:w="88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Other</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in-process</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Appraisal</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R&amp;D</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Discount</w:t>
            </w:r>
          </w:p>
        </w:tc>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projected</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acquired</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date</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eration</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intangibles</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R&amp;D charge</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method</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focus</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rate</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At</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At</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to begin</w:t>
            </w: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acquisition Mar. 2000</w:t>
            </w:r>
          </w:p>
        </w:tc>
        <w:tc>
          <w:tcPr>
            <w:tcW w:w="1020" w:type="dxa"/>
            <w:vAlign w:val="bottom"/>
          </w:tcPr>
          <w:p>
            <w:pPr>
              <w:spacing w:after="0"/>
              <w:rPr>
                <w:sz w:val="14"/>
                <w:szCs w:val="14"/>
                <w:color w:val="auto"/>
              </w:rPr>
            </w:pP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26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960" w:type="dxa"/>
            <w:vAlign w:val="bottom"/>
          </w:tcPr>
          <w:p>
            <w:pPr>
              <w:spacing w:after="0"/>
              <w:rPr>
                <w:sz w:val="20"/>
                <w:szCs w:val="20"/>
                <w:color w:val="auto"/>
              </w:rPr>
            </w:pPr>
            <w:r>
              <w:rPr>
                <w:rFonts w:ascii="Courier New" w:cs="Courier New" w:eastAsia="Courier New" w:hAnsi="Courier New"/>
                <w:sz w:val="14"/>
                <w:szCs w:val="14"/>
                <w:color w:val="auto"/>
              </w:rPr>
              <w:t>Butterfly</w:t>
            </w:r>
          </w:p>
        </w:tc>
        <w:tc>
          <w:tcPr>
            <w:tcW w:w="14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First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$ 33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Exclusion</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Short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$5/264</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$2.0/140</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VLSI,</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quarter</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approach</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distance</w:t>
            </w:r>
          </w:p>
        </w:tc>
        <w:tc>
          <w:tcPr>
            <w:tcW w:w="8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engineer</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engineer</w:t>
            </w:r>
          </w:p>
        </w:tc>
        <w:tc>
          <w:tcPr>
            <w:tcW w:w="1020" w:type="dxa"/>
            <w:vAlign w:val="bottom"/>
          </w:tcPr>
          <w:p>
            <w:pPr>
              <w:spacing w:after="0"/>
              <w:rPr>
                <w:sz w:val="14"/>
                <w:szCs w:val="14"/>
                <w:color w:val="auto"/>
              </w:rPr>
            </w:pP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Ltd.</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wireless</w:t>
            </w:r>
          </w:p>
        </w:tc>
        <w:tc>
          <w:tcPr>
            <w:tcW w:w="8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technology</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 voice-</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plus-data</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transmission</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products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01"/>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Libit Signal</w:t>
            </w: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Second</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365</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$207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106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Exclusion</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Silicon</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$5/492</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$0.5/50</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Processing</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quarter</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approach</w:t>
            </w: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Solutions</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engineer</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engineer</w:t>
            </w:r>
          </w:p>
        </w:tc>
        <w:tc>
          <w:tcPr>
            <w:tcW w:w="1020" w:type="dxa"/>
            <w:vAlign w:val="bottom"/>
          </w:tcPr>
          <w:p>
            <w:pPr>
              <w:spacing w:after="0"/>
              <w:rPr>
                <w:sz w:val="14"/>
                <w:szCs w:val="14"/>
                <w:color w:val="auto"/>
              </w:rPr>
            </w:pP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Ltd.</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8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Internet</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telephony</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software</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 cable</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modems, etc.</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 Internet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access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01"/>
        </w:trPr>
        <w:tc>
          <w:tcPr>
            <w:tcW w:w="960" w:type="dxa"/>
            <w:vAlign w:val="bottom"/>
          </w:tcPr>
          <w:p>
            <w:pPr>
              <w:spacing w:after="0"/>
              <w:rPr>
                <w:sz w:val="20"/>
                <w:szCs w:val="20"/>
                <w:color w:val="auto"/>
              </w:rPr>
            </w:pPr>
            <w:r>
              <w:rPr>
                <w:rFonts w:ascii="Courier New" w:cs="Courier New" w:eastAsia="Courier New" w:hAnsi="Courier New"/>
                <w:sz w:val="14"/>
                <w:szCs w:val="14"/>
                <w:color w:val="auto"/>
              </w:rPr>
              <w:t>Integrated</w:t>
            </w:r>
          </w:p>
        </w:tc>
        <w:tc>
          <w:tcPr>
            <w:tcW w:w="14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Third</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$ 32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Exclusion</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Intel-</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$4/233</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$0.3/40</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Sensor</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quarter</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approach</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ligent</w:t>
            </w:r>
          </w:p>
        </w:tc>
        <w:tc>
          <w:tcPr>
            <w:tcW w:w="8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engineer</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engineer</w:t>
            </w:r>
          </w:p>
        </w:tc>
        <w:tc>
          <w:tcPr>
            <w:tcW w:w="1020" w:type="dxa"/>
            <w:vAlign w:val="bottom"/>
          </w:tcPr>
          <w:p>
            <w:pPr>
              <w:spacing w:after="0"/>
              <w:rPr>
                <w:sz w:val="14"/>
                <w:szCs w:val="14"/>
                <w:color w:val="auto"/>
              </w:rPr>
            </w:pP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Solutions,</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sensors</w:t>
            </w:r>
          </w:p>
        </w:tc>
        <w:tc>
          <w:tcPr>
            <w:tcW w:w="8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1020" w:type="dxa"/>
            <w:vAlign w:val="bottom"/>
          </w:tcPr>
          <w:p>
            <w:pPr>
              <w:spacing w:after="0"/>
              <w:rPr>
                <w:sz w:val="14"/>
                <w:szCs w:val="14"/>
                <w:color w:val="auto"/>
              </w:rPr>
            </w:pP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Inc.</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for</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auto/ind.</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markets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35"/>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540"/>
          </w:cols>
          <w:pgMar w:left="220" w:top="1121" w:right="139" w:bottom="1440" w:gutter="0" w:footer="0" w:header="0"/>
        </w:sectPr>
      </w:pPr>
    </w:p>
    <w:bookmarkStart w:id="7" w:name="page8"/>
    <w:bookmarkEnd w:id="7"/>
    <w:p>
      <w:pPr>
        <w:ind w:right="4760" w:firstLine="9"/>
        <w:spacing w:after="0" w:line="258" w:lineRule="auto"/>
        <w:tabs>
          <w:tab w:leader="none" w:pos="34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 reconciliation of individual restructuring accruals (in millions of dollars).</w:t>
      </w:r>
    </w:p>
    <w:p>
      <w:pPr>
        <w:spacing w:after="0" w:line="200" w:lineRule="exact"/>
        <w:rPr>
          <w:sz w:val="20"/>
          <w:szCs w:val="20"/>
          <w:color w:val="auto"/>
        </w:rPr>
      </w:pPr>
    </w:p>
    <w:p>
      <w:pPr>
        <w:spacing w:after="0" w:line="294"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Year of Charge</w:t>
      </w:r>
    </w:p>
    <w:p>
      <w:pPr>
        <w:sectPr>
          <w:pgSz w:w="11900" w:h="16838" w:orient="portrait"/>
          <w:cols w:equalWidth="0" w:num="1">
            <w:col w:w="11540"/>
          </w:cols>
          <w:pgMar w:left="220" w:top="620"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740"/>
        <w:spacing w:after="0"/>
        <w:tabs>
          <w:tab w:leader="none" w:pos="4940" w:val="left"/>
          <w:tab w:leader="none" w:pos="7360" w:val="left"/>
          <w:tab w:leader="none" w:pos="858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2000</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 ---------------------------------- -------------------- -------</w:t>
      </w:r>
    </w:p>
    <w:p>
      <w:pPr>
        <w:spacing w:after="0" w:line="8" w:lineRule="exact"/>
        <w:rPr>
          <w:sz w:val="20"/>
          <w:szCs w:val="20"/>
          <w:color w:val="auto"/>
        </w:rPr>
      </w:pPr>
    </w:p>
    <w:p>
      <w:pPr>
        <w:ind w:left="520"/>
        <w:spacing w:after="0"/>
        <w:tabs>
          <w:tab w:leader="none" w:pos="1640" w:val="left"/>
          <w:tab w:leader="none" w:pos="2500" w:val="left"/>
          <w:tab w:leader="none" w:pos="3800" w:val="left"/>
          <w:tab w:leader="none" w:pos="4320" w:val="left"/>
          <w:tab w:leader="none" w:pos="6920" w:val="left"/>
          <w:tab w:leader="none" w:pos="7720" w:val="left"/>
        </w:tabs>
        <w:rPr>
          <w:sz w:val="20"/>
          <w:szCs w:val="20"/>
          <w:color w:val="auto"/>
        </w:rPr>
      </w:pPr>
      <w:r>
        <w:rPr>
          <w:rFonts w:ascii="Courier New" w:cs="Courier New" w:eastAsia="Courier New" w:hAnsi="Courier New"/>
          <w:sz w:val="14"/>
          <w:szCs w:val="14"/>
          <w:color w:val="auto"/>
        </w:rPr>
        <w:t>Divest. of</w:t>
        <w:tab/>
        <w:t>M&amp;C</w:t>
      </w:r>
      <w:r>
        <w:rPr>
          <w:sz w:val="20"/>
          <w:szCs w:val="20"/>
          <w:color w:val="auto"/>
        </w:rPr>
        <w:tab/>
      </w:r>
      <w:r>
        <w:rPr>
          <w:rFonts w:ascii="Courier New" w:cs="Courier New" w:eastAsia="Courier New" w:hAnsi="Courier New"/>
          <w:sz w:val="14"/>
          <w:szCs w:val="14"/>
          <w:color w:val="auto"/>
        </w:rPr>
        <w:t>Reserves</w:t>
      </w:r>
      <w:r>
        <w:rPr>
          <w:sz w:val="20"/>
          <w:szCs w:val="20"/>
          <w:color w:val="auto"/>
        </w:rPr>
        <w:tab/>
      </w:r>
      <w:r>
        <w:rPr>
          <w:rFonts w:ascii="Courier New" w:cs="Courier New" w:eastAsia="Courier New" w:hAnsi="Courier New"/>
          <w:sz w:val="14"/>
          <w:szCs w:val="14"/>
          <w:color w:val="auto"/>
        </w:rPr>
        <w:t>SC</w:t>
      </w:r>
      <w:r>
        <w:rPr>
          <w:sz w:val="20"/>
          <w:szCs w:val="20"/>
          <w:color w:val="auto"/>
        </w:rPr>
        <w:tab/>
      </w:r>
      <w:r>
        <w:rPr>
          <w:rFonts w:ascii="Courier New" w:cs="Courier New" w:eastAsia="Courier New" w:hAnsi="Courier New"/>
          <w:sz w:val="14"/>
          <w:szCs w:val="14"/>
          <w:color w:val="auto"/>
        </w:rPr>
        <w:t>SC operation</w:t>
      </w:r>
      <w:r>
        <w:rPr>
          <w:sz w:val="20"/>
          <w:szCs w:val="20"/>
          <w:color w:val="auto"/>
        </w:rPr>
        <w:tab/>
      </w:r>
      <w:r>
        <w:rPr>
          <w:rFonts w:ascii="Courier New" w:cs="Courier New" w:eastAsia="Courier New" w:hAnsi="Courier New"/>
          <w:sz w:val="14"/>
          <w:szCs w:val="14"/>
          <w:color w:val="auto"/>
        </w:rPr>
        <w:t>SC</w:t>
      </w:r>
      <w:r>
        <w:rPr>
          <w:sz w:val="20"/>
          <w:szCs w:val="20"/>
          <w:color w:val="auto"/>
        </w:rPr>
        <w:tab/>
      </w:r>
      <w:r>
        <w:rPr>
          <w:rFonts w:ascii="Courier New" w:cs="Courier New" w:eastAsia="Courier New" w:hAnsi="Courier New"/>
          <w:sz w:val="14"/>
          <w:szCs w:val="14"/>
          <w:color w:val="auto"/>
        </w:rPr>
        <w:t>SC cost</w:t>
      </w:r>
    </w:p>
    <w:p>
      <w:pPr>
        <w:spacing w:after="0" w:line="8" w:lineRule="exact"/>
        <w:rPr>
          <w:sz w:val="20"/>
          <w:szCs w:val="20"/>
          <w:color w:val="auto"/>
        </w:rPr>
      </w:pPr>
    </w:p>
    <w:p>
      <w:pPr>
        <w:ind w:left="700"/>
        <w:spacing w:after="0"/>
        <w:tabs>
          <w:tab w:leader="none" w:pos="1640" w:val="left"/>
          <w:tab w:leader="none" w:pos="2580" w:val="left"/>
          <w:tab w:leader="none" w:pos="3800" w:val="left"/>
          <w:tab w:leader="none" w:pos="4420" w:val="left"/>
          <w:tab w:leader="none" w:pos="5620" w:val="left"/>
          <w:tab w:leader="none" w:pos="6660" w:val="left"/>
          <w:tab w:leader="none" w:pos="7620" w:val="left"/>
          <w:tab w:leader="none" w:pos="8580" w:val="left"/>
        </w:tabs>
        <w:rPr>
          <w:sz w:val="20"/>
          <w:szCs w:val="20"/>
          <w:color w:val="auto"/>
        </w:rPr>
      </w:pPr>
      <w:r>
        <w:rPr>
          <w:rFonts w:ascii="Courier New" w:cs="Courier New" w:eastAsia="Courier New" w:hAnsi="Courier New"/>
          <w:sz w:val="14"/>
          <w:szCs w:val="14"/>
          <w:color w:val="auto"/>
        </w:rPr>
        <w:t>MCB/</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against</w:t>
      </w:r>
      <w:r>
        <w:rPr>
          <w:sz w:val="20"/>
          <w:szCs w:val="20"/>
          <w:color w:val="auto"/>
        </w:rPr>
        <w:tab/>
      </w:r>
      <w:r>
        <w:rPr>
          <w:rFonts w:ascii="Courier New" w:cs="Courier New" w:eastAsia="Courier New" w:hAnsi="Courier New"/>
          <w:sz w:val="14"/>
          <w:szCs w:val="14"/>
          <w:color w:val="auto"/>
        </w:rPr>
        <w:t>and</w:t>
      </w:r>
      <w:r>
        <w:rPr>
          <w:sz w:val="20"/>
          <w:szCs w:val="20"/>
          <w:color w:val="auto"/>
        </w:rPr>
        <w:tab/>
      </w:r>
      <w:r>
        <w:rPr>
          <w:rFonts w:ascii="Courier New" w:cs="Courier New" w:eastAsia="Courier New" w:hAnsi="Courier New"/>
          <w:sz w:val="14"/>
          <w:szCs w:val="14"/>
          <w:color w:val="auto"/>
        </w:rPr>
        <w:t>closing &amp;</w:t>
      </w:r>
      <w:r>
        <w:rPr>
          <w:sz w:val="20"/>
          <w:szCs w:val="20"/>
          <w:color w:val="auto"/>
        </w:rPr>
        <w:tab/>
      </w:r>
      <w:r>
        <w:rPr>
          <w:rFonts w:ascii="Courier New" w:cs="Courier New" w:eastAsia="Courier New" w:hAnsi="Courier New"/>
          <w:sz w:val="14"/>
          <w:szCs w:val="14"/>
          <w:color w:val="auto"/>
        </w:rPr>
        <w:t>Unitrode</w:t>
      </w:r>
      <w:r>
        <w:rPr>
          <w:sz w:val="20"/>
          <w:szCs w:val="20"/>
          <w:color w:val="auto"/>
        </w:rPr>
        <w:tab/>
      </w:r>
      <w:r>
        <w:rPr>
          <w:rFonts w:ascii="Courier New" w:cs="Courier New" w:eastAsia="Courier New" w:hAnsi="Courier New"/>
          <w:sz w:val="14"/>
          <w:szCs w:val="14"/>
          <w:color w:val="auto"/>
        </w:rPr>
        <w:t>operation</w:t>
        <w:tab/>
        <w:t>reduction</w:t>
        <w:tab/>
        <w:t>M&amp;C</w:t>
      </w:r>
    </w:p>
    <w:p>
      <w:pPr>
        <w:spacing w:after="0" w:line="8" w:lineRule="exact"/>
        <w:rPr>
          <w:sz w:val="20"/>
          <w:szCs w:val="20"/>
          <w:color w:val="auto"/>
        </w:rPr>
      </w:pPr>
    </w:p>
    <w:p>
      <w:pPr>
        <w:ind w:left="700"/>
        <w:spacing w:after="0"/>
        <w:tabs>
          <w:tab w:leader="none" w:pos="1460" w:val="left"/>
          <w:tab w:leader="none" w:pos="2580" w:val="left"/>
          <w:tab w:leader="none" w:pos="3720" w:val="left"/>
          <w:tab w:leader="none" w:pos="4320" w:val="left"/>
          <w:tab w:leader="none" w:pos="5460" w:val="left"/>
          <w:tab w:leader="none" w:pos="7720" w:val="left"/>
          <w:tab w:leader="none" w:pos="8580" w:val="left"/>
        </w:tabs>
        <w:rPr>
          <w:sz w:val="20"/>
          <w:szCs w:val="20"/>
          <w:color w:val="auto"/>
        </w:rPr>
      </w:pPr>
      <w:r>
        <w:rPr>
          <w:rFonts w:ascii="Courier New" w:cs="Courier New" w:eastAsia="Courier New" w:hAnsi="Courier New"/>
          <w:sz w:val="14"/>
          <w:szCs w:val="14"/>
          <w:color w:val="auto"/>
        </w:rPr>
        <w:t>term.</w:t>
      </w:r>
      <w:r>
        <w:rPr>
          <w:sz w:val="20"/>
          <w:szCs w:val="20"/>
          <w:color w:val="auto"/>
        </w:rPr>
        <w:tab/>
      </w:r>
      <w:r>
        <w:rPr>
          <w:rFonts w:ascii="Courier New" w:cs="Courier New" w:eastAsia="Courier New" w:hAnsi="Courier New"/>
          <w:sz w:val="14"/>
          <w:szCs w:val="14"/>
          <w:color w:val="auto"/>
        </w:rPr>
        <w:t>Reduction</w:t>
      </w:r>
      <w:r>
        <w:rPr>
          <w:sz w:val="20"/>
          <w:szCs w:val="20"/>
          <w:color w:val="auto"/>
        </w:rPr>
        <w:tab/>
      </w:r>
      <w:r>
        <w:rPr>
          <w:rFonts w:ascii="Courier New" w:cs="Courier New" w:eastAsia="Courier New" w:hAnsi="Courier New"/>
          <w:sz w:val="14"/>
          <w:szCs w:val="14"/>
          <w:color w:val="auto"/>
        </w:rPr>
        <w:t>gains on</w:t>
      </w:r>
      <w:r>
        <w:rPr>
          <w:sz w:val="20"/>
          <w:szCs w:val="20"/>
          <w:color w:val="auto"/>
        </w:rPr>
        <w:tab/>
      </w:r>
      <w:r>
        <w:rPr>
          <w:rFonts w:ascii="Courier New" w:cs="Courier New" w:eastAsia="Courier New" w:hAnsi="Courier New"/>
          <w:sz w:val="14"/>
          <w:szCs w:val="14"/>
          <w:color w:val="auto"/>
        </w:rPr>
        <w:t>Corp.</w:t>
        <w:tab/>
        <w:t>M&amp;C sale of</w:t>
        <w:tab/>
        <w:t>semiconductor closing in</w:t>
        <w:tab/>
        <w:t>action</w:t>
      </w:r>
      <w:r>
        <w:rPr>
          <w:sz w:val="20"/>
          <w:szCs w:val="20"/>
          <w:color w:val="auto"/>
        </w:rPr>
        <w:tab/>
      </w:r>
      <w:r>
        <w:rPr>
          <w:rFonts w:ascii="Courier New" w:cs="Courier New" w:eastAsia="Courier New" w:hAnsi="Courier New"/>
          <w:sz w:val="14"/>
          <w:szCs w:val="14"/>
          <w:color w:val="auto"/>
        </w:rPr>
        <w:t>site</w:t>
      </w:r>
    </w:p>
    <w:p>
      <w:pPr>
        <w:spacing w:after="0" w:line="8" w:lineRule="exact"/>
        <w:rPr>
          <w:sz w:val="20"/>
          <w:szCs w:val="20"/>
          <w:color w:val="auto"/>
        </w:rPr>
      </w:pPr>
    </w:p>
    <w:p>
      <w:pPr>
        <w:spacing w:after="0"/>
        <w:tabs>
          <w:tab w:leader="none" w:pos="600" w:val="left"/>
          <w:tab w:leader="none" w:pos="1540" w:val="left"/>
          <w:tab w:leader="none" w:pos="2320" w:val="left"/>
          <w:tab w:leader="none" w:pos="4420" w:val="left"/>
          <w:tab w:leader="none" w:pos="5720" w:val="left"/>
          <w:tab w:leader="none" w:pos="6840" w:val="left"/>
          <w:tab w:leader="none" w:pos="7720" w:val="left"/>
          <w:tab w:leader="none" w:pos="8500" w:val="left"/>
        </w:tabs>
        <w:rPr>
          <w:sz w:val="20"/>
          <w:szCs w:val="20"/>
          <w:color w:val="auto"/>
        </w:rPr>
      </w:pPr>
      <w:r>
        <w:rPr>
          <w:rFonts w:ascii="Courier New" w:cs="Courier New" w:eastAsia="Courier New" w:hAnsi="Courier New"/>
          <w:sz w:val="14"/>
          <w:szCs w:val="14"/>
          <w:color w:val="auto"/>
        </w:rPr>
        <w:t>Total</w:t>
        <w:tab/>
        <w:t>of DIPD</w:t>
      </w:r>
      <w:r>
        <w:rPr>
          <w:sz w:val="20"/>
          <w:szCs w:val="20"/>
          <w:color w:val="auto"/>
        </w:rPr>
        <w:tab/>
      </w:r>
      <w:r>
        <w:rPr>
          <w:rFonts w:ascii="Courier New" w:cs="Courier New" w:eastAsia="Courier New" w:hAnsi="Courier New"/>
          <w:sz w:val="14"/>
          <w:szCs w:val="14"/>
          <w:color w:val="auto"/>
        </w:rPr>
        <w:t>action</w:t>
        <w:tab/>
        <w:t>business sales actions</w:t>
        <w:tab/>
        <w:t>operation</w:t>
      </w:r>
      <w:r>
        <w:rPr>
          <w:sz w:val="20"/>
          <w:szCs w:val="20"/>
          <w:color w:val="auto"/>
        </w:rPr>
        <w:tab/>
      </w:r>
      <w:r>
        <w:rPr>
          <w:rFonts w:ascii="Courier New" w:cs="Courier New" w:eastAsia="Courier New" w:hAnsi="Courier New"/>
          <w:sz w:val="14"/>
          <w:szCs w:val="14"/>
          <w:color w:val="auto"/>
        </w:rPr>
        <w:t>action</w:t>
      </w:r>
      <w:r>
        <w:rPr>
          <w:sz w:val="20"/>
          <w:szCs w:val="20"/>
          <w:color w:val="auto"/>
        </w:rPr>
        <w:tab/>
      </w:r>
      <w:r>
        <w:rPr>
          <w:rFonts w:ascii="Courier New" w:cs="Courier New" w:eastAsia="Courier New" w:hAnsi="Courier New"/>
          <w:sz w:val="14"/>
          <w:szCs w:val="14"/>
          <w:color w:val="auto"/>
        </w:rPr>
        <w:t>Japan</w:t>
      </w:r>
      <w:r>
        <w:rPr>
          <w:sz w:val="20"/>
          <w:szCs w:val="20"/>
          <w:color w:val="auto"/>
        </w:rPr>
        <w:tab/>
      </w:r>
      <w:r>
        <w:rPr>
          <w:rFonts w:ascii="Courier New" w:cs="Courier New" w:eastAsia="Courier New" w:hAnsi="Courier New"/>
          <w:sz w:val="14"/>
          <w:szCs w:val="14"/>
          <w:color w:val="auto"/>
        </w:rPr>
        <w:t>in U.S.</w:t>
        <w:tab/>
        <w:t>closing</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 ------- ------------ ------------- ---------- --------- -------</w:t>
      </w:r>
    </w:p>
    <w:p>
      <w:pPr>
        <w:spacing w:after="0" w:line="175" w:lineRule="exact"/>
        <w:rPr>
          <w:sz w:val="20"/>
          <w:szCs w:val="20"/>
          <w:color w:val="auto"/>
        </w:rPr>
      </w:pPr>
    </w:p>
    <w:p>
      <w:pPr>
        <w:sectPr>
          <w:pgSz w:w="11900" w:h="16838" w:orient="portrait"/>
          <w:cols w:equalWidth="0" w:num="2">
            <w:col w:w="1540" w:space="720"/>
            <w:col w:w="9280"/>
          </w:cols>
          <w:pgMar w:left="220" w:top="620"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w:t>
      </w:r>
    </w:p>
    <w:p>
      <w:pPr>
        <w:sectPr>
          <w:pgSz w:w="11900" w:h="16838" w:orient="portrait"/>
          <w:cols w:equalWidth="0" w:num="1">
            <w:col w:w="11540"/>
          </w:cols>
          <w:pgMar w:left="220" w:top="620" w:right="1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$ 14</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$ 17</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2</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6</w:t>
      </w:r>
    </w:p>
    <w:p>
      <w:pPr>
        <w:spacing w:after="0" w:line="186" w:lineRule="exact"/>
        <w:rPr>
          <w:sz w:val="20"/>
          <w:szCs w:val="20"/>
          <w:color w:val="auto"/>
        </w:rPr>
      </w:pPr>
    </w:p>
    <w:p>
      <w:pPr>
        <w:sectPr>
          <w:pgSz w:w="11900" w:h="16838" w:orient="portrait"/>
          <w:cols w:equalWidth="0" w:num="11">
            <w:col w:w="2100" w:space="160"/>
            <w:col w:w="360" w:space="420"/>
            <w:col w:w="360" w:space="520"/>
            <w:col w:w="340" w:space="700"/>
            <w:col w:w="340" w:space="700"/>
            <w:col w:w="340" w:space="520"/>
            <w:col w:w="420" w:space="720"/>
            <w:col w:w="80" w:space="260"/>
            <w:col w:w="80" w:space="700"/>
            <w:col w:w="340" w:space="620"/>
            <w:col w:w="1460"/>
          </w:cols>
          <w:pgMar w:left="220" w:top="620"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CHARGES:</w:t>
      </w:r>
    </w:p>
    <w:p>
      <w:pPr>
        <w:sectPr>
          <w:pgSz w:w="11900" w:h="16838" w:orient="portrait"/>
          <w:cols w:equalWidth="0" w:num="1">
            <w:col w:w="11540"/>
          </w:cols>
          <w:pgMar w:left="220" w:top="620" w:right="1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Various charges ........</w:t>
      </w:r>
    </w:p>
    <w:p>
      <w:pPr>
        <w:spacing w:after="0" w:line="20" w:lineRule="exact"/>
        <w:rPr>
          <w:sz w:val="20"/>
          <w:szCs w:val="20"/>
          <w:color w:val="auto"/>
        </w:rPr>
      </w:pPr>
      <w:r>
        <w:rPr>
          <w:sz w:val="20"/>
          <w:szCs w:val="20"/>
          <w:color w:val="auto"/>
        </w:rPr>
        <w:br w:type="column"/>
      </w:r>
    </w:p>
    <w:p>
      <w:pPr>
        <w:jc w:val="right"/>
        <w:ind w:right="7600"/>
        <w:spacing w:after="0"/>
        <w:rPr>
          <w:sz w:val="20"/>
          <w:szCs w:val="20"/>
          <w:color w:val="auto"/>
        </w:rPr>
      </w:pPr>
      <w:r>
        <w:rPr>
          <w:rFonts w:ascii="Courier New" w:cs="Courier New" w:eastAsia="Courier New" w:hAnsi="Courier New"/>
          <w:sz w:val="14"/>
          <w:szCs w:val="14"/>
          <w:color w:val="auto"/>
        </w:rPr>
        <w:t>12</w:t>
      </w:r>
    </w:p>
    <w:p>
      <w:pPr>
        <w:spacing w:after="0" w:line="8" w:lineRule="exact"/>
        <w:rPr>
          <w:sz w:val="20"/>
          <w:szCs w:val="20"/>
          <w:color w:val="auto"/>
        </w:rPr>
      </w:pPr>
    </w:p>
    <w:p>
      <w:pPr>
        <w:jc w:val="right"/>
        <w:ind w:right="7600"/>
        <w:spacing w:after="0"/>
        <w:rPr>
          <w:sz w:val="20"/>
          <w:szCs w:val="20"/>
          <w:color w:val="auto"/>
        </w:rPr>
      </w:pPr>
      <w:r>
        <w:rPr>
          <w:rFonts w:ascii="Courier New" w:cs="Courier New" w:eastAsia="Courier New" w:hAnsi="Courier New"/>
          <w:sz w:val="14"/>
          <w:szCs w:val="14"/>
          <w:color w:val="auto"/>
        </w:rPr>
        <w:t>1</w:t>
      </w:r>
    </w:p>
    <w:p>
      <w:pPr>
        <w:spacing w:after="0" w:line="20" w:lineRule="exact"/>
        <w:rPr>
          <w:sz w:val="20"/>
          <w:szCs w:val="20"/>
          <w:color w:val="auto"/>
        </w:rPr>
      </w:pPr>
      <w:r>
        <w:rPr>
          <w:sz w:val="20"/>
          <w:szCs w:val="20"/>
          <w:color w:val="auto"/>
        </w:rPr>
        <w:br w:type="column"/>
      </w:r>
    </w:p>
    <w:p>
      <w:pPr>
        <w:jc w:val="right"/>
        <w:ind w:right="240"/>
        <w:spacing w:after="0"/>
        <w:rPr>
          <w:sz w:val="20"/>
          <w:szCs w:val="20"/>
          <w:color w:val="auto"/>
        </w:rPr>
      </w:pPr>
      <w:r>
        <w:rPr>
          <w:rFonts w:ascii="Courier New" w:cs="Courier New" w:eastAsia="Courier New" w:hAnsi="Courier New"/>
          <w:sz w:val="14"/>
          <w:szCs w:val="14"/>
          <w:color w:val="auto"/>
        </w:rPr>
        <w:t>$ 12</w:t>
      </w:r>
    </w:p>
    <w:p>
      <w:pPr>
        <w:spacing w:after="0" w:line="8"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sectPr>
          <w:pgSz w:w="11900" w:h="16838" w:orient="portrait"/>
          <w:cols w:equalWidth="0" w:num="3">
            <w:col w:w="2100" w:space="340"/>
            <w:col w:w="7780" w:space="720"/>
            <w:col w:w="600"/>
          </w:cols>
          <w:pgMar w:left="220" w:top="620"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DISPOSITION:</w:t>
      </w:r>
    </w:p>
    <w:p>
      <w:pPr>
        <w:sectPr>
          <w:pgSz w:w="11900" w:h="16838" w:orient="portrait"/>
          <w:cols w:equalWidth="0" w:num="1">
            <w:col w:w="11540"/>
          </w:cols>
          <w:pgMar w:left="220" w:top="620" w:right="1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payments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9">
            <w:col w:w="2100" w:space="160"/>
            <w:col w:w="440" w:space="340"/>
            <w:col w:w="360" w:space="520"/>
            <w:col w:w="420" w:space="620"/>
            <w:col w:w="1480" w:space="420"/>
            <w:col w:w="500" w:space="720"/>
            <w:col w:w="1380" w:space="620"/>
            <w:col w:w="440" w:space="420"/>
            <w:col w:w="600"/>
          </w:cols>
          <w:pgMar w:left="220" w:top="620"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MARCH 31,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$ 83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7</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1</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4</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11">
            <w:col w:w="2000" w:space="260"/>
            <w:col w:w="360" w:space="420"/>
            <w:col w:w="360" w:space="520"/>
            <w:col w:w="340" w:space="700"/>
            <w:col w:w="340" w:space="700"/>
            <w:col w:w="340" w:space="520"/>
            <w:col w:w="500" w:space="720"/>
            <w:col w:w="340" w:space="700"/>
            <w:col w:w="340" w:space="620"/>
            <w:col w:w="340" w:space="520"/>
            <w:col w:w="600"/>
          </w:cols>
          <w:pgMar w:left="220" w:top="620" w:right="1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*Abbreviations</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SC</w:t>
      </w:r>
      <w:r>
        <w:rPr>
          <w:sz w:val="20"/>
          <w:szCs w:val="20"/>
          <w:color w:val="auto"/>
        </w:rPr>
        <w:tab/>
      </w:r>
      <w:r>
        <w:rPr>
          <w:rFonts w:ascii="Courier New" w:cs="Courier New" w:eastAsia="Courier New" w:hAnsi="Courier New"/>
          <w:sz w:val="14"/>
          <w:szCs w:val="14"/>
          <w:color w:val="auto"/>
        </w:rPr>
        <w:t>= Semiconductor Business</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MCB</w:t>
        <w:tab/>
        <w:t>= Mobile Computing Business</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DIPD</w:t>
        <w:tab/>
        <w:t>= Digital Imaging Printing Development Program</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M&amp;C</w:t>
        <w:tab/>
        <w:t>= Materials and Controls Business</w:t>
      </w:r>
    </w:p>
    <w:p>
      <w:pPr>
        <w:sectPr>
          <w:pgSz w:w="11900" w:h="16838" w:orient="portrait"/>
          <w:cols w:equalWidth="0" w:num="1">
            <w:col w:w="11540"/>
          </w:cols>
          <w:pgMar w:left="220" w:top="620" w:right="1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 = Corporate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1540"/>
          </w:cols>
          <w:pgMar w:left="220" w:top="620" w:right="139" w:bottom="1440" w:gutter="0" w:footer="0" w:header="0"/>
          <w:type w:val="continuous"/>
        </w:sectPr>
      </w:pPr>
    </w:p>
    <w:bookmarkStart w:id="8" w:name="page9"/>
    <w:bookmarkEnd w:id="8"/>
    <w:p>
      <w:pPr>
        <w:ind w:right="3979"/>
        <w:spacing w:after="0" w:line="258" w:lineRule="auto"/>
        <w:rPr>
          <w:sz w:val="20"/>
          <w:szCs w:val="20"/>
          <w:color w:val="auto"/>
        </w:rPr>
      </w:pPr>
      <w:r>
        <w:rPr>
          <w:rFonts w:ascii="Courier New" w:cs="Courier New" w:eastAsia="Courier New" w:hAnsi="Courier New"/>
          <w:sz w:val="14"/>
          <w:szCs w:val="14"/>
          <w:color w:val="auto"/>
        </w:rPr>
        <w:t>ITEM 2. Management's Discussion and Analysis of Financial Condition and Results of Operations.</w:t>
      </w:r>
    </w:p>
    <w:p>
      <w:pPr>
        <w:spacing w:after="0" w:line="160"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Registrant (the "company" or "TI") announced first-quarter 2000 financial results that showed continued strong growth for the company.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FINANCIAL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first quarter of 2000, TI reported the following:</w:t>
      </w:r>
    </w:p>
    <w:p>
      <w:pPr>
        <w:spacing w:after="0" w:line="175" w:lineRule="exact"/>
        <w:rPr>
          <w:sz w:val="20"/>
          <w:szCs w:val="20"/>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Total revenues were $2653 million, up 27 percent from $2081 million in the</w:t>
      </w:r>
    </w:p>
    <w:p>
      <w:pPr>
        <w:spacing w:after="0" w:line="8" w:lineRule="exact"/>
        <w:rPr>
          <w:rFonts w:ascii="Courier New" w:cs="Courier New" w:eastAsia="Courier New" w:hAnsi="Courier New"/>
          <w:sz w:val="14"/>
          <w:szCs w:val="14"/>
          <w:color w:val="auto"/>
        </w:rPr>
      </w:pPr>
    </w:p>
    <w:p>
      <w:pPr>
        <w:ind w:left="360"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year-ago quarter and up 4 percent sequentially, primarily due to increased strength in semiconductor.</w:t>
      </w:r>
    </w:p>
    <w:p>
      <w:pPr>
        <w:spacing w:after="0" w:line="159" w:lineRule="exact"/>
        <w:rPr>
          <w:rFonts w:ascii="Courier New" w:cs="Courier New" w:eastAsia="Courier New" w:hAnsi="Courier New"/>
          <w:sz w:val="14"/>
          <w:szCs w:val="14"/>
          <w:color w:val="auto"/>
        </w:rPr>
      </w:pPr>
    </w:p>
    <w:p>
      <w:pPr>
        <w:ind w:left="360" w:right="3199" w:hanging="351"/>
        <w:spacing w:after="0" w:line="258" w:lineRule="auto"/>
        <w:tabs>
          <w:tab w:leader="none" w:pos="18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Semiconductor revenues were $2270 million, up 30 percent from $1741 million in the same quarter of 1999 and up 3 percent sequentially.</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Cost of revenues in the first quarter was $1370 million compared to $1133</w:t>
      </w:r>
    </w:p>
    <w:p>
      <w:pPr>
        <w:spacing w:after="0" w:line="8" w:lineRule="exact"/>
        <w:rPr>
          <w:rFonts w:ascii="Courier New" w:cs="Courier New" w:eastAsia="Courier New" w:hAnsi="Courier New"/>
          <w:sz w:val="14"/>
          <w:szCs w:val="14"/>
          <w:color w:val="auto"/>
        </w:rPr>
      </w:pPr>
    </w:p>
    <w:p>
      <w:pPr>
        <w:ind w:left="360" w:right="35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million in the year-ago quarter. Cost of revenues increased less than the increase in revenues, on a percentage basis, reflecting manufacturing efficiencies associated with higher product shipments.</w:t>
      </w:r>
    </w:p>
    <w:p>
      <w:pPr>
        <w:spacing w:after="0" w:line="162" w:lineRule="exact"/>
        <w:rPr>
          <w:rFonts w:ascii="Courier New" w:cs="Courier New" w:eastAsia="Courier New" w:hAnsi="Courier New"/>
          <w:sz w:val="14"/>
          <w:szCs w:val="14"/>
          <w:color w:val="auto"/>
        </w:rPr>
      </w:pPr>
    </w:p>
    <w:p>
      <w:pPr>
        <w:ind w:left="360" w:right="3639" w:hanging="351"/>
        <w:spacing w:after="0" w:line="254" w:lineRule="auto"/>
        <w:tabs>
          <w:tab w:leader="none" w:pos="18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Research and development (R&amp;D) totaled $373 million, compared to $311 million in the first quarter of 1999, including in-process R&amp;D from acquisitions. The increase was primarily due to semiconductor, including increased strategic investment for DSP and analog.</w:t>
      </w:r>
    </w:p>
    <w:p>
      <w:pPr>
        <w:spacing w:after="0" w:line="163" w:lineRule="exact"/>
        <w:rPr>
          <w:rFonts w:ascii="Courier New" w:cs="Courier New" w:eastAsia="Courier New" w:hAnsi="Courier New"/>
          <w:sz w:val="14"/>
          <w:szCs w:val="14"/>
          <w:color w:val="auto"/>
        </w:rPr>
      </w:pPr>
    </w:p>
    <w:p>
      <w:pPr>
        <w:ind w:left="360" w:right="3379" w:hanging="351"/>
        <w:spacing w:after="0" w:line="254" w:lineRule="auto"/>
        <w:tabs>
          <w:tab w:leader="none" w:pos="18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Marketing, general and administrative expense in the quarter was $388 million, compared to $331 million in the year-ago quarter, primarily due to higher semiconductor expenditures, mostly associated with increases in marketing-related activities. The increase was less than the increase in revenues, on a percentage basis.</w:t>
      </w:r>
    </w:p>
    <w:p>
      <w:pPr>
        <w:spacing w:after="0" w:line="162" w:lineRule="exact"/>
        <w:rPr>
          <w:rFonts w:ascii="Courier New" w:cs="Courier New" w:eastAsia="Courier New" w:hAnsi="Courier New"/>
          <w:sz w:val="14"/>
          <w:szCs w:val="14"/>
          <w:color w:val="auto"/>
        </w:rPr>
      </w:pPr>
    </w:p>
    <w:p>
      <w:pPr>
        <w:ind w:left="360" w:right="3279" w:hanging="351"/>
        <w:spacing w:after="0" w:line="255" w:lineRule="auto"/>
        <w:tabs>
          <w:tab w:leader="none" w:pos="18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Other income (expense) net increased from $88 million in the first quarter of 1999 to $124 million in the first quarter of 2000, primarily due to investment gains.</w:t>
      </w:r>
    </w:p>
    <w:p>
      <w:pPr>
        <w:spacing w:after="0" w:line="16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income tax rate for the quarter was 32 percent.</w:t>
      </w:r>
    </w:p>
    <w:p>
      <w:pPr>
        <w:spacing w:after="0" w:line="175" w:lineRule="exact"/>
        <w:rPr>
          <w:rFonts w:ascii="Courier New" w:cs="Courier New" w:eastAsia="Courier New" w:hAnsi="Courier New"/>
          <w:sz w:val="14"/>
          <w:szCs w:val="14"/>
          <w:color w:val="auto"/>
        </w:rPr>
      </w:pPr>
    </w:p>
    <w:p>
      <w:pPr>
        <w:ind w:left="360" w:right="3199" w:hanging="351"/>
        <w:spacing w:after="0" w:line="255" w:lineRule="auto"/>
        <w:tabs>
          <w:tab w:leader="none" w:pos="18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TI orders in the first quarter were $2876 million, up 26 percent from $2281 million in the year-ago quarter and up 5 percent from the fourth quarter primarily due to semiconductor.</w:t>
      </w:r>
    </w:p>
    <w:p>
      <w:pPr>
        <w:spacing w:after="0" w:line="162" w:lineRule="exact"/>
        <w:rPr>
          <w:rFonts w:ascii="Courier New" w:cs="Courier New" w:eastAsia="Courier New" w:hAnsi="Courier New"/>
          <w:sz w:val="14"/>
          <w:szCs w:val="14"/>
          <w:color w:val="auto"/>
        </w:rPr>
      </w:pPr>
    </w:p>
    <w:p>
      <w:pPr>
        <w:ind w:left="360" w:right="3279" w:hanging="351"/>
        <w:spacing w:after="0" w:line="254" w:lineRule="auto"/>
        <w:tabs>
          <w:tab w:leader="none" w:pos="18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Results for this quarter include special charges of $29 million, primarily associated with previously announced actions, including the closing of a Materials &amp; Controls manufacturing facility in Versailles, Kentucky, and TI's acquisition of Toccata Technology ApS. Also included is amortization of goodwill and other acquisition-related intangibles of $25 million.</w:t>
      </w:r>
    </w:p>
    <w:p>
      <w:pPr>
        <w:spacing w:after="0" w:line="162" w:lineRule="exact"/>
        <w:rPr>
          <w:sz w:val="20"/>
          <w:szCs w:val="20"/>
          <w:color w:val="auto"/>
        </w:rPr>
      </w:pPr>
    </w:p>
    <w:p>
      <w:pPr>
        <w:ind w:left="360" w:right="3639"/>
        <w:spacing w:after="0" w:line="254" w:lineRule="auto"/>
        <w:rPr>
          <w:sz w:val="20"/>
          <w:szCs w:val="20"/>
          <w:color w:val="auto"/>
        </w:rPr>
      </w:pPr>
      <w:r>
        <w:rPr>
          <w:rFonts w:ascii="Courier New" w:cs="Courier New" w:eastAsia="Courier New" w:hAnsi="Courier New"/>
          <w:sz w:val="14"/>
          <w:szCs w:val="14"/>
          <w:color w:val="auto"/>
        </w:rPr>
        <w:t>For the first quarter of 1999, results include special charges of $25 million, primarily for a consolidation of semiconductor manufacturing operations in Japan. Also included is amortization of goodwill and other acquisition-related intangibles of $10 million.</w:t>
      </w:r>
    </w:p>
    <w:p>
      <w:pPr>
        <w:spacing w:after="0" w:line="163" w:lineRule="exact"/>
        <w:rPr>
          <w:sz w:val="20"/>
          <w:szCs w:val="20"/>
          <w:color w:val="auto"/>
        </w:rPr>
      </w:pPr>
    </w:p>
    <w:p>
      <w:pPr>
        <w:ind w:left="360" w:right="3539"/>
        <w:spacing w:after="0" w:line="255" w:lineRule="auto"/>
        <w:rPr>
          <w:sz w:val="20"/>
          <w:szCs w:val="20"/>
          <w:color w:val="auto"/>
        </w:rPr>
      </w:pPr>
      <w:r>
        <w:rPr>
          <w:rFonts w:ascii="Courier New" w:cs="Courier New" w:eastAsia="Courier New" w:hAnsi="Courier New"/>
          <w:sz w:val="14"/>
          <w:szCs w:val="14"/>
          <w:color w:val="auto"/>
        </w:rPr>
        <w:t>For the fourth quarter of 1999, results include acquisition-related costs of $86 million associated with TI's pooling of interests acquisitions of Unitrode Corporation and Power Trends, Inc., amortization of goodwill and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7" w:right="1440" w:bottom="1440" w:gutter="0" w:footer="0" w:header="0"/>
        </w:sectPr>
      </w:pPr>
    </w:p>
    <w:bookmarkStart w:id="9" w:name="page10"/>
    <w:bookmarkEnd w:id="9"/>
    <w:p>
      <w:pPr>
        <w:ind w:left="360" w:right="3539"/>
        <w:spacing w:after="0" w:line="255" w:lineRule="auto"/>
        <w:rPr>
          <w:sz w:val="20"/>
          <w:szCs w:val="20"/>
          <w:color w:val="auto"/>
        </w:rPr>
      </w:pPr>
      <w:r>
        <w:rPr>
          <w:rFonts w:ascii="Courier New" w:cs="Courier New" w:eastAsia="Courier New" w:hAnsi="Courier New"/>
          <w:sz w:val="14"/>
          <w:szCs w:val="14"/>
          <w:color w:val="auto"/>
        </w:rPr>
        <w:t>other acquisition-related intangibles of $26 million, and a tax benefit effect of $67 million, primarily for research and experimental tax credit items.</w:t>
      </w:r>
    </w:p>
    <w:p>
      <w:pPr>
        <w:spacing w:after="0" w:line="162" w:lineRule="exact"/>
        <w:rPr>
          <w:sz w:val="20"/>
          <w:szCs w:val="20"/>
          <w:color w:val="auto"/>
        </w:rPr>
      </w:pPr>
    </w:p>
    <w:p>
      <w:pPr>
        <w:ind w:left="360" w:right="3799"/>
        <w:spacing w:after="0" w:line="258" w:lineRule="auto"/>
        <w:rPr>
          <w:sz w:val="20"/>
          <w:szCs w:val="20"/>
          <w:color w:val="auto"/>
        </w:rPr>
      </w:pPr>
      <w:r>
        <w:rPr>
          <w:rFonts w:ascii="Courier New" w:cs="Courier New" w:eastAsia="Courier New" w:hAnsi="Courier New"/>
          <w:sz w:val="14"/>
          <w:szCs w:val="14"/>
          <w:color w:val="auto"/>
        </w:rPr>
        <w:t>Additional information relating to these items appears below under the heading "Special Charges and Gains."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The company expects accelerating sequential revenue growth overall in the second quarter as it enters a seasonally stronger period in all its business segments, with semiconductor driving most of the growth.</w:t>
      </w:r>
    </w:p>
    <w:p>
      <w:pPr>
        <w:spacing w:after="0" w:line="162"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In the second quarter in semiconductor, wireless growth is expected to accelerate after seasonal first-quarter pressures. Broadband communications, which includes digital subscriber line (DSL) and cable modem, also should continue to grow rapidly although from a low base. The mass market should maintain high growth as new applications for TI's catalog DSP and analog products continue to expand. Hard disk drive revenues are expected to decline in the quarter.</w:t>
      </w:r>
    </w:p>
    <w:p>
      <w:pPr>
        <w:spacing w:after="0" w:line="16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 Educational and Productivity Solutions (E&amp;PS), product shipments will continue to become more aligned with back-to-school retail sales as revenue that traditionally came in the second quarter shifts into the third quarter.</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For the year 2000, TI expects robust growth to continue in its semiconductor business, driven by strength in communications end-equipment markets, including wireless and broadband, as well as continued strength in the mass market. By the end of the fourth quarter, TI expects to reach operating margin of 25 percent, before the effect of special charges and amortization of acquisition-related intangibles.</w:t>
      </w:r>
    </w:p>
    <w:p>
      <w:pPr>
        <w:spacing w:after="0" w:line="16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Additionally, TI is raising its capital expenditure forecast to $2.5 billion for the year, reflecting management's outlook for strong continued demand for its DSP and analog products. Depreciation for the year is expected to be $1.3 billion. R&amp;D for 2000 is expected to be $1.5 billion, primarily for DSP and analog, excluding purchased in-process R&amp;D and the amortization of acquisition-related intangibles.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SEMICONDUCTOR</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Semiconductor revenues in the first quarter were $2270 million, up 30 percent from the same period in 1999, primarily driven by DSP and analog. Semiconductor revenues increased 3 percent sequentially.</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Semiconductor operating margin for the first quarter was 24.5 percent, up 5.5 points from 19.0 percent in the same quarter a year ago. Sequentially, operating margin declined 0.8 points primarily due to increased investment in R&amp;D.</w:t>
      </w:r>
    </w:p>
    <w:p>
      <w:pPr>
        <w:spacing w:after="0" w:line="16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DSP revenues in the first quarter were up 50 percent from the same quarter a year ago and up 2 percent sequentially, breaking the historical seasonal pattern of first-quarter revenue declines and reinforcing a strong growth outlook for 2000. This quarter's sequential growth was driven primarily by a 20 percent increase in revenues from catalog DSP products for the mass market, more than offsetting weakness from hard disk drive. Catalog DSP revenues increased 71 percent compared with the first quarter of 1999.</w:t>
      </w:r>
    </w:p>
    <w:p>
      <w:pPr>
        <w:spacing w:after="0" w:line="200" w:lineRule="exact"/>
        <w:rPr>
          <w:sz w:val="20"/>
          <w:szCs w:val="20"/>
          <w:color w:val="auto"/>
        </w:rPr>
      </w:pPr>
    </w:p>
    <w:p>
      <w:pPr>
        <w:spacing w:after="0" w:line="29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954" w:right="1440" w:bottom="1440" w:gutter="0" w:footer="0" w:header="0"/>
        </w:sectPr>
      </w:pPr>
    </w:p>
    <w:bookmarkStart w:id="10" w:name="page11"/>
    <w:bookmarkEnd w:id="10"/>
    <w:p>
      <w:pPr>
        <w:jc w:val="both"/>
        <w:ind w:right="3799"/>
        <w:spacing w:after="0" w:line="255" w:lineRule="auto"/>
        <w:rPr>
          <w:sz w:val="20"/>
          <w:szCs w:val="20"/>
          <w:color w:val="auto"/>
        </w:rPr>
      </w:pPr>
      <w:r>
        <w:rPr>
          <w:rFonts w:ascii="Courier New" w:cs="Courier New" w:eastAsia="Courier New" w:hAnsi="Courier New"/>
          <w:sz w:val="14"/>
          <w:szCs w:val="14"/>
          <w:color w:val="auto"/>
        </w:rPr>
        <w:t>During the quarter, market analyst Forward Concepts said TI had DSP market share of 48 percent in 1999 and continued its leadership in DSP. TI is the only company to gain DSP market share for six consecutive years.</w:t>
      </w:r>
    </w:p>
    <w:p>
      <w:pPr>
        <w:spacing w:after="0" w:line="162"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Analog revenues in the first quarter were up 25 percent compared with a year ago and were up slightly from the fourth quarter. Sequential growth in analog was affected by weakness in hard disk drive. During the quarter, Dataquest said that TI continued its world leadership in the analog market in 1999. TI is the only major supplier to gain share in each of the last four years. In addition, TI attained the number one position in the fast-growing power management segment for the first time.</w:t>
      </w:r>
    </w:p>
    <w:p>
      <w:pPr>
        <w:spacing w:after="0" w:line="16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Revenues for TI's remaining semiconductor products increased from the year-ago quarter and from the fourth quarter of 1999. Royalties also increased, both from a year ago and sequentially.</w:t>
      </w:r>
    </w:p>
    <w:p>
      <w:pPr>
        <w:spacing w:after="0" w:line="162"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Semiconductor orders increased 28 percent from the year-ago quarter and 3 percent sequentially primarily due to DSP and analog.</w:t>
      </w:r>
    </w:p>
    <w:p>
      <w:pPr>
        <w:spacing w:after="0" w:line="160"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Compared with the first quarter of 1999, wireless revenues increased 49 percent, mass market revenues grew 55 percent and hard disk drive revenues declined 19 percent. Broadband communications revenues more than doubled when compared to fourth quarter as DSL products transitioned into initial high-volume production.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MATERIALS &amp; CONTROLS (M&amp;C)</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M&amp;C revenues in the first quarter were a record $290 million, up 18 percent from $245 million a year ago, primarily due to automotive sensors. Sequentially, first-quarter revenues were up 15 percent from $253 million in the fourth quarter primarily due to industrial control products and automotive sensors.</w:t>
      </w:r>
    </w:p>
    <w:p>
      <w:pPr>
        <w:spacing w:after="0" w:line="33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Operating margin in the first quarter increased to 18.9 percent, up 2.5 points from a year ago and up 1.2 points from the fourth quarter of 1999, reflecting tight cost controls combined with increased revenues.</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In February, M&amp;C announced it will close its manufacturing and business center in Versailles, Kentucky, with manufacturing being consolidated into other locations for increased efficiencies.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EDUCATIONAL &amp; PRODUCTIVITY SOLUTIONS (E&amp;PS)</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Revenues for E&amp;PS in the first quarter of 2000 were $87 million, up 8 percent from the year-ago quarter. Sequentially, revenues were down 3 percent.</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Operating margin for the quarter was 13.9 percent, up from 12.0 percent in the year-ago quarter, primarily due to increased manufacturing efficiencies.</w:t>
      </w:r>
    </w:p>
    <w:p>
      <w:pPr>
        <w:spacing w:after="0" w:line="160" w:lineRule="exact"/>
        <w:rPr>
          <w:sz w:val="20"/>
          <w:szCs w:val="20"/>
          <w:color w:val="auto"/>
        </w:rPr>
      </w:pPr>
    </w:p>
    <w:p>
      <w:pPr>
        <w:jc w:val="both"/>
        <w:ind w:right="3719"/>
        <w:spacing w:after="0" w:line="258" w:lineRule="auto"/>
        <w:rPr>
          <w:sz w:val="20"/>
          <w:szCs w:val="20"/>
          <w:color w:val="auto"/>
        </w:rPr>
      </w:pPr>
      <w:r>
        <w:rPr>
          <w:rFonts w:ascii="Courier New" w:cs="Courier New" w:eastAsia="Courier New" w:hAnsi="Courier New"/>
          <w:sz w:val="14"/>
          <w:szCs w:val="14"/>
          <w:color w:val="auto"/>
        </w:rPr>
        <w:t>During the quarter, E&amp;PS sponsored the T3-Teachers Teaching with Technology International Conference in Dallas, which was attended by 3000 teachers.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FINANCIAL INFORMATION</w:t>
      </w:r>
    </w:p>
    <w:p>
      <w:pPr>
        <w:spacing w:after="0" w:line="175" w:lineRule="exact"/>
        <w:rPr>
          <w:sz w:val="20"/>
          <w:szCs w:val="20"/>
          <w:color w:val="auto"/>
        </w:rPr>
      </w:pPr>
    </w:p>
    <w:p>
      <w:pPr>
        <w:jc w:val="both"/>
        <w:ind w:right="3719"/>
        <w:spacing w:after="0" w:line="255" w:lineRule="auto"/>
        <w:rPr>
          <w:sz w:val="20"/>
          <w:szCs w:val="20"/>
          <w:color w:val="auto"/>
        </w:rPr>
      </w:pPr>
      <w:r>
        <w:rPr>
          <w:rFonts w:ascii="Courier New" w:cs="Courier New" w:eastAsia="Courier New" w:hAnsi="Courier New"/>
          <w:sz w:val="14"/>
          <w:szCs w:val="14"/>
          <w:color w:val="auto"/>
        </w:rPr>
        <w:t>During the first quarter of 2000, cash and cash equivalents plus short-term investments decreased by $232 million to $2430 million primarily due to the payment of 1999 profit sharing to employees in the first quarter.</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1" w:name="page12"/>
    <w:bookmarkEnd w:id="11"/>
    <w:p>
      <w:pPr>
        <w:ind w:right="3799"/>
        <w:spacing w:after="0" w:line="255" w:lineRule="auto"/>
        <w:rPr>
          <w:sz w:val="20"/>
          <w:szCs w:val="20"/>
          <w:color w:val="auto"/>
        </w:rPr>
      </w:pPr>
      <w:r>
        <w:rPr>
          <w:rFonts w:ascii="Courier New" w:cs="Courier New" w:eastAsia="Courier New" w:hAnsi="Courier New"/>
          <w:sz w:val="14"/>
          <w:szCs w:val="14"/>
          <w:color w:val="auto"/>
        </w:rPr>
        <w:t>First-quarter 2000 cash flow from operating activities was $402 million. First-quarter capital expenditures totaled $641 million compared with $206 million in the first quarter of 1999.</w:t>
      </w:r>
    </w:p>
    <w:p>
      <w:pPr>
        <w:spacing w:after="0" w:line="16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Depreciation for the first quarter of 2000 was $257 million, compared with $229 million in the same quarter a year ago.</w:t>
      </w:r>
    </w:p>
    <w:p>
      <w:pPr>
        <w:spacing w:after="0" w:line="160"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At the end of the first quarter, the debt-to-total capital ratio was .11 versus .13 at the end of 1999.</w:t>
      </w:r>
    </w:p>
    <w:p>
      <w:pPr>
        <w:spacing w:after="0" w:line="16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(SAB) No. 101 on revenue recognition. TI is currently evaluating the impact of SAB No. 101, which is effective in the second quarter of 2000, and expects any effect to be immaterial.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CHARGES AND GAINS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of 2000:</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the first quarter of 2000, pretax charges of $29 million were taken, primarily associated with previously announced actions, including the closing of the Materials &amp; Controls manufacturing facility in Versailles, Kentucky, and TI's acquisition of Toccata Technology ApS. Of the $29 million charge, $12 million was for severance for the elimination of 480 jobs in Kentucky by the first quarter of 2001. At March 31, 2000, the pay-out of the severance cost obligation had not yet begun. Of the $29 million, $20 million is included in cost of revenues, $6 million in marketing, general and administrative expense and $3 million in research and development expense. The primary benefit from the Kentucky action is reduced people costs which are estimated to reach $10 million annually. The benefit is expected to begin in the third quarter of 2000.</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 of 1999:</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In the fourth quarter of 1999, a special charge of $86 million was taken for acquisition related costs associated with TI's pooling of interests acquisition of Unitrode. Of the $86 million charge, $83 million was included in marketing, general and administrative expense, $2 million in cost of revenues and $1 million in other income (expense) net.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of 1999:</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the first quarter of 1999, the company announced a consolidation of semiconductor manufacturing operations in Japan to improve manufacturing efficiencies and reduce costs. This action resulted in a pretax charge of $14 million in the first quarter, of which $13 million was for severance for the elimination of 153 jobs in Hatogaya, Japan. At year-end 1999, this program was complete. Of the $14 million charge, $11 million was included in cost of revenues and $3 million in marketing, general and administrative expense. The primary benefit from this consolidation action was reduced people costs, which were estimated to reach $11 million annually. The benefit was expected to begin in the fourth quarter of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In-Process R&amp;D Charges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Acquisition-related purchased in-process R&amp;D charges were $79 million in 1999. These charges are for the value of acquired in-process research and development from business purchase acquisitions.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2" w:name="page13"/>
    <w:bookmarkEnd w:id="12"/>
    <w:p>
      <w:pPr>
        <w:ind w:right="3539"/>
        <w:spacing w:after="0" w:line="253" w:lineRule="auto"/>
        <w:rPr>
          <w:sz w:val="20"/>
          <w:szCs w:val="20"/>
          <w:color w:val="auto"/>
        </w:rPr>
      </w:pPr>
      <w:r>
        <w:rPr>
          <w:rFonts w:ascii="Courier New" w:cs="Courier New" w:eastAsia="Courier New" w:hAnsi="Courier New"/>
          <w:sz w:val="14"/>
          <w:szCs w:val="14"/>
          <w:color w:val="auto"/>
        </w:rPr>
        <w:t>Significant assumptions, detailed in the table below, used in determining the value of purchased R&amp;D included the discount rate, the estimated beginning date of projected operating cash flows, and the remaining cost and time, in engineer-months, to complete the R&amp;D projects. The term "engineer-month" refers to the average amount of research work expected to be performed by an engineer in a month.</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in-process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Millions of Dollars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Cost/time to</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Year</w:t>
            </w: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Purchased</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complete R&amp;D projects</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cash flows</w:t>
            </w: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Entity</w:t>
            </w:r>
          </w:p>
        </w:tc>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Acquisition</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Consid-</w:t>
            </w:r>
          </w:p>
        </w:tc>
        <w:tc>
          <w:tcPr>
            <w:tcW w:w="88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Other</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in-process</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Appraisal</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R&amp;D</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Discount</w:t>
            </w:r>
          </w:p>
        </w:tc>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projected</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acquired</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date</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eration</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intangibles</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R&amp;D charge</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method</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focus</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rate</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At</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At</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to begin</w:t>
            </w: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acquisition Mar. 2000</w:t>
            </w:r>
          </w:p>
        </w:tc>
        <w:tc>
          <w:tcPr>
            <w:tcW w:w="1020" w:type="dxa"/>
            <w:vAlign w:val="bottom"/>
          </w:tcPr>
          <w:p>
            <w:pPr>
              <w:spacing w:after="0"/>
              <w:rPr>
                <w:sz w:val="14"/>
                <w:szCs w:val="14"/>
                <w:color w:val="auto"/>
              </w:rPr>
            </w:pP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26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960" w:type="dxa"/>
            <w:vAlign w:val="bottom"/>
          </w:tcPr>
          <w:p>
            <w:pPr>
              <w:spacing w:after="0"/>
              <w:rPr>
                <w:sz w:val="20"/>
                <w:szCs w:val="20"/>
                <w:color w:val="auto"/>
              </w:rPr>
            </w:pPr>
            <w:r>
              <w:rPr>
                <w:rFonts w:ascii="Courier New" w:cs="Courier New" w:eastAsia="Courier New" w:hAnsi="Courier New"/>
                <w:sz w:val="14"/>
                <w:szCs w:val="14"/>
                <w:color w:val="auto"/>
              </w:rPr>
              <w:t>Butterfly</w:t>
            </w:r>
          </w:p>
        </w:tc>
        <w:tc>
          <w:tcPr>
            <w:tcW w:w="14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First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$ 33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Exclusion</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Short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$5/264</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$2.0/140</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VLSI,</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quarter</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approach</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distance</w:t>
            </w:r>
          </w:p>
        </w:tc>
        <w:tc>
          <w:tcPr>
            <w:tcW w:w="8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engineer</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engineer</w:t>
            </w:r>
          </w:p>
        </w:tc>
        <w:tc>
          <w:tcPr>
            <w:tcW w:w="1020" w:type="dxa"/>
            <w:vAlign w:val="bottom"/>
          </w:tcPr>
          <w:p>
            <w:pPr>
              <w:spacing w:after="0"/>
              <w:rPr>
                <w:sz w:val="14"/>
                <w:szCs w:val="14"/>
                <w:color w:val="auto"/>
              </w:rPr>
            </w:pP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Ltd.</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wireless</w:t>
            </w:r>
          </w:p>
        </w:tc>
        <w:tc>
          <w:tcPr>
            <w:tcW w:w="8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technology</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 voice-</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plus-data</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transmission</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products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01"/>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Libit Signal</w:t>
            </w: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Second</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365</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$207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106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Exclusion</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Silicon</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$5/492</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$0.5/50</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Processing</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quarter</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approach</w:t>
            </w: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Solutions</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engineer</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engineer</w:t>
            </w:r>
          </w:p>
        </w:tc>
        <w:tc>
          <w:tcPr>
            <w:tcW w:w="1020" w:type="dxa"/>
            <w:vAlign w:val="bottom"/>
          </w:tcPr>
          <w:p>
            <w:pPr>
              <w:spacing w:after="0"/>
              <w:rPr>
                <w:sz w:val="14"/>
                <w:szCs w:val="14"/>
                <w:color w:val="auto"/>
              </w:rPr>
            </w:pP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Ltd.</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8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Internet</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telephony</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w w:val="98"/>
              </w:rPr>
              <w:t>software</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 cable</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modems, etc.</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 Internet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access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01"/>
        </w:trPr>
        <w:tc>
          <w:tcPr>
            <w:tcW w:w="960" w:type="dxa"/>
            <w:vAlign w:val="bottom"/>
          </w:tcPr>
          <w:p>
            <w:pPr>
              <w:spacing w:after="0"/>
              <w:rPr>
                <w:sz w:val="20"/>
                <w:szCs w:val="20"/>
                <w:color w:val="auto"/>
              </w:rPr>
            </w:pPr>
            <w:r>
              <w:rPr>
                <w:rFonts w:ascii="Courier New" w:cs="Courier New" w:eastAsia="Courier New" w:hAnsi="Courier New"/>
                <w:sz w:val="14"/>
                <w:szCs w:val="14"/>
                <w:color w:val="auto"/>
              </w:rPr>
              <w:t>Integrated</w:t>
            </w:r>
          </w:p>
        </w:tc>
        <w:tc>
          <w:tcPr>
            <w:tcW w:w="14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Third</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$ 32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Exclusion</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Intel-</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$4/233</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$0.3/40</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Sensor</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quarter</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approach</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ligent</w:t>
            </w:r>
          </w:p>
        </w:tc>
        <w:tc>
          <w:tcPr>
            <w:tcW w:w="8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engineer</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engineer</w:t>
            </w:r>
          </w:p>
        </w:tc>
        <w:tc>
          <w:tcPr>
            <w:tcW w:w="1020" w:type="dxa"/>
            <w:vAlign w:val="bottom"/>
          </w:tcPr>
          <w:p>
            <w:pPr>
              <w:spacing w:after="0"/>
              <w:rPr>
                <w:sz w:val="14"/>
                <w:szCs w:val="14"/>
                <w:color w:val="auto"/>
              </w:rPr>
            </w:pP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w w:val="99"/>
              </w:rPr>
              <w:t>Solutions,</w:t>
            </w:r>
          </w:p>
        </w:tc>
        <w:tc>
          <w:tcPr>
            <w:tcW w:w="1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sensors</w:t>
            </w:r>
          </w:p>
        </w:tc>
        <w:tc>
          <w:tcPr>
            <w:tcW w:w="8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1020" w:type="dxa"/>
            <w:vAlign w:val="bottom"/>
          </w:tcPr>
          <w:p>
            <w:pPr>
              <w:spacing w:after="0"/>
              <w:rPr>
                <w:sz w:val="14"/>
                <w:szCs w:val="14"/>
                <w:color w:val="auto"/>
              </w:rPr>
            </w:pPr>
          </w:p>
        </w:tc>
      </w:tr>
      <w:tr>
        <w:trPr>
          <w:trHeight w:val="167"/>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Inc.</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for</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auto/ind.</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markets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35"/>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540"/>
          </w:cols>
          <w:pgMar w:left="220" w:top="1121" w:right="139" w:bottom="1440" w:gutter="0" w:footer="0" w:header="0"/>
        </w:sectPr>
      </w:pPr>
    </w:p>
    <w:bookmarkStart w:id="14" w:name="page15"/>
    <w:bookmarkEnd w:id="14"/>
    <w:p>
      <w:pPr>
        <w:spacing w:after="0"/>
        <w:tabs>
          <w:tab w:leader="none" w:pos="78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Information concerning market risk is contained on pages B-35 and B-36 of the Registrant's proxy statement for the 2000 annual meeting of stockholders and is incorporated by reference to such proxy statement.</w:t>
      </w:r>
    </w:p>
    <w:p>
      <w:pPr>
        <w:spacing w:after="0" w:line="16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PART II - OTHER INFORMATION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2.</w:t>
        <w:tab/>
        <w:t>Changes in Securities and Use of Proceeds.</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On March 15, 2000, the Registrant acquired all the outstanding shares of capital stock of Toccata Technology ApS, a company incorporated under the laws of the Kingdom of Denmark, in exchange for 136,362 shares of TI common stock. The issuance and sale of the shares of TI common stock described above were deemed to be exempt from registration under the Securities Act of 1993, as amended, in reliance on Regulation S promulgated thereunder based on the facts and circumstances of the acquisition and upon representations and warranties made by the shareholders of Toccata Technology ApS.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5" w:lineRule="exact"/>
        <w:rPr>
          <w:sz w:val="20"/>
          <w:szCs w:val="20"/>
          <w:color w:val="auto"/>
        </w:rPr>
      </w:pPr>
    </w:p>
    <w:p>
      <w:pPr>
        <w:ind w:left="1220" w:hanging="430"/>
        <w:spacing w:after="0"/>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5" w:lineRule="exact"/>
        <w:rPr>
          <w:rFonts w:ascii="Courier New" w:cs="Courier New" w:eastAsia="Courier New" w:hAnsi="Courier New"/>
          <w:sz w:val="14"/>
          <w:szCs w:val="14"/>
          <w:color w:val="auto"/>
        </w:rPr>
      </w:pPr>
    </w:p>
    <w:p>
      <w:pPr>
        <w:ind w:left="1400" w:right="7799"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of Exhibits in</w:t>
      </w:r>
    </w:p>
    <w:p>
      <w:pPr>
        <w:sectPr>
          <w:pgSz w:w="11900" w:h="16838" w:orient="portrait"/>
          <w:cols w:equalWidth="0" w:num="1">
            <w:col w:w="10239"/>
          </w:cols>
          <w:pgMar w:left="220" w:top="620" w:right="1440" w:bottom="1440" w:gutter="0" w:footer="0" w:header="0"/>
        </w:sectPr>
      </w:pPr>
    </w:p>
    <w:p>
      <w:pPr>
        <w:spacing w:after="0" w:line="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This Report</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Description of 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520" w:space="520"/>
            <w:col w:w="7199"/>
          </w:cols>
          <w:pgMar w:left="220" w:top="620" w:right="1440" w:bottom="1440" w:gutter="0" w:footer="0" w:header="0"/>
          <w:type w:val="continuous"/>
        </w:sectPr>
      </w:pPr>
    </w:p>
    <w:p>
      <w:pPr>
        <w:ind w:left="3040" w:right="4839" w:hanging="1295"/>
        <w:spacing w:after="0" w:line="254" w:lineRule="auto"/>
        <w:tabs>
          <w:tab w:leader="none" w:pos="3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Basic and Diluted Earnings Per Common and Dilutive Potential Common Share</w:t>
      </w:r>
    </w:p>
    <w:p>
      <w:pPr>
        <w:spacing w:after="0" w:line="163" w:lineRule="exact"/>
        <w:rPr>
          <w:rFonts w:ascii="Courier New" w:cs="Courier New" w:eastAsia="Courier New" w:hAnsi="Courier New"/>
          <w:sz w:val="14"/>
          <w:szCs w:val="14"/>
          <w:color w:val="auto"/>
        </w:rPr>
      </w:pPr>
    </w:p>
    <w:p>
      <w:pPr>
        <w:ind w:left="3040" w:right="5019" w:hanging="1295"/>
        <w:spacing w:after="0" w:line="258" w:lineRule="auto"/>
        <w:tabs>
          <w:tab w:leader="none" w:pos="3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 of Earnings to Fixed Charges</w:t>
      </w:r>
    </w:p>
    <w:p>
      <w:pPr>
        <w:spacing w:after="0" w:line="160" w:lineRule="exact"/>
        <w:rPr>
          <w:sz w:val="20"/>
          <w:szCs w:val="20"/>
          <w:color w:val="auto"/>
        </w:rPr>
      </w:pPr>
    </w:p>
    <w:p>
      <w:pPr>
        <w:ind w:left="3040" w:right="4679" w:hanging="1295"/>
        <w:spacing w:after="0" w:line="252" w:lineRule="auto"/>
        <w:tabs>
          <w:tab w:leader="none" w:pos="30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 as of March 31, 2000 and for the</w:t>
      </w:r>
    </w:p>
    <w:p>
      <w:pPr>
        <w:ind w:left="3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 months then ended</w:t>
      </w:r>
    </w:p>
    <w:p>
      <w:pPr>
        <w:spacing w:after="0" w:line="175"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27.1</w:t>
            </w:r>
          </w:p>
        </w:tc>
        <w:tc>
          <w:tcPr>
            <w:tcW w:w="32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Restated Financial Data Schedule</w:t>
            </w:r>
          </w:p>
        </w:tc>
      </w:tr>
      <w:tr>
        <w:trPr>
          <w:trHeight w:val="167"/>
        </w:trPr>
        <w:tc>
          <w:tcPr>
            <w:tcW w:w="820" w:type="dxa"/>
            <w:vAlign w:val="bottom"/>
          </w:tcPr>
          <w:p>
            <w:pPr>
              <w:spacing w:after="0"/>
              <w:rPr>
                <w:sz w:val="14"/>
                <w:szCs w:val="14"/>
                <w:color w:val="auto"/>
              </w:rPr>
            </w:pPr>
          </w:p>
        </w:tc>
        <w:tc>
          <w:tcPr>
            <w:tcW w:w="2260" w:type="dxa"/>
            <w:vAlign w:val="bottom"/>
          </w:tcPr>
          <w:p>
            <w:pPr>
              <w:ind w:left="480"/>
              <w:spacing w:after="0"/>
              <w:rPr>
                <w:sz w:val="20"/>
                <w:szCs w:val="20"/>
                <w:color w:val="auto"/>
              </w:rPr>
            </w:pPr>
            <w:r>
              <w:rPr>
                <w:rFonts w:ascii="Courier New" w:cs="Courier New" w:eastAsia="Courier New" w:hAnsi="Courier New"/>
                <w:sz w:val="14"/>
                <w:szCs w:val="14"/>
                <w:color w:val="auto"/>
              </w:rPr>
              <w:t>as of March 31, 1999</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and for the</w:t>
            </w:r>
          </w:p>
        </w:tc>
      </w:tr>
      <w:tr>
        <w:trPr>
          <w:trHeight w:val="167"/>
        </w:trPr>
        <w:tc>
          <w:tcPr>
            <w:tcW w:w="820" w:type="dxa"/>
            <w:vAlign w:val="bottom"/>
          </w:tcPr>
          <w:p>
            <w:pPr>
              <w:spacing w:after="0"/>
              <w:rPr>
                <w:sz w:val="14"/>
                <w:szCs w:val="14"/>
                <w:color w:val="auto"/>
              </w:rPr>
            </w:pPr>
          </w:p>
        </w:tc>
        <w:tc>
          <w:tcPr>
            <w:tcW w:w="2260" w:type="dxa"/>
            <w:vAlign w:val="bottom"/>
          </w:tcPr>
          <w:p>
            <w:pPr>
              <w:ind w:left="480"/>
              <w:spacing w:after="0"/>
              <w:rPr>
                <w:sz w:val="20"/>
                <w:szCs w:val="20"/>
                <w:color w:val="auto"/>
              </w:rPr>
            </w:pPr>
            <w:r>
              <w:rPr>
                <w:rFonts w:ascii="Courier New" w:cs="Courier New" w:eastAsia="Courier New" w:hAnsi="Courier New"/>
                <w:sz w:val="14"/>
                <w:szCs w:val="14"/>
                <w:color w:val="auto"/>
              </w:rPr>
              <w:t>3 months then ended.</w:t>
            </w:r>
          </w:p>
        </w:tc>
        <w:tc>
          <w:tcPr>
            <w:tcW w:w="1000" w:type="dxa"/>
            <w:vAlign w:val="bottom"/>
          </w:tcPr>
          <w:p>
            <w:pPr>
              <w:spacing w:after="0"/>
              <w:rPr>
                <w:sz w:val="14"/>
                <w:szCs w:val="14"/>
                <w:color w:val="auto"/>
              </w:rPr>
            </w:pPr>
          </w:p>
        </w:tc>
      </w:tr>
    </w:tbl>
    <w:p>
      <w:pPr>
        <w:spacing w:after="0" w:line="338" w:lineRule="exact"/>
        <w:rPr>
          <w:sz w:val="20"/>
          <w:szCs w:val="20"/>
          <w:color w:val="auto"/>
        </w:rPr>
      </w:pPr>
    </w:p>
    <w:p>
      <w:pPr>
        <w:ind w:left="1220" w:right="7359" w:hanging="430"/>
        <w:spacing w:after="0" w:line="511" w:lineRule="auto"/>
        <w:tabs>
          <w:tab w:leader="none" w:pos="1133"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None.</w:t>
      </w:r>
    </w:p>
    <w:p>
      <w:pPr>
        <w:spacing w:after="0" w:line="159"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60"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type w:val="continuous"/>
        </w:sectPr>
      </w:pPr>
    </w:p>
    <w:bookmarkStart w:id="15" w:name="page16"/>
    <w:bookmarkEnd w:id="15"/>
    <w:p>
      <w:pPr>
        <w:ind w:right="3539"/>
        <w:spacing w:after="0" w:line="254" w:lineRule="auto"/>
        <w:rPr>
          <w:sz w:val="20"/>
          <w:szCs w:val="20"/>
          <w:color w:val="auto"/>
        </w:rPr>
      </w:pPr>
      <w:r>
        <w:rPr>
          <w:rFonts w:ascii="Courier New" w:cs="Courier New" w:eastAsia="Courier New" w:hAnsi="Courier New"/>
          <w:sz w:val="14"/>
          <w:szCs w:val="14"/>
          <w:color w:val="auto"/>
        </w:rPr>
        <w:t>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We urge you to carefully consider the following important factors that could cause actual results to differ materially from the expectations of the company or its management:</w:t>
      </w:r>
    </w:p>
    <w:p>
      <w:pPr>
        <w:spacing w:after="0" w:line="162" w:lineRule="exact"/>
        <w:rPr>
          <w:sz w:val="20"/>
          <w:szCs w:val="20"/>
          <w:color w:val="auto"/>
        </w:rPr>
      </w:pPr>
    </w:p>
    <w:p>
      <w:pPr>
        <w:ind w:left="360" w:right="3459" w:hanging="351"/>
        <w:spacing w:after="0" w:line="260" w:lineRule="auto"/>
        <w:tabs>
          <w:tab w:leader="none" w:pos="18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Market demand for semiconductors, particularly for digital signal processors and analog chips in key markets, such as telecommunications and computers;</w:t>
      </w:r>
    </w:p>
    <w:p>
      <w:pPr>
        <w:spacing w:after="0" w:line="324" w:lineRule="exact"/>
        <w:rPr>
          <w:rFonts w:ascii="Courier New" w:cs="Courier New" w:eastAsia="Courier New" w:hAnsi="Courier New"/>
          <w:sz w:val="14"/>
          <w:szCs w:val="14"/>
          <w:color w:val="auto"/>
        </w:rPr>
      </w:pPr>
    </w:p>
    <w:p>
      <w:pPr>
        <w:ind w:left="360" w:right="3459" w:hanging="351"/>
        <w:spacing w:after="0" w:line="258" w:lineRule="auto"/>
        <w:tabs>
          <w:tab w:leader="none" w:pos="18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TI's ability to develop, manufacture and market innovative products in a rapidly changing technological environment;</w:t>
      </w:r>
    </w:p>
    <w:p>
      <w:pPr>
        <w:spacing w:after="0" w:line="159" w:lineRule="exact"/>
        <w:rPr>
          <w:rFonts w:ascii="Courier New" w:cs="Courier New" w:eastAsia="Courier New" w:hAnsi="Courier New"/>
          <w:sz w:val="14"/>
          <w:szCs w:val="14"/>
          <w:color w:val="auto"/>
        </w:rPr>
      </w:pPr>
    </w:p>
    <w:p>
      <w:pPr>
        <w:ind w:left="360" w:right="3279" w:hanging="351"/>
        <w:spacing w:after="0" w:line="258" w:lineRule="auto"/>
        <w:tabs>
          <w:tab w:leader="none" w:pos="18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TI's ability to compete in products and prices in an intensely competitive industry;</w:t>
      </w:r>
    </w:p>
    <w:p>
      <w:pPr>
        <w:spacing w:after="0" w:line="159" w:lineRule="exact"/>
        <w:rPr>
          <w:rFonts w:ascii="Courier New" w:cs="Courier New" w:eastAsia="Courier New" w:hAnsi="Courier New"/>
          <w:sz w:val="14"/>
          <w:szCs w:val="14"/>
          <w:color w:val="auto"/>
        </w:rPr>
      </w:pPr>
    </w:p>
    <w:p>
      <w:pPr>
        <w:ind w:left="360" w:right="3899" w:hanging="351"/>
        <w:spacing w:after="0" w:line="258" w:lineRule="auto"/>
        <w:tabs>
          <w:tab w:leader="none" w:pos="18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TI's ability to maintain and enforce a strong intellectual property portfolio and obtain needed licenses from third parties;</w:t>
      </w:r>
    </w:p>
    <w:p>
      <w:pPr>
        <w:spacing w:after="0" w:line="159" w:lineRule="exact"/>
        <w:rPr>
          <w:rFonts w:ascii="Courier New" w:cs="Courier New" w:eastAsia="Courier New" w:hAnsi="Courier New"/>
          <w:sz w:val="14"/>
          <w:szCs w:val="14"/>
          <w:color w:val="auto"/>
        </w:rPr>
      </w:pPr>
    </w:p>
    <w:p>
      <w:pPr>
        <w:ind w:left="360" w:right="3279" w:hanging="351"/>
        <w:spacing w:after="0" w:line="255" w:lineRule="auto"/>
        <w:tabs>
          <w:tab w:leader="none" w:pos="18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Global economic, social and political conditions in the countries in which TI and its customers and suppliers operate, including fluctuations in foreign currency exchange rates;</w:t>
      </w:r>
    </w:p>
    <w:p>
      <w:pPr>
        <w:spacing w:after="0" w:line="16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Losses or curtailments of purchases from key customers;</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TI's ability to recruit and retain skilled personnel;</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Availability of raw materials and critical manufacturing equipment.</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For a more detailed discussion of these factors, see the text under the heading "Cautionary Statements Regarding Future Results of Operations" in Item 1 of the company's most recent Form 10-K. The forward-looking statements included in this Form 10-Q are made only as of the date of this report and the company undertakes no obligation to publicly update the forward-looking statements to reflect subsequent events or circumstances.</w:t>
      </w:r>
    </w:p>
    <w:p>
      <w:pPr>
        <w:spacing w:after="0" w:line="16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jc w:val="both"/>
        <w:ind w:right="3979"/>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TEXAS INSTRUMENTS INCORPORATED</w:t>
      </w:r>
    </w:p>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/s/ WILLIAM A. AYLESWORTH</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William A. Aylesworth</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Senior Vice President,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Treasurer 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Chief Financial Officer</w:t>
      </w:r>
    </w:p>
    <w:p>
      <w:pPr>
        <w:spacing w:after="0" w:line="1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April 20, 2000</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Courier New" w:cs="Courier New" w:eastAsia="Courier New" w:hAnsi="Courier New"/>
                <w:sz w:val="14"/>
                <w:szCs w:val="14"/>
                <w:color w:val="auto"/>
              </w:rPr>
              <w:t>Exhibit Index</w:t>
            </w:r>
          </w:p>
        </w:tc>
        <w:tc>
          <w:tcPr>
            <w:tcW w:w="1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835"/>
        </w:trPr>
        <w:tc>
          <w:tcPr>
            <w:tcW w:w="1880" w:type="dxa"/>
            <w:vAlign w:val="bottom"/>
          </w:tcPr>
          <w:p>
            <w:pPr>
              <w:spacing w:after="0"/>
              <w:rPr>
                <w:sz w:val="20"/>
                <w:szCs w:val="20"/>
                <w:color w:val="auto"/>
              </w:rPr>
            </w:pPr>
            <w:r>
              <w:rPr>
                <w:rFonts w:ascii="Courier New" w:cs="Courier New" w:eastAsia="Courier New" w:hAnsi="Courier New"/>
                <w:sz w:val="14"/>
                <w:szCs w:val="14"/>
                <w:color w:val="auto"/>
              </w:rPr>
              <w:t>Designation of</w:t>
            </w: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Paper (P)</w:t>
            </w:r>
          </w:p>
        </w:tc>
      </w:tr>
      <w:tr>
        <w:trPr>
          <w:trHeight w:val="167"/>
        </w:trPr>
        <w:tc>
          <w:tcPr>
            <w:tcW w:w="1880" w:type="dxa"/>
            <w:vAlign w:val="bottom"/>
          </w:tcPr>
          <w:p>
            <w:pPr>
              <w:ind w:left="100"/>
              <w:spacing w:after="0"/>
              <w:rPr>
                <w:sz w:val="20"/>
                <w:szCs w:val="20"/>
                <w:color w:val="auto"/>
              </w:rPr>
            </w:pPr>
            <w:r>
              <w:rPr>
                <w:rFonts w:ascii="Courier New" w:cs="Courier New" w:eastAsia="Courier New" w:hAnsi="Courier New"/>
                <w:sz w:val="14"/>
                <w:szCs w:val="14"/>
                <w:color w:val="auto"/>
              </w:rPr>
              <w:t>Exhibits in</w:t>
            </w:r>
          </w:p>
        </w:tc>
        <w:tc>
          <w:tcPr>
            <w:tcW w:w="1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or</w:t>
            </w:r>
          </w:p>
        </w:tc>
      </w:tr>
      <w:tr>
        <w:trPr>
          <w:trHeight w:val="167"/>
        </w:trPr>
        <w:tc>
          <w:tcPr>
            <w:tcW w:w="1880" w:type="dxa"/>
            <w:vAlign w:val="bottom"/>
          </w:tcPr>
          <w:p>
            <w:pPr>
              <w:ind w:left="100"/>
              <w:spacing w:after="0"/>
              <w:rPr>
                <w:sz w:val="20"/>
                <w:szCs w:val="20"/>
                <w:color w:val="auto"/>
              </w:rPr>
            </w:pPr>
            <w:r>
              <w:rPr>
                <w:rFonts w:ascii="Courier New" w:cs="Courier New" w:eastAsia="Courier New" w:hAnsi="Courier New"/>
                <w:sz w:val="14"/>
                <w:szCs w:val="14"/>
                <w:color w:val="auto"/>
              </w:rPr>
              <w:t>this Report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Description</w:t>
            </w: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of Exhibit</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Electronic (E)</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1880" w:type="dxa"/>
            <w:vAlign w:val="bottom"/>
          </w:tcPr>
          <w:p>
            <w:pPr>
              <w:ind w:left="520"/>
              <w:spacing w:after="0"/>
              <w:rPr>
                <w:sz w:val="20"/>
                <w:szCs w:val="20"/>
                <w:color w:val="auto"/>
              </w:rPr>
            </w:pPr>
            <w:r>
              <w:rPr>
                <w:rFonts w:ascii="Courier New" w:cs="Courier New" w:eastAsia="Courier New" w:hAnsi="Courier New"/>
                <w:sz w:val="14"/>
                <w:szCs w:val="14"/>
                <w:color w:val="auto"/>
              </w:rPr>
              <w:t>11</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Computation</w:t>
            </w: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of Basic and</w:t>
            </w:r>
          </w:p>
        </w:tc>
        <w:tc>
          <w:tcPr>
            <w:tcW w:w="14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E</w:t>
            </w:r>
          </w:p>
        </w:tc>
      </w:tr>
      <w:tr>
        <w:trPr>
          <w:trHeight w:val="167"/>
        </w:trPr>
        <w:tc>
          <w:tcPr>
            <w:tcW w:w="1880" w:type="dxa"/>
            <w:vAlign w:val="bottom"/>
          </w:tcPr>
          <w:p>
            <w:pPr>
              <w:spacing w:after="0"/>
              <w:rPr>
                <w:sz w:val="14"/>
                <w:szCs w:val="14"/>
                <w:color w:val="auto"/>
              </w:rPr>
            </w:pPr>
          </w:p>
        </w:tc>
        <w:tc>
          <w:tcPr>
            <w:tcW w:w="3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Diluted Earnings Per Common</w:t>
            </w:r>
          </w:p>
        </w:tc>
        <w:tc>
          <w:tcPr>
            <w:tcW w:w="140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and Dilutive Potential</w:t>
            </w:r>
          </w:p>
        </w:tc>
        <w:tc>
          <w:tcPr>
            <w:tcW w:w="140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Common Share</w:t>
            </w: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4"/>
        </w:trPr>
        <w:tc>
          <w:tcPr>
            <w:tcW w:w="1880" w:type="dxa"/>
            <w:vAlign w:val="bottom"/>
          </w:tcPr>
          <w:p>
            <w:pPr>
              <w:ind w:left="520"/>
              <w:spacing w:after="0"/>
              <w:rPr>
                <w:sz w:val="20"/>
                <w:szCs w:val="20"/>
                <w:color w:val="auto"/>
              </w:rPr>
            </w:pPr>
            <w:r>
              <w:rPr>
                <w:rFonts w:ascii="Courier New" w:cs="Courier New" w:eastAsia="Courier New" w:hAnsi="Courier New"/>
                <w:sz w:val="14"/>
                <w:szCs w:val="14"/>
                <w:color w:val="auto"/>
              </w:rPr>
              <w:t>12</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Computation</w:t>
            </w: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of Ratio of</w:t>
            </w:r>
          </w:p>
        </w:tc>
        <w:tc>
          <w:tcPr>
            <w:tcW w:w="14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E</w:t>
            </w:r>
          </w:p>
        </w:tc>
      </w:tr>
      <w:tr>
        <w:trPr>
          <w:trHeight w:val="167"/>
        </w:trPr>
        <w:tc>
          <w:tcPr>
            <w:tcW w:w="188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Earnings to</w:t>
            </w: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1400" w:type="dxa"/>
            <w:vAlign w:val="bottom"/>
          </w:tcPr>
          <w:p>
            <w:pPr>
              <w:spacing w:after="0"/>
              <w:rPr>
                <w:sz w:val="14"/>
                <w:szCs w:val="14"/>
                <w:color w:val="auto"/>
              </w:rPr>
            </w:pPr>
          </w:p>
        </w:tc>
      </w:tr>
      <w:tr>
        <w:trPr>
          <w:trHeight w:val="334"/>
        </w:trPr>
        <w:tc>
          <w:tcPr>
            <w:tcW w:w="1880" w:type="dxa"/>
            <w:vAlign w:val="bottom"/>
          </w:tcPr>
          <w:p>
            <w:pPr>
              <w:ind w:left="520"/>
              <w:spacing w:after="0"/>
              <w:rPr>
                <w:sz w:val="20"/>
                <w:szCs w:val="20"/>
                <w:color w:val="auto"/>
              </w:rPr>
            </w:pPr>
            <w:r>
              <w:rPr>
                <w:rFonts w:ascii="Courier New" w:cs="Courier New" w:eastAsia="Courier New" w:hAnsi="Courier New"/>
                <w:sz w:val="14"/>
                <w:szCs w:val="14"/>
                <w:color w:val="auto"/>
              </w:rPr>
              <w:t>27</w:t>
            </w:r>
          </w:p>
        </w:tc>
        <w:tc>
          <w:tcPr>
            <w:tcW w:w="3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Financial Data Schedule</w:t>
            </w:r>
          </w:p>
        </w:tc>
        <w:tc>
          <w:tcPr>
            <w:tcW w:w="14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E</w:t>
            </w:r>
          </w:p>
        </w:tc>
      </w:tr>
      <w:tr>
        <w:trPr>
          <w:trHeight w:val="167"/>
        </w:trPr>
        <w:tc>
          <w:tcPr>
            <w:tcW w:w="188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as of March</w:t>
            </w: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31, 2000 and for</w:t>
            </w:r>
          </w:p>
        </w:tc>
        <w:tc>
          <w:tcPr>
            <w:tcW w:w="140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the 3 months then ended</w:t>
            </w:r>
          </w:p>
        </w:tc>
        <w:tc>
          <w:tcPr>
            <w:tcW w:w="1400" w:type="dxa"/>
            <w:vAlign w:val="bottom"/>
          </w:tcPr>
          <w:p>
            <w:pPr>
              <w:spacing w:after="0"/>
              <w:rPr>
                <w:sz w:val="14"/>
                <w:szCs w:val="14"/>
                <w:color w:val="auto"/>
              </w:rPr>
            </w:pPr>
          </w:p>
        </w:tc>
      </w:tr>
      <w:tr>
        <w:trPr>
          <w:trHeight w:val="334"/>
        </w:trPr>
        <w:tc>
          <w:tcPr>
            <w:tcW w:w="1880" w:type="dxa"/>
            <w:vAlign w:val="bottom"/>
          </w:tcPr>
          <w:p>
            <w:pPr>
              <w:ind w:left="520"/>
              <w:spacing w:after="0"/>
              <w:rPr>
                <w:sz w:val="20"/>
                <w:szCs w:val="20"/>
                <w:color w:val="auto"/>
              </w:rPr>
            </w:pPr>
            <w:r>
              <w:rPr>
                <w:rFonts w:ascii="Courier New" w:cs="Courier New" w:eastAsia="Courier New" w:hAnsi="Courier New"/>
                <w:sz w:val="14"/>
                <w:szCs w:val="14"/>
                <w:color w:val="auto"/>
              </w:rPr>
              <w:t>27.1</w:t>
            </w:r>
          </w:p>
        </w:tc>
        <w:tc>
          <w:tcPr>
            <w:tcW w:w="3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Restated Financial Data Schedule</w:t>
            </w:r>
          </w:p>
        </w:tc>
        <w:tc>
          <w:tcPr>
            <w:tcW w:w="14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E</w:t>
            </w:r>
          </w:p>
        </w:tc>
      </w:tr>
      <w:tr>
        <w:trPr>
          <w:trHeight w:val="167"/>
        </w:trPr>
        <w:tc>
          <w:tcPr>
            <w:tcW w:w="188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as of March</w:t>
            </w:r>
          </w:p>
        </w:tc>
        <w:tc>
          <w:tcPr>
            <w:tcW w:w="1820" w:type="dxa"/>
            <w:vAlign w:val="bottom"/>
          </w:tcPr>
          <w:p>
            <w:pPr>
              <w:spacing w:after="0"/>
              <w:rPr>
                <w:sz w:val="20"/>
                <w:szCs w:val="20"/>
                <w:color w:val="auto"/>
              </w:rPr>
            </w:pPr>
            <w:r>
              <w:rPr>
                <w:rFonts w:ascii="Courier New" w:cs="Courier New" w:eastAsia="Courier New" w:hAnsi="Courier New"/>
                <w:sz w:val="14"/>
                <w:szCs w:val="14"/>
                <w:color w:val="auto"/>
              </w:rPr>
              <w:t>31, 1999 and for the</w:t>
            </w:r>
          </w:p>
        </w:tc>
        <w:tc>
          <w:tcPr>
            <w:tcW w:w="1400" w:type="dxa"/>
            <w:vAlign w:val="bottom"/>
          </w:tcPr>
          <w:p>
            <w:pPr>
              <w:spacing w:after="0"/>
              <w:rPr>
                <w:sz w:val="14"/>
                <w:szCs w:val="14"/>
                <w:color w:val="auto"/>
              </w:rPr>
            </w:pPr>
          </w:p>
        </w:tc>
      </w:tr>
    </w:tbl>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3 months then ended.</w:t>
      </w:r>
    </w:p>
    <w:p>
      <w:pPr>
        <w:sectPr>
          <w:pgSz w:w="11900" w:h="16838" w:orient="portrait"/>
          <w:cols w:equalWidth="0" w:num="1">
            <w:col w:w="10239"/>
          </w:cols>
          <w:pgMar w:left="220" w:top="620"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EXHIBIT 11</w:t>
            </w:r>
          </w:p>
        </w:tc>
      </w:tr>
      <w:tr>
        <w:trPr>
          <w:trHeight w:val="167"/>
        </w:trPr>
        <w:tc>
          <w:tcPr>
            <w:tcW w:w="5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674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TEXAS INSTRUMENTS INCORPORATED AND SUBSIDIARIES</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6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EARNINGS PER COMMON AND DILUTIVE POTENTIAL COMMON SHARE</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1"/>
        </w:trPr>
        <w:tc>
          <w:tcPr>
            <w:tcW w:w="5660" w:type="dxa"/>
            <w:vAlign w:val="bottom"/>
          </w:tcPr>
          <w:p>
            <w:pPr>
              <w:spacing w:after="0"/>
              <w:rPr>
                <w:sz w:val="24"/>
                <w:szCs w:val="24"/>
                <w:color w:val="auto"/>
              </w:rPr>
            </w:pPr>
          </w:p>
        </w:tc>
        <w:tc>
          <w:tcPr>
            <w:tcW w:w="21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For Three Months Ended</w:t>
            </w:r>
          </w:p>
        </w:tc>
      </w:tr>
      <w:tr>
        <w:trPr>
          <w:trHeight w:val="167"/>
        </w:trPr>
        <w:tc>
          <w:tcPr>
            <w:tcW w:w="566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Mar 31</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Mar 31</w:t>
            </w:r>
          </w:p>
        </w:tc>
      </w:tr>
      <w:tr>
        <w:trPr>
          <w:trHeight w:val="167"/>
        </w:trPr>
        <w:tc>
          <w:tcPr>
            <w:tcW w:w="5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6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5660" w:type="dxa"/>
            <w:vAlign w:val="bottom"/>
          </w:tcPr>
          <w:p>
            <w:pPr>
              <w:spacing w:after="0"/>
              <w:rPr>
                <w:sz w:val="20"/>
                <w:szCs w:val="20"/>
                <w:color w:val="auto"/>
              </w:rPr>
            </w:pPr>
            <w:r>
              <w:rPr>
                <w:rFonts w:ascii="Courier New" w:cs="Courier New" w:eastAsia="Courier New" w:hAnsi="Courier New"/>
                <w:sz w:val="14"/>
                <w:szCs w:val="14"/>
                <w:color w:val="auto"/>
              </w:rPr>
              <w:t>Net income (in millions).......................................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w:t>
            </w:r>
          </w:p>
        </w:tc>
      </w:tr>
      <w:tr>
        <w:trPr>
          <w:trHeight w:val="167"/>
        </w:trPr>
        <w:tc>
          <w:tcPr>
            <w:tcW w:w="56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5660" w:type="dxa"/>
            <w:vAlign w:val="bottom"/>
          </w:tcPr>
          <w:p>
            <w:pPr>
              <w:spacing w:after="0"/>
              <w:rPr>
                <w:sz w:val="20"/>
                <w:szCs w:val="20"/>
                <w:color w:val="auto"/>
              </w:rPr>
            </w:pPr>
            <w:r>
              <w:rPr>
                <w:rFonts w:ascii="Courier New" w:cs="Courier New" w:eastAsia="Courier New" w:hAnsi="Courier New"/>
                <w:sz w:val="14"/>
                <w:szCs w:val="14"/>
                <w:color w:val="auto"/>
              </w:rPr>
              <w:t>DILUTED EARNINGS PER COMMON AND DILUTIVE POTENTIAL COMMON SHARE:</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66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(in thousands)......</w:t>
            </w:r>
          </w:p>
        </w:tc>
        <w:tc>
          <w:tcPr>
            <w:tcW w:w="3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816,057</w:t>
            </w:r>
          </w:p>
        </w:tc>
        <w:tc>
          <w:tcPr>
            <w:tcW w:w="3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799,339</w:t>
            </w:r>
          </w:p>
        </w:tc>
      </w:tr>
      <w:tr>
        <w:trPr>
          <w:trHeight w:val="167"/>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dilutive potential common shares: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Stock option and compensation plans........................</w:t>
            </w:r>
          </w:p>
        </w:tc>
        <w:tc>
          <w:tcPr>
            <w:tcW w:w="3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35,561</w:t>
            </w:r>
          </w:p>
        </w:tc>
        <w:tc>
          <w:tcPr>
            <w:tcW w:w="3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25,328</w:t>
            </w:r>
          </w:p>
        </w:tc>
      </w:tr>
      <w:tr>
        <w:trPr>
          <w:trHeight w:val="167"/>
        </w:trPr>
        <w:tc>
          <w:tcPr>
            <w:tcW w:w="56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660" w:type="dxa"/>
            <w:vAlign w:val="bottom"/>
          </w:tcPr>
          <w:p>
            <w:pPr>
              <w:spacing w:after="0"/>
              <w:rPr>
                <w:sz w:val="20"/>
                <w:szCs w:val="20"/>
                <w:color w:val="auto"/>
              </w:rPr>
            </w:pPr>
            <w:r>
              <w:rPr>
                <w:rFonts w:ascii="Courier New" w:cs="Courier New" w:eastAsia="Courier New" w:hAnsi="Courier New"/>
                <w:sz w:val="14"/>
                <w:szCs w:val="14"/>
                <w:color w:val="auto"/>
              </w:rPr>
              <w:t>Weighted average common and dilutive potential common shares...</w:t>
            </w:r>
          </w:p>
        </w:tc>
        <w:tc>
          <w:tcPr>
            <w:tcW w:w="3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851,618</w:t>
            </w:r>
          </w:p>
        </w:tc>
        <w:tc>
          <w:tcPr>
            <w:tcW w:w="3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824,667</w:t>
            </w:r>
          </w:p>
        </w:tc>
      </w:tr>
      <w:tr>
        <w:trPr>
          <w:trHeight w:val="167"/>
        </w:trPr>
        <w:tc>
          <w:tcPr>
            <w:tcW w:w="56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566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7"/>
        </w:trPr>
        <w:tc>
          <w:tcPr>
            <w:tcW w:w="56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566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66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(in thousands)......</w:t>
            </w:r>
          </w:p>
        </w:tc>
        <w:tc>
          <w:tcPr>
            <w:tcW w:w="3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816,057</w:t>
            </w:r>
          </w:p>
        </w:tc>
        <w:tc>
          <w:tcPr>
            <w:tcW w:w="3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799,339</w:t>
            </w:r>
          </w:p>
        </w:tc>
      </w:tr>
      <w:tr>
        <w:trPr>
          <w:trHeight w:val="167"/>
        </w:trPr>
        <w:tc>
          <w:tcPr>
            <w:tcW w:w="56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566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167"/>
        </w:trPr>
        <w:tc>
          <w:tcPr>
            <w:tcW w:w="56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809" w:right="1440" w:bottom="1440" w:gutter="0" w:footer="0" w:header="0"/>
        </w:sectPr>
      </w:pPr>
    </w:p>
    <w:bookmarkStart w:id="18" w:name="page19"/>
    <w:bookmarkEnd w:id="18"/>
    <w:p>
      <w:pPr>
        <w:ind w:left="7560"/>
        <w:spacing w:after="0"/>
        <w:rPr>
          <w:sz w:val="20"/>
          <w:szCs w:val="20"/>
          <w:color w:val="auto"/>
        </w:rPr>
      </w:pPr>
      <w:r>
        <w:rPr>
          <w:rFonts w:ascii="Courier New" w:cs="Courier New" w:eastAsia="Courier New" w:hAnsi="Courier New"/>
          <w:sz w:val="14"/>
          <w:szCs w:val="14"/>
          <w:color w:val="auto"/>
        </w:rPr>
        <w:t>EXHIBIT 12</w:t>
      </w:r>
    </w:p>
    <w:p>
      <w:pPr>
        <w:spacing w:after="0" w:line="8" w:lineRule="exact"/>
        <w:rPr>
          <w:sz w:val="20"/>
          <w:szCs w:val="20"/>
          <w:color w:val="auto"/>
        </w:rPr>
      </w:pPr>
    </w:p>
    <w:p>
      <w:pPr>
        <w:ind w:left="75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(Dollars 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Three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Ended March 31</w:t>
            </w:r>
          </w:p>
        </w:tc>
      </w:tr>
      <w:tr>
        <w:trPr>
          <w:trHeight w:val="167"/>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1997</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1999</w:t>
            </w:r>
          </w:p>
        </w:tc>
        <w:tc>
          <w:tcPr>
            <w:tcW w:w="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income taxes and fixed charges: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4"/>
        </w:trPr>
        <w:tc>
          <w:tcPr>
            <w:tcW w:w="3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Income before extraordinary item,</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37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interest expense on loans,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capitalized interest amortized,</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and provision for income taxes.....</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$ 882</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$ 725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$2,112</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$ 399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$ 651</w:t>
            </w:r>
          </w:p>
        </w:tc>
      </w:tr>
      <w:tr>
        <w:trPr>
          <w:trHeight w:val="167"/>
        </w:trPr>
        <w:tc>
          <w:tcPr>
            <w:tcW w:w="37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Add interest attributable to</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rental and lease expense...........</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$ 149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$ 926</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$ 766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$2,142</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$ 408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$ 658</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on loans (expensed</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and capitalized).....................</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$ 108</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$ 114</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84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Interest attributable to rental</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and lease expense....................</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Fixed charges............................</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$ 110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$ 152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$ 158</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$ 126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$ 114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31</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Ratio of earnings to fixed charges.......</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c>
          <w:tcPr>
            <w:tcW w:w="300" w:type="dxa"/>
            <w:vAlign w:val="bottom"/>
          </w:tcPr>
          <w:p>
            <w:pPr>
              <w:spacing w:after="0"/>
              <w:rPr>
                <w:sz w:val="24"/>
                <w:szCs w:val="2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14.2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 Not meaningful.</w:t>
        <w:tab/>
        <w:t>The coverage deficiency was $3 million in 1996.</w:t>
      </w:r>
    </w:p>
    <w:p>
      <w:pPr>
        <w:sectPr>
          <w:pgSz w:w="11900" w:h="16838" w:orient="portrait"/>
          <w:cols w:equalWidth="0" w:num="1">
            <w:col w:w="10239"/>
          </w:cols>
          <w:pgMar w:left="220" w:top="809" w:right="1440" w:bottom="1440" w:gutter="0" w:footer="0" w:header="0"/>
        </w:sectPr>
      </w:pPr>
    </w:p>
    <w:bookmarkStart w:id="19" w:name="page20"/>
    <w:bookmarkEnd w:id="19"/>
    <w:p>
      <w:pPr>
        <w:spacing w:after="0"/>
        <w:tabs>
          <w:tab w:leader="none" w:pos="1640" w:val="left"/>
        </w:tabs>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ind w:left="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439"/>
        <w:spacing w:after="0" w:line="254"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FINANCIAL STATEMENTS OF TEXAS INSTRUMENTS INCORPORATED AND SUBSIDIARIES AS OF MARCH 31, 2000, AND FOR THE THREE MONTHS THEN ENDED, AND IS QUALIFIED IN ITS ENTIRETY BY REFERENCE TO SUCH FINANCIAL STATEMENTS.</w:t>
      </w:r>
    </w:p>
    <w:p>
      <w:pPr>
        <w:spacing w:after="0" w:line="163"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1,000,000</w:t>
      </w:r>
    </w:p>
    <w:p>
      <w:pPr>
        <w:spacing w:after="0" w:line="342"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3-MOS</w:t>
      </w:r>
    </w:p>
    <w:p>
      <w:pPr>
        <w:spacing w:after="0" w:line="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DEC-31-2000</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MAR-31-2000</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675</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1,755</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1,911</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64</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937</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5,974</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7,583</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3,367</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17,500</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2,518</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991</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819</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10,380</w:t>
      </w:r>
    </w:p>
    <w:p>
      <w:pPr>
        <w:spacing w:after="0" w:line="8"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17,500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2,653</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2,653</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1,370</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1,370</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373</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19</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627</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201</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426</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426</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.52</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199"/>
          </w:cols>
          <w:pgMar w:left="260" w:top="141" w:right="1440" w:bottom="1440"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619"/>
        <w:spacing w:after="0" w:line="254" w:lineRule="auto"/>
        <w:rPr>
          <w:sz w:val="20"/>
          <w:szCs w:val="20"/>
          <w:color w:val="auto"/>
        </w:rPr>
      </w:pPr>
      <w:r>
        <w:rPr>
          <w:rFonts w:ascii="Courier New" w:cs="Courier New" w:eastAsia="Courier New" w:hAnsi="Courier New"/>
          <w:sz w:val="14"/>
          <w:szCs w:val="14"/>
          <w:color w:val="auto"/>
        </w:rPr>
        <w:t>THIS RESTATED FINANCIAL DATA SCHEDULE CONTAINS SUMMARY FINANCIAL INFORMATION EXTRACTED FROM THE CONSOLIDATED FINANCIAL STATEMENTS OF TEXAS INSTRUMENTS INCORPORATED AND SUBSIDIARIES AS OF MARCH 31, 1999, AND FOR THE THREE MONTHS THEN ENDED, AND IS QUALIFIED IN ITS ENTIRETY BY REFERENCE TO SUCH FINANCIAL STATEMENTS.</w:t>
      </w:r>
    </w:p>
    <w:p>
      <w:pPr>
        <w:spacing w:after="0" w:line="162"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1,000,000</w:t>
      </w:r>
    </w:p>
    <w:p>
      <w:pPr>
        <w:spacing w:after="0" w:line="200" w:lineRule="exact"/>
        <w:rPr>
          <w:sz w:val="20"/>
          <w:szCs w:val="20"/>
          <w:color w:val="auto"/>
        </w:rPr>
      </w:pPr>
    </w:p>
    <w:p>
      <w:pPr>
        <w:spacing w:after="0" w:line="309"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3-MOS</w:t>
      </w:r>
    </w:p>
    <w:p>
      <w:pPr>
        <w:spacing w:after="0" w:line="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DEC-31-1999</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MAR-31-1999</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909</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1,391</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1,504</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58</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664</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5,122</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6,625</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3,208</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11,371</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2,071</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989</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401</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6,503</w:t>
      </w:r>
    </w:p>
    <w:p>
      <w:pPr>
        <w:spacing w:after="0" w:line="8"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11,371</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2,081</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2,081</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1,133</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1,133</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311</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18</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376</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121</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255</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255</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.32</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.31</w:t>
      </w:r>
    </w:p>
    <w:sectPr>
      <w:pgSz w:w="11900" w:h="16838" w:orient="portrait"/>
      <w:cols w:equalWidth="0" w:num="1">
        <w:col w:w="10199"/>
      </w:cols>
      <w:pgMar w:left="26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decimal"/>
      <w:start w:val="27"/>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2019-12-13T07:42:11Z</dcterms:created>
  <dcterms:modified xsi:type="dcterms:W3CDTF">2019-12-13T07:42:11Z</dcterms:modified>
</cp:coreProperties>
</file>