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382270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ind w:left="2560"/>
        <w:spacing w:after="0"/>
        <w:rPr>
          <w:sz w:val="20"/>
          <w:szCs w:val="20"/>
          <w:color w:val="auto"/>
        </w:rPr>
      </w:pPr>
      <w:r>
        <w:rPr>
          <w:rFonts w:ascii="Arial" w:cs="Arial" w:eastAsia="Arial" w:hAnsi="Arial"/>
          <w:sz w:val="17"/>
          <w:szCs w:val="17"/>
          <w:b w:val="1"/>
          <w:bCs w:val="1"/>
          <w:color w:val="auto"/>
        </w:rPr>
        <w:t>DATE OF REPORT (DATE OF EARLIEST EVENT REPORTED): May 23,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401955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5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68"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394970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right="140"/>
        <w:spacing w:after="0" w:line="282" w:lineRule="auto"/>
        <w:rPr>
          <w:sz w:val="20"/>
          <w:szCs w:val="20"/>
          <w:color w:val="auto"/>
        </w:rPr>
      </w:pPr>
      <w:r>
        <w:rPr>
          <w:rFonts w:ascii="Arial" w:cs="Arial" w:eastAsia="Arial" w:hAnsi="Arial"/>
          <w:sz w:val="18"/>
          <w:szCs w:val="18"/>
          <w:b w:val="1"/>
          <w:bCs w:val="1"/>
          <w:color w:val="auto"/>
        </w:rPr>
        <w:t>Check the appropriate box below if the Form 8-K is intended to simultaneously satisfy the filing obligation of the registrant under any of the following provisions:</w:t>
      </w:r>
    </w:p>
    <w:p>
      <w:pPr>
        <w:spacing w:after="0" w:line="193"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Registrant’s new release dated May 23, 2011, regarding the end of U.S. antitrust review for its acquisition of National Semiconductor Corporation attached hereto as Exhibit 99 is incorporated by reference 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Exhibit</w:t>
            </w:r>
          </w:p>
        </w:tc>
        <w:tc>
          <w:tcPr>
            <w:tcW w:w="10280" w:type="dxa"/>
            <w:vAlign w:val="bottom"/>
          </w:tcPr>
          <w:p>
            <w:pPr>
              <w:spacing w:after="0"/>
              <w:rPr>
                <w:sz w:val="18"/>
                <w:szCs w:val="18"/>
                <w:color w:val="auto"/>
              </w:rPr>
            </w:pPr>
          </w:p>
        </w:tc>
      </w:tr>
      <w:tr>
        <w:trPr>
          <w:trHeight w:val="237"/>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102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Description</w:t>
            </w: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99.1</w:t>
            </w:r>
          </w:p>
        </w:tc>
        <w:tc>
          <w:tcPr>
            <w:tcW w:w="10280" w:type="dxa"/>
            <w:vAlign w:val="bottom"/>
          </w:tcPr>
          <w:p>
            <w:pPr>
              <w:ind w:left="520"/>
              <w:spacing w:after="0" w:line="201" w:lineRule="exact"/>
              <w:rPr>
                <w:sz w:val="20"/>
                <w:szCs w:val="20"/>
                <w:color w:val="auto"/>
              </w:rPr>
            </w:pPr>
            <w:r>
              <w:rPr>
                <w:rFonts w:ascii="Arial" w:cs="Arial" w:eastAsia="Arial" w:hAnsi="Arial"/>
                <w:sz w:val="18"/>
                <w:szCs w:val="18"/>
                <w:color w:val="auto"/>
              </w:rPr>
              <w:t>Registrant’s News Release</w:t>
            </w:r>
          </w:p>
        </w:tc>
      </w:tr>
      <w:tr>
        <w:trPr>
          <w:trHeight w:val="230"/>
        </w:trPr>
        <w:tc>
          <w:tcPr>
            <w:tcW w:w="1140" w:type="dxa"/>
            <w:vAlign w:val="bottom"/>
          </w:tcPr>
          <w:p>
            <w:pPr>
              <w:spacing w:after="0"/>
              <w:rPr>
                <w:sz w:val="20"/>
                <w:szCs w:val="20"/>
                <w:color w:val="auto"/>
              </w:rPr>
            </w:pPr>
          </w:p>
        </w:tc>
        <w:tc>
          <w:tcPr>
            <w:tcW w:w="10280" w:type="dxa"/>
            <w:vAlign w:val="bottom"/>
          </w:tcPr>
          <w:p>
            <w:pPr>
              <w:ind w:left="520"/>
              <w:spacing w:after="0"/>
              <w:rPr>
                <w:sz w:val="20"/>
                <w:szCs w:val="20"/>
                <w:color w:val="auto"/>
              </w:rPr>
            </w:pPr>
            <w:r>
              <w:rPr>
                <w:rFonts w:ascii="Arial" w:cs="Arial" w:eastAsia="Arial" w:hAnsi="Arial"/>
                <w:sz w:val="18"/>
                <w:szCs w:val="18"/>
                <w:color w:val="auto"/>
              </w:rPr>
              <w:t>Dated May 23, 2011 (furnished pursuant to Item 8.01)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report on Form 8-K includes forward-looking statements within the meaning of Section 27A of the Securities Act of 1933 and Section 21E of the Securities Exchange Act of 1934. These forward-looking statements generally can be identified by phrases such as the companies “expect” or other words or phrases of similar import. These forward-looking statements involve certain risks and uncertainties that could cause actual results to differ materially from those indicated in such forward-looking statements, such as the ability of TI and National Semiconductor Corporation to consummate the proposed merger and the satisfaction of the conditions precedent to such consummation, including the ability to secure all necessary regulatory approvals in a timely manner; and the other risks and important factors contained and identified in TI’s most recent Annual Report on Form 10-K or National’s most recent Quarterly Report on Form 10-Q, and other SEC filings of the companies, that could cause actual results to differ materially from the forward-looking statements. The forward-looking statements included in this report on Form 8-K are made only as of the date of this report. Neither TI nor National undertakes any obligation to update the forward-looking statements to reflect subsequent events or circumstances.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520" w:val="left"/>
          <w:tab w:leader="none" w:pos="6120" w:val="left"/>
        </w:tabs>
        <w:rPr>
          <w:sz w:val="20"/>
          <w:szCs w:val="20"/>
          <w:color w:val="auto"/>
        </w:rPr>
      </w:pPr>
      <w:r>
        <w:rPr>
          <w:rFonts w:ascii="Arial" w:cs="Arial" w:eastAsia="Arial" w:hAnsi="Arial"/>
          <w:sz w:val="18"/>
          <w:szCs w:val="18"/>
          <w:color w:val="auto"/>
        </w:rPr>
        <w:t>Date: May 23,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14605</wp:posOffset>
            </wp:positionV>
            <wp:extent cx="31984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98495" cy="1714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Joseph F. Hubach</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Senior Vice President, Secretary and</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General Counsel</w:t>
      </w:r>
    </w:p>
    <w:p>
      <w:pPr>
        <w:sectPr>
          <w:pgSz w:w="11900" w:h="16838" w:orient="portrait"/>
          <w:cols w:equalWidth="0" w:num="1">
            <w:col w:w="11420"/>
          </w:cols>
          <w:pgMar w:left="240" w:top="513"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antitrust review ends for TI acquisition of National Semiconductor</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DALLAS (May 23, 2011) – Texas Instruments Incorporated (TI) (NYSE: TXN) and National Semiconductor (NYSE: NSM) today announced that the waiting period under the Hart-Scott-Rodino Antitrust Improvements Act of 1976 relating to TI’s proposed acquisition of National Semiconductor has expired without a request for additional information by the U.S. Department of Justice or the Federal Trade Commission.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still requires approval by National Semiconductor stockholders and regulatory clearance from seven non-U.S. jurisdictions.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Both companies continue to expect the transaction to close by the end of the year.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release includes forward-looking statements within the meaning of Section 27A of the Securities Act of 1933 and Section 21E of the Securities Exchange Act of 1934. These forward-looking statements generally can be identified by phrases such as TI or management "expects" or other words or phrases of similar import. These forward-looking statements involve certain risks and uncertainties that could cause actual results to differ materially from those indicated in such forward-looking statements, such as the ability of TI and National Semiconductor Corporation to consummate the proposed merger and the satisfaction of the conditions precedent to such consummation, including the ability to secure all necessary regulatory approvals in a timely manner; and the other risks and important factors contained and identified in TI’s most recent Annual Report on Form 10-K or National’s most recent Quarterly Report on Form 10-Q, and other SEC filings of the companies, that could cause actual results to differ materially from the forward-looking statements. The forward-looking statements included in this release are made only as of the date of this release. Neither TI nor National undertakes any obligation to update the forward-looking statements to reflect subsequent events or circumstances.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Texas Instruments semiconductor innovations help 80,000 customers 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 This is just the beginning of our story. Learn more at www.ti.com.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w:t>
      </w:r>
    </w:p>
    <w:p>
      <w:pPr>
        <w:spacing w:after="0" w:line="25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National Semiconductor is a leader in power management technology. Known for its easy-to-use analog integrated circuits and world-class supply chain, National’s high-performance analog products enable its customers’ systems to be more energy efficient. Headquartered in Santa Clara, Calif., National reported sales of $1.42 billion for fiscal 2010. Additional information is available at www.national.com.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2019-12-10T04:04:11Z</dcterms:created>
  <dcterms:modified xsi:type="dcterms:W3CDTF">2019-12-10T04:04:11Z</dcterms:modified>
</cp:coreProperties>
</file>