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17145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45085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30480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1"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6"/>
        </w:trPr>
        <w:tc>
          <w:tcPr>
            <w:tcW w:w="21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3"/>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12500 TI Boulevard</w:t>
            </w:r>
          </w:p>
        </w:tc>
        <w:tc>
          <w:tcPr>
            <w:tcW w:w="1120" w:type="dxa"/>
            <w:vAlign w:val="bottom"/>
          </w:tcPr>
          <w:p>
            <w:pPr>
              <w:spacing w:after="0"/>
              <w:rPr>
                <w:sz w:val="24"/>
                <w:szCs w:val="24"/>
                <w:color w:val="auto"/>
              </w:rPr>
            </w:pPr>
          </w:p>
        </w:tc>
      </w:tr>
      <w:tr>
        <w:trPr>
          <w:trHeight w:val="214"/>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Dallas, Texas 75243</w:t>
            </w:r>
          </w:p>
        </w:tc>
        <w:tc>
          <w:tcPr>
            <w:tcW w:w="1120" w:type="dxa"/>
            <w:vAlign w:val="bottom"/>
          </w:tcPr>
          <w:p>
            <w:pPr>
              <w:spacing w:after="0"/>
              <w:rPr>
                <w:sz w:val="18"/>
                <w:szCs w:val="18"/>
                <w:color w:val="auto"/>
              </w:rPr>
            </w:pPr>
          </w:p>
        </w:tc>
      </w:tr>
      <w:tr>
        <w:trPr>
          <w:trHeight w:val="190"/>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6"/>
                <w:szCs w:val="16"/>
                <w:color w:val="auto"/>
              </w:rPr>
            </w:pPr>
          </w:p>
        </w:tc>
      </w:tr>
      <w:tr>
        <w:trPr>
          <w:trHeight w:val="392"/>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120" w:type="dxa"/>
            <w:vAlign w:val="bottom"/>
          </w:tcPr>
          <w:p>
            <w:pPr>
              <w:spacing w:after="0"/>
              <w:rPr>
                <w:sz w:val="24"/>
                <w:szCs w:val="24"/>
                <w:color w:val="auto"/>
              </w:rPr>
            </w:pPr>
          </w:p>
        </w:tc>
      </w:tr>
      <w:tr>
        <w:trPr>
          <w:trHeight w:val="37"/>
        </w:trPr>
        <w:tc>
          <w:tcPr>
            <w:tcW w:w="14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r>
    </w:tbl>
    <w:p>
      <w:pPr>
        <w:spacing w:after="0" w:line="34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2"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2"/>
            <w:vMerge w:val="continue"/>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32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128270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color w:val="auto"/>
        </w:rPr>
        <w:t>ITEM 5.07.</w:t>
      </w:r>
      <w:r>
        <w:rPr>
          <w:sz w:val="20"/>
          <w:szCs w:val="20"/>
          <w:color w:val="auto"/>
        </w:rPr>
        <w:tab/>
      </w:r>
      <w:r>
        <w:rPr>
          <w:rFonts w:ascii="Times New Roman" w:cs="Times New Roman" w:eastAsia="Times New Roman" w:hAnsi="Times New Roman"/>
          <w:sz w:val="17"/>
          <w:szCs w:val="17"/>
          <w:color w:val="auto"/>
        </w:rPr>
        <w:t>Submission of Matters to a Vote of Security Holders.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the annual meeting of stockholders held on April 16, 2026, the stockholders elected the Board of Directors of Texas Instruments Incorporated and voted upon the proposals contained within the company’s proxy statement dated March 4,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nominees were elected with the following vote: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980" w:type="dxa"/>
            <w:vAlign w:val="bottom"/>
          </w:tcPr>
          <w:p>
            <w:pPr>
              <w:spacing w:after="0"/>
              <w:rPr>
                <w:sz w:val="17"/>
                <w:szCs w:val="17"/>
                <w:color w:val="auto"/>
              </w:rPr>
            </w:pPr>
          </w:p>
        </w:tc>
        <w:tc>
          <w:tcPr>
            <w:tcW w:w="130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120" w:type="dxa"/>
            <w:vAlign w:val="bottom"/>
          </w:tcPr>
          <w:p>
            <w:pPr>
              <w:spacing w:after="0"/>
              <w:rPr>
                <w:sz w:val="17"/>
                <w:szCs w:val="17"/>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Mark Blinn</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719,055,390</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38,935,565</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702,154</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Bluedorn</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667,034,068</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90,641,062</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1,017,979</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Janet Clark</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739,381,088</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18,621,946</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690,075</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Carrie Cox</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661,982,801</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96,008,493</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701,815</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Martin Craighead</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721,398,800</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36,115,334</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w w:val="99"/>
              </w:rPr>
              <w:t>1,178,975</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shd w:val="clear" w:color="auto" w:fill="DBDBDB"/>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Reginald DesRoches</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749,358,308</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8,582,809</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750,031</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Curtis Farmer</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749,524,714</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8,422,778</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745,617</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shd w:val="clear" w:color="auto" w:fill="DBDBDB"/>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Hobby</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735,479,576</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22,092,614</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1,121,369</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Haviv Ilan</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726,394,700</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31,335,409</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963,000</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Kirk</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734,441,545</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23,556,407</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695,157</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Pamela Patsley</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716,022,896</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41,948,430</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721,783</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shd w:val="clear" w:color="auto" w:fill="DBDBDB"/>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Sanchez</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738,859,254</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18,623,969</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1,209,886</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tcPr>
          <w:p>
            <w:pPr>
              <w:spacing w:after="0"/>
              <w:rPr>
                <w:sz w:val="20"/>
                <w:szCs w:val="20"/>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voted on the following proposals and cast their votes as described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800" w:type="dxa"/>
            <w:vAlign w:val="bottom"/>
          </w:tcPr>
          <w:p>
            <w:pPr>
              <w:spacing w:after="0"/>
              <w:rPr>
                <w:sz w:val="17"/>
                <w:szCs w:val="17"/>
                <w:color w:val="auto"/>
              </w:rPr>
            </w:pPr>
          </w:p>
        </w:tc>
        <w:tc>
          <w:tcPr>
            <w:tcW w:w="1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40" w:type="dxa"/>
            <w:vAlign w:val="bottom"/>
          </w:tcPr>
          <w:p>
            <w:pPr>
              <w:spacing w:after="0"/>
              <w:rPr>
                <w:sz w:val="17"/>
                <w:szCs w:val="17"/>
                <w:color w:val="auto"/>
              </w:rPr>
            </w:pPr>
          </w:p>
        </w:tc>
        <w:tc>
          <w:tcPr>
            <w:tcW w:w="14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6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120" w:type="dxa"/>
            <w:vAlign w:val="bottom"/>
          </w:tcPr>
          <w:p>
            <w:pPr>
              <w:spacing w:after="0"/>
              <w:rPr>
                <w:sz w:val="17"/>
                <w:szCs w:val="17"/>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236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Board proposal regarding</w:t>
            </w:r>
          </w:p>
        </w:tc>
        <w:tc>
          <w:tcPr>
            <w:tcW w:w="8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76"/>
        </w:trPr>
        <w:tc>
          <w:tcPr>
            <w:tcW w:w="20" w:type="dxa"/>
            <w:vAlign w:val="bottom"/>
            <w:shd w:val="clear" w:color="auto" w:fill="DBDBDB"/>
          </w:tcPr>
          <w:p>
            <w:pPr>
              <w:spacing w:after="0"/>
              <w:rPr>
                <w:sz w:val="15"/>
                <w:szCs w:val="15"/>
                <w:color w:val="auto"/>
              </w:rPr>
            </w:pPr>
          </w:p>
        </w:tc>
        <w:tc>
          <w:tcPr>
            <w:tcW w:w="236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advisory approval of the</w:t>
            </w:r>
          </w:p>
        </w:tc>
        <w:tc>
          <w:tcPr>
            <w:tcW w:w="8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236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company’s executive</w:t>
            </w:r>
          </w:p>
        </w:tc>
        <w:tc>
          <w:tcPr>
            <w:tcW w:w="8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r>
      <w:tr>
        <w:trPr>
          <w:trHeight w:val="234"/>
        </w:trPr>
        <w:tc>
          <w:tcPr>
            <w:tcW w:w="20" w:type="dxa"/>
            <w:vAlign w:val="bottom"/>
            <w:shd w:val="clear" w:color="auto" w:fill="DBDBDB"/>
          </w:tcPr>
          <w:p>
            <w:pPr>
              <w:spacing w:after="0"/>
              <w:rPr>
                <w:sz w:val="20"/>
                <w:szCs w:val="20"/>
                <w:color w:val="auto"/>
              </w:rPr>
            </w:pPr>
          </w:p>
        </w:tc>
        <w:tc>
          <w:tcPr>
            <w:tcW w:w="23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080" w:type="dxa"/>
            <w:vAlign w:val="bottom"/>
            <w:gridSpan w:val="3"/>
            <w:shd w:val="clear" w:color="auto" w:fill="DBDBDB"/>
          </w:tcPr>
          <w:p>
            <w:pPr>
              <w:jc w:val="right"/>
              <w:ind w:right="680"/>
              <w:spacing w:after="0"/>
              <w:rPr>
                <w:sz w:val="20"/>
                <w:szCs w:val="20"/>
                <w:color w:val="auto"/>
              </w:rPr>
            </w:pPr>
            <w:r>
              <w:rPr>
                <w:rFonts w:ascii="Times New Roman" w:cs="Times New Roman" w:eastAsia="Times New Roman" w:hAnsi="Times New Roman"/>
                <w:sz w:val="18"/>
                <w:szCs w:val="18"/>
                <w:color w:val="auto"/>
              </w:rPr>
              <w:t>629,949,018</w:t>
            </w:r>
          </w:p>
        </w:tc>
        <w:tc>
          <w:tcPr>
            <w:tcW w:w="2260" w:type="dxa"/>
            <w:vAlign w:val="bottom"/>
            <w:gridSpan w:val="3"/>
            <w:shd w:val="clear" w:color="auto" w:fill="DBDBDB"/>
          </w:tcPr>
          <w:p>
            <w:pPr>
              <w:jc w:val="right"/>
              <w:ind w:right="680"/>
              <w:spacing w:after="0"/>
              <w:rPr>
                <w:sz w:val="20"/>
                <w:szCs w:val="20"/>
                <w:color w:val="auto"/>
              </w:rPr>
            </w:pPr>
            <w:r>
              <w:rPr>
                <w:rFonts w:ascii="Times New Roman" w:cs="Times New Roman" w:eastAsia="Times New Roman" w:hAnsi="Times New Roman"/>
                <w:sz w:val="18"/>
                <w:szCs w:val="18"/>
                <w:color w:val="auto"/>
              </w:rPr>
              <w:t>127,448,980</w:t>
            </w:r>
          </w:p>
        </w:tc>
        <w:tc>
          <w:tcPr>
            <w:tcW w:w="160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1,295,111</w:t>
            </w:r>
          </w:p>
        </w:tc>
        <w:tc>
          <w:tcPr>
            <w:tcW w:w="2500" w:type="dxa"/>
            <w:vAlign w:val="bottom"/>
            <w:gridSpan w:val="2"/>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shd w:val="clear" w:color="auto" w:fill="DBDBDB"/>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660" w:type="dxa"/>
            <w:vAlign w:val="bottom"/>
          </w:tcPr>
          <w:p>
            <w:pPr>
              <w:spacing w:after="0"/>
              <w:rPr>
                <w:sz w:val="18"/>
                <w:szCs w:val="18"/>
                <w:color w:val="auto"/>
              </w:rPr>
            </w:pPr>
          </w:p>
        </w:tc>
        <w:tc>
          <w:tcPr>
            <w:tcW w:w="130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20" w:type="dxa"/>
            <w:vAlign w:val="bottom"/>
          </w:tcPr>
          <w:p>
            <w:pPr>
              <w:spacing w:after="0"/>
              <w:rPr>
                <w:sz w:val="18"/>
                <w:szCs w:val="18"/>
                <w:color w:val="auto"/>
              </w:rPr>
            </w:pPr>
          </w:p>
        </w:tc>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12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250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Board proposal to ratify the</w:t>
            </w:r>
          </w:p>
        </w:tc>
        <w:tc>
          <w:tcPr>
            <w:tcW w:w="6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75"/>
        </w:trPr>
        <w:tc>
          <w:tcPr>
            <w:tcW w:w="20" w:type="dxa"/>
            <w:vAlign w:val="bottom"/>
            <w:shd w:val="clear" w:color="auto" w:fill="DBDBDB"/>
          </w:tcPr>
          <w:p>
            <w:pPr>
              <w:spacing w:after="0"/>
              <w:rPr>
                <w:sz w:val="15"/>
                <w:szCs w:val="15"/>
                <w:color w:val="auto"/>
              </w:rPr>
            </w:pPr>
          </w:p>
        </w:tc>
        <w:tc>
          <w:tcPr>
            <w:tcW w:w="250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appointment of Ernst &amp;</w:t>
            </w:r>
          </w:p>
        </w:tc>
        <w:tc>
          <w:tcPr>
            <w:tcW w:w="6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250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Young LLP as the company’s</w:t>
            </w:r>
          </w:p>
        </w:tc>
        <w:tc>
          <w:tcPr>
            <w:tcW w:w="6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r>
      <w:tr>
        <w:trPr>
          <w:trHeight w:val="180"/>
        </w:trPr>
        <w:tc>
          <w:tcPr>
            <w:tcW w:w="20" w:type="dxa"/>
            <w:vAlign w:val="bottom"/>
            <w:shd w:val="clear" w:color="auto" w:fill="DBDBDB"/>
          </w:tcPr>
          <w:p>
            <w:pPr>
              <w:spacing w:after="0"/>
              <w:rPr>
                <w:sz w:val="15"/>
                <w:szCs w:val="15"/>
                <w:color w:val="auto"/>
              </w:rPr>
            </w:pPr>
          </w:p>
        </w:tc>
        <w:tc>
          <w:tcPr>
            <w:tcW w:w="2500" w:type="dxa"/>
            <w:vAlign w:val="bottom"/>
            <w:gridSpan w:val="2"/>
            <w:shd w:val="clear" w:color="auto" w:fill="DBDBDB"/>
          </w:tcPr>
          <w:p>
            <w:pPr>
              <w:spacing w:after="0" w:line="181" w:lineRule="exact"/>
              <w:rPr>
                <w:sz w:val="20"/>
                <w:szCs w:val="20"/>
                <w:color w:val="auto"/>
              </w:rPr>
            </w:pPr>
            <w:r>
              <w:rPr>
                <w:rFonts w:ascii="Times New Roman" w:cs="Times New Roman" w:eastAsia="Times New Roman" w:hAnsi="Times New Roman"/>
                <w:sz w:val="18"/>
                <w:szCs w:val="18"/>
                <w:color w:val="auto"/>
              </w:rPr>
              <w:t>independent registered public</w:t>
            </w:r>
          </w:p>
        </w:tc>
        <w:tc>
          <w:tcPr>
            <w:tcW w:w="6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243"/>
        </w:trPr>
        <w:tc>
          <w:tcPr>
            <w:tcW w:w="20" w:type="dxa"/>
            <w:vAlign w:val="bottom"/>
            <w:shd w:val="clear" w:color="auto" w:fill="DBDBDB"/>
          </w:tcPr>
          <w:p>
            <w:pPr>
              <w:spacing w:after="0"/>
              <w:rPr>
                <w:sz w:val="21"/>
                <w:szCs w:val="21"/>
                <w:color w:val="auto"/>
              </w:rPr>
            </w:pPr>
          </w:p>
        </w:tc>
        <w:tc>
          <w:tcPr>
            <w:tcW w:w="2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accounting firm for 2026</w:t>
            </w:r>
          </w:p>
        </w:tc>
        <w:tc>
          <w:tcPr>
            <w:tcW w:w="1960" w:type="dxa"/>
            <w:vAlign w:val="bottom"/>
            <w:gridSpan w:val="3"/>
            <w:shd w:val="clear" w:color="auto" w:fill="DBDBDB"/>
          </w:tcPr>
          <w:p>
            <w:pPr>
              <w:jc w:val="right"/>
              <w:ind w:right="700"/>
              <w:spacing w:after="0"/>
              <w:rPr>
                <w:sz w:val="20"/>
                <w:szCs w:val="20"/>
                <w:color w:val="auto"/>
              </w:rPr>
            </w:pPr>
            <w:r>
              <w:rPr>
                <w:rFonts w:ascii="Times New Roman" w:cs="Times New Roman" w:eastAsia="Times New Roman" w:hAnsi="Times New Roman"/>
                <w:sz w:val="18"/>
                <w:szCs w:val="18"/>
                <w:color w:val="auto"/>
              </w:rPr>
              <w:t>757,840,159</w:t>
            </w:r>
          </w:p>
        </w:tc>
        <w:tc>
          <w:tcPr>
            <w:tcW w:w="2220" w:type="dxa"/>
            <w:vAlign w:val="bottom"/>
            <w:gridSpan w:val="3"/>
            <w:shd w:val="clear" w:color="auto" w:fill="DBDBDB"/>
          </w:tcPr>
          <w:p>
            <w:pPr>
              <w:jc w:val="right"/>
              <w:ind w:right="700"/>
              <w:spacing w:after="0"/>
              <w:rPr>
                <w:sz w:val="20"/>
                <w:szCs w:val="20"/>
                <w:color w:val="auto"/>
              </w:rPr>
            </w:pPr>
            <w:r>
              <w:rPr>
                <w:rFonts w:ascii="Times New Roman" w:cs="Times New Roman" w:eastAsia="Times New Roman" w:hAnsi="Times New Roman"/>
                <w:sz w:val="18"/>
                <w:szCs w:val="18"/>
                <w:color w:val="auto"/>
              </w:rPr>
              <w:t>55,300,273</w:t>
            </w:r>
          </w:p>
        </w:tc>
        <w:tc>
          <w:tcPr>
            <w:tcW w:w="162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9,502,527</w:t>
            </w:r>
          </w:p>
        </w:tc>
        <w:tc>
          <w:tcPr>
            <w:tcW w:w="1120" w:type="dxa"/>
            <w:vAlign w:val="bottom"/>
            <w:shd w:val="clear" w:color="auto" w:fill="DBDBDB"/>
          </w:tcPr>
          <w:p>
            <w:pPr>
              <w:spacing w:after="0"/>
              <w:rPr>
                <w:sz w:val="21"/>
                <w:szCs w:val="21"/>
                <w:color w:val="auto"/>
              </w:rPr>
            </w:pPr>
          </w:p>
        </w:tc>
        <w:tc>
          <w:tcPr>
            <w:tcW w:w="1780" w:type="dxa"/>
            <w:vAlign w:val="bottom"/>
            <w:gridSpan w:val="2"/>
            <w:shd w:val="clear" w:color="auto" w:fill="DBDBDB"/>
          </w:tcPr>
          <w:p>
            <w:pPr>
              <w:jc w:val="center"/>
              <w:ind w:right="40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680" w:type="dxa"/>
            <w:vAlign w:val="bottom"/>
          </w:tcPr>
          <w:p>
            <w:pPr>
              <w:spacing w:after="0"/>
              <w:rPr>
                <w:sz w:val="18"/>
                <w:szCs w:val="18"/>
                <w:color w:val="auto"/>
              </w:rPr>
            </w:pPr>
          </w:p>
        </w:tc>
        <w:tc>
          <w:tcPr>
            <w:tcW w:w="1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40" w:type="dxa"/>
            <w:vAlign w:val="bottom"/>
          </w:tcPr>
          <w:p>
            <w:pPr>
              <w:spacing w:after="0"/>
              <w:rPr>
                <w:sz w:val="18"/>
                <w:szCs w:val="18"/>
                <w:color w:val="auto"/>
              </w:rPr>
            </w:pPr>
          </w:p>
        </w:tc>
        <w:tc>
          <w:tcPr>
            <w:tcW w:w="14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6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120" w:type="dxa"/>
            <w:vAlign w:val="bottom"/>
          </w:tcPr>
          <w:p>
            <w:pPr>
              <w:spacing w:after="0"/>
              <w:rPr>
                <w:sz w:val="18"/>
                <w:szCs w:val="18"/>
                <w:color w:val="auto"/>
              </w:rPr>
            </w:pPr>
          </w:p>
        </w:tc>
        <w:tc>
          <w:tcPr>
            <w:tcW w:w="18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DBDBDB"/>
          </w:tcPr>
          <w:p>
            <w:pPr>
              <w:spacing w:after="0"/>
              <w:rPr>
                <w:sz w:val="15"/>
                <w:szCs w:val="15"/>
                <w:color w:val="auto"/>
              </w:rPr>
            </w:pPr>
          </w:p>
        </w:tc>
        <w:tc>
          <w:tcPr>
            <w:tcW w:w="248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Stockholder proposal to</w:t>
            </w:r>
          </w:p>
        </w:tc>
        <w:tc>
          <w:tcPr>
            <w:tcW w:w="6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0" w:type="dxa"/>
            <w:vAlign w:val="bottom"/>
            <w:shd w:val="clear" w:color="auto" w:fill="DBDBDB"/>
          </w:tcPr>
          <w:p>
            <w:pPr>
              <w:spacing w:after="0"/>
              <w:rPr>
                <w:sz w:val="15"/>
                <w:szCs w:val="15"/>
                <w:color w:val="auto"/>
              </w:rPr>
            </w:pPr>
          </w:p>
        </w:tc>
        <w:tc>
          <w:tcPr>
            <w:tcW w:w="248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permit stockholders to act by</w:t>
            </w:r>
          </w:p>
        </w:tc>
        <w:tc>
          <w:tcPr>
            <w:tcW w:w="68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20" w:type="dxa"/>
            <w:vAlign w:val="bottom"/>
            <w:shd w:val="clear" w:color="auto" w:fill="DBDBDB"/>
          </w:tcPr>
          <w:p>
            <w:pPr>
              <w:spacing w:after="0"/>
              <w:rPr>
                <w:sz w:val="21"/>
                <w:szCs w:val="21"/>
                <w:color w:val="auto"/>
              </w:rPr>
            </w:pPr>
          </w:p>
        </w:tc>
        <w:tc>
          <w:tcPr>
            <w:tcW w:w="24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written consent</w:t>
            </w:r>
          </w:p>
        </w:tc>
        <w:tc>
          <w:tcPr>
            <w:tcW w:w="1960" w:type="dxa"/>
            <w:vAlign w:val="bottom"/>
            <w:gridSpan w:val="3"/>
            <w:shd w:val="clear" w:color="auto" w:fill="DBDBDB"/>
          </w:tcPr>
          <w:p>
            <w:pPr>
              <w:jc w:val="right"/>
              <w:ind w:right="680"/>
              <w:spacing w:after="0"/>
              <w:rPr>
                <w:sz w:val="20"/>
                <w:szCs w:val="20"/>
                <w:color w:val="auto"/>
              </w:rPr>
            </w:pPr>
            <w:r>
              <w:rPr>
                <w:rFonts w:ascii="Times New Roman" w:cs="Times New Roman" w:eastAsia="Times New Roman" w:hAnsi="Times New Roman"/>
                <w:sz w:val="18"/>
                <w:szCs w:val="18"/>
                <w:color w:val="auto"/>
              </w:rPr>
              <w:t>338,654,128</w:t>
            </w:r>
          </w:p>
        </w:tc>
        <w:tc>
          <w:tcPr>
            <w:tcW w:w="2260" w:type="dxa"/>
            <w:vAlign w:val="bottom"/>
            <w:gridSpan w:val="3"/>
            <w:shd w:val="clear" w:color="auto" w:fill="DBDBDB"/>
          </w:tcPr>
          <w:p>
            <w:pPr>
              <w:jc w:val="right"/>
              <w:ind w:right="680"/>
              <w:spacing w:after="0"/>
              <w:rPr>
                <w:sz w:val="20"/>
                <w:szCs w:val="20"/>
                <w:color w:val="auto"/>
              </w:rPr>
            </w:pPr>
            <w:r>
              <w:rPr>
                <w:rFonts w:ascii="Times New Roman" w:cs="Times New Roman" w:eastAsia="Times New Roman" w:hAnsi="Times New Roman"/>
                <w:sz w:val="18"/>
                <w:szCs w:val="18"/>
                <w:color w:val="auto"/>
              </w:rPr>
              <w:t>417,882,720</w:t>
            </w:r>
          </w:p>
        </w:tc>
        <w:tc>
          <w:tcPr>
            <w:tcW w:w="160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2,156,261</w:t>
            </w:r>
          </w:p>
        </w:tc>
        <w:tc>
          <w:tcPr>
            <w:tcW w:w="2500" w:type="dxa"/>
            <w:vAlign w:val="bottom"/>
            <w:gridSpan w:val="2"/>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63,949,850</w:t>
            </w:r>
          </w:p>
        </w:tc>
        <w:tc>
          <w:tcPr>
            <w:tcW w:w="400" w:type="dxa"/>
            <w:vAlign w:val="bottom"/>
            <w:shd w:val="clear" w:color="auto" w:fill="DBDBDB"/>
          </w:tcPr>
          <w:p>
            <w:pPr>
              <w:spacing w:after="0"/>
              <w:rPr>
                <w:sz w:val="21"/>
                <w:szCs w:val="21"/>
                <w:color w:val="auto"/>
              </w:rPr>
            </w:pPr>
          </w:p>
        </w:tc>
        <w:tc>
          <w:tcPr>
            <w:tcW w:w="20" w:type="dxa"/>
            <w:vAlign w:val="bottom"/>
          </w:tcPr>
          <w:p>
            <w:pPr>
              <w:spacing w:after="0"/>
              <w:rPr>
                <w:sz w:val="21"/>
                <w:szCs w:val="2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65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7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April 17, 2026</w:t>
            </w:r>
          </w:p>
        </w:tc>
        <w:tc>
          <w:tcPr>
            <w:tcW w:w="650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By:  /s/ Katie Kane</w:t>
            </w:r>
          </w:p>
        </w:tc>
      </w:tr>
      <w:tr>
        <w:trPr>
          <w:trHeight w:val="218"/>
        </w:trPr>
        <w:tc>
          <w:tcPr>
            <w:tcW w:w="38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Katie Kane</w:t>
            </w:r>
          </w:p>
        </w:tc>
      </w:tr>
      <w:tr>
        <w:trPr>
          <w:trHeight w:val="229"/>
        </w:trPr>
        <w:tc>
          <w:tcPr>
            <w:tcW w:w="3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Secretary and</w:t>
            </w:r>
          </w:p>
        </w:tc>
      </w:tr>
      <w:tr>
        <w:trPr>
          <w:trHeight w:val="234"/>
        </w:trPr>
        <w:tc>
          <w:tcPr>
            <w:tcW w:w="38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 w:lineRule="exact"/>
        <w:rPr>
          <w:sz w:val="20"/>
          <w:szCs w:val="20"/>
          <w:color w:val="auto"/>
        </w:rPr>
      </w:pPr>
    </w:p>
    <w:sectPr>
      <w:pgSz w:w="11900" w:h="16838" w:orient="portrait"/>
      <w:cols w:equalWidth="0" w:num="1">
        <w:col w:w="10400"/>
      </w:cols>
      <w:pgMar w:left="320" w:top="891"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2026-04-17T16:09:23Z</dcterms:created>
  <dcterms:modified xsi:type="dcterms:W3CDTF">2026-04-17T16:09:23Z</dcterms:modified>
</cp:coreProperties>
</file>