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5"/>
          <w:szCs w:val="15"/>
          <w:color w:val="auto"/>
        </w:rPr>
        <w:t>FILED BY TEXAS INSTRUMENTS INCORPORATED</w:t>
      </w:r>
    </w:p>
    <w:p>
      <w:pPr>
        <w:jc w:val="right"/>
        <w:spacing w:after="0" w:line="233" w:lineRule="auto"/>
        <w:rPr>
          <w:sz w:val="20"/>
          <w:szCs w:val="20"/>
          <w:color w:val="auto"/>
        </w:rPr>
      </w:pPr>
      <w:r>
        <w:rPr>
          <w:rFonts w:ascii="Times New Roman" w:cs="Times New Roman" w:eastAsia="Times New Roman" w:hAnsi="Times New Roman"/>
          <w:sz w:val="15"/>
          <w:szCs w:val="15"/>
          <w:color w:val="auto"/>
        </w:rPr>
        <w:t>PURSUANT TO RULE 425 UNDER THE SECURITIES ACT OF 1933</w:t>
      </w:r>
    </w:p>
    <w:p>
      <w:pPr>
        <w:jc w:val="right"/>
        <w:spacing w:after="0" w:line="225" w:lineRule="auto"/>
        <w:rPr>
          <w:sz w:val="20"/>
          <w:szCs w:val="20"/>
          <w:color w:val="auto"/>
        </w:rPr>
      </w:pPr>
      <w:r>
        <w:rPr>
          <w:rFonts w:ascii="Times New Roman" w:cs="Times New Roman" w:eastAsia="Times New Roman" w:hAnsi="Times New Roman"/>
          <w:sz w:val="15"/>
          <w:szCs w:val="15"/>
          <w:color w:val="auto"/>
        </w:rPr>
        <w:t>AND DEEMED FILED PURSUANT TO RULE 14a-12 AND RULE 14d-2(b)</w:t>
      </w:r>
    </w:p>
    <w:p>
      <w:pPr>
        <w:jc w:val="right"/>
        <w:spacing w:after="0" w:line="225" w:lineRule="auto"/>
        <w:rPr>
          <w:sz w:val="20"/>
          <w:szCs w:val="20"/>
          <w:color w:val="auto"/>
        </w:rPr>
      </w:pPr>
      <w:r>
        <w:rPr>
          <w:rFonts w:ascii="Times New Roman" w:cs="Times New Roman" w:eastAsia="Times New Roman" w:hAnsi="Times New Roman"/>
          <w:sz w:val="15"/>
          <w:szCs w:val="15"/>
          <w:color w:val="auto"/>
        </w:rPr>
        <w:t>UNDER THE SECURITIES EXCHANGE ACT OF 1934</w:t>
      </w:r>
    </w:p>
    <w:p>
      <w:pPr>
        <w:ind w:left="6380"/>
        <w:spacing w:after="0" w:line="226" w:lineRule="auto"/>
        <w:rPr>
          <w:sz w:val="20"/>
          <w:szCs w:val="20"/>
          <w:color w:val="auto"/>
        </w:rPr>
      </w:pPr>
      <w:r>
        <w:rPr>
          <w:rFonts w:ascii="Times New Roman" w:cs="Times New Roman" w:eastAsia="Times New Roman" w:hAnsi="Times New Roman"/>
          <w:sz w:val="15"/>
          <w:szCs w:val="15"/>
          <w:color w:val="auto"/>
        </w:rPr>
        <w:t>SUBJECT COMPANY: SILICON LABORATORIES INC.</w:t>
      </w:r>
    </w:p>
    <w:p>
      <w:pPr>
        <w:ind w:left="7680"/>
        <w:spacing w:after="0"/>
        <w:rPr>
          <w:sz w:val="20"/>
          <w:szCs w:val="20"/>
          <w:color w:val="auto"/>
        </w:rPr>
      </w:pPr>
      <w:r>
        <w:rPr>
          <w:rFonts w:ascii="Times New Roman" w:cs="Times New Roman" w:eastAsia="Times New Roman" w:hAnsi="Times New Roman"/>
          <w:sz w:val="15"/>
          <w:szCs w:val="15"/>
          <w:color w:val="auto"/>
        </w:rPr>
        <w:t>COMMISSION FILE NO. 000-29823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1068070</wp:posOffset>
            </wp:positionH>
            <wp:positionV relativeFrom="paragraph">
              <wp:posOffset>45720</wp:posOffset>
            </wp:positionV>
            <wp:extent cx="3583305" cy="7715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3305" cy="7715250"/>
                    </a:xfrm>
                    <a:prstGeom prst="rect">
                      <a:avLst/>
                    </a:prstGeom>
                    <a:noFill/>
                  </pic:spPr>
                </pic:pic>
              </a:graphicData>
            </a:graphic>
          </wp:anchor>
        </w:drawing>
      </w:r>
    </w:p>
    <w:p>
      <w:pPr>
        <w:sectPr>
          <w:pgSz w:w="11900" w:h="16838" w:orient="portrait"/>
          <w:cols w:equalWidth="0" w:num="1">
            <w:col w:w="10020"/>
          </w:cols>
          <w:pgMar w:left="1440" w:top="230"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proxy statement (when available) and the filings that will be incorporated by reference therein may also be obtained, without charge, by contacting Silicon Labs’ Investor Relations at </w:t>
      </w:r>
      <w:r>
        <w:rPr>
          <w:rFonts w:ascii="Times New Roman" w:cs="Times New Roman" w:eastAsia="Times New Roman" w:hAnsi="Times New Roman"/>
          <w:sz w:val="18"/>
          <w:szCs w:val="18"/>
          <w:u w:val="single" w:color="auto"/>
          <w:color w:val="auto"/>
        </w:rPr>
        <w:t>investor.relations@silabs.com</w:t>
      </w:r>
      <w:r>
        <w:rPr>
          <w:rFonts w:ascii="Times New Roman" w:cs="Times New Roman" w:eastAsia="Times New Roman" w:hAnsi="Times New Roman"/>
          <w:sz w:val="18"/>
          <w:szCs w:val="18"/>
          <w:color w:val="auto"/>
        </w:rPr>
        <w:t xml:space="preserve"> or (512) 416-8500.</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left="4" w:right="220"/>
        <w:spacing w:after="0" w:line="276" w:lineRule="auto"/>
        <w:rPr>
          <w:sz w:val="20"/>
          <w:szCs w:val="20"/>
          <w:color w:val="auto"/>
        </w:rPr>
      </w:pPr>
      <w:r>
        <w:rPr>
          <w:rFonts w:ascii="Times New Roman" w:cs="Times New Roman" w:eastAsia="Times New Roman" w:hAnsi="Times New Roman"/>
          <w:sz w:val="17"/>
          <w:szCs w:val="17"/>
          <w:color w:val="auto"/>
        </w:rPr>
        <w:t>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w:t>
      </w:r>
    </w:p>
    <w:p>
      <w:pPr>
        <w:spacing w:after="0" w:line="1" w:lineRule="exact"/>
        <w:rPr>
          <w:sz w:val="20"/>
          <w:szCs w:val="20"/>
          <w:color w:val="auto"/>
        </w:rPr>
      </w:pPr>
    </w:p>
    <w:p>
      <w:pPr>
        <w:ind w:left="4" w:right="180" w:hanging="4"/>
        <w:spacing w:after="0" w:line="265" w:lineRule="auto"/>
        <w:tabs>
          <w:tab w:leader="none" w:pos="24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(b) Texas Instruments’ definitive proxy statement for its 2025 annual meeting of stockholders, which was filed with the SEC on March 5, 2025, under the headings “Election of directors,” “Executive compensation,” and “Security ownership of directors and management,” and can be found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Copies of the documents filed with the SEC by Texas Instruments will be available free of charge through the website maintained by the SEC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and Texas Instruments’ website</w:t>
      </w:r>
    </w:p>
    <w:p>
      <w:pPr>
        <w:spacing w:after="0" w:line="1" w:lineRule="exact"/>
        <w:rPr>
          <w:rFonts w:ascii="Times New Roman" w:cs="Times New Roman" w:eastAsia="Times New Roman" w:hAnsi="Times New Roman"/>
          <w:sz w:val="17"/>
          <w:szCs w:val="17"/>
          <w:color w:val="auto"/>
        </w:rPr>
      </w:pPr>
    </w:p>
    <w:p>
      <w:pPr>
        <w:ind w:left="4" w:right="1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https://investor.ti.com/</w:t>
      </w:r>
      <w:r>
        <w:rPr>
          <w:rFonts w:ascii="Times New Roman" w:cs="Times New Roman" w:eastAsia="Times New Roman" w:hAnsi="Times New Roman"/>
          <w:sz w:val="18"/>
          <w:szCs w:val="18"/>
          <w:color w:val="auto"/>
        </w:rPr>
        <w:t>. Information regarding Silicon Labs’ directors and executive officers is available in (a) Silicon Labs’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w:t>
      </w:r>
    </w:p>
    <w:p>
      <w:pPr>
        <w:sectPr>
          <w:pgSz w:w="11900" w:h="16838" w:orient="portrait"/>
          <w:cols w:equalWidth="0" w:num="1">
            <w:col w:w="10984"/>
          </w:cols>
          <w:pgMar w:left="436" w:top="266" w:right="479" w:bottom="1440" w:gutter="0" w:footer="0" w:header="0"/>
        </w:sectPr>
      </w:pPr>
    </w:p>
    <w:bookmarkStart w:id="2" w:name="page3"/>
    <w:bookmarkEnd w:id="2"/>
    <w:p>
      <w:pPr>
        <w:ind w:left="4"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Director Independence,” which was filed with the SEC on February 4, 2025,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subsequently filed Current Reports on Form 8-K and Quarterly Reports on Form 10-Q. To the extent holdings of Silicon Labs’ securities by its</w:t>
      </w:r>
    </w:p>
    <w:p>
      <w:pPr>
        <w:spacing w:after="0" w:line="9" w:lineRule="exact"/>
        <w:rPr>
          <w:rFonts w:ascii="Times New Roman" w:cs="Times New Roman" w:eastAsia="Times New Roman" w:hAnsi="Times New Roman"/>
          <w:sz w:val="18"/>
          <w:szCs w:val="18"/>
          <w:color w:val="auto"/>
        </w:rPr>
      </w:pPr>
    </w:p>
    <w:p>
      <w:pPr>
        <w:ind w:left="4"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directors or executive officers have changed since the amounts set forth in Silicon Labs’ proxy statement for its 2025 annual meeting of stockholders, such changes have been or will be reflected on Forms 3, 4 and 5, filed with the SEC (which can be found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This presentation includes certain non-GAAP financial measures, including free cash flow and free cash flow per share, which are not prepared in accordance with generally accepted accounting principles in the United States (“GAAP”) and may be different from non-GAAP financial measures used by other companies. These non-GAAP financial measures are presented to provide investors with additional information and should not be considered in isolation or as a substitute for financial measures calculated in accordance with GAAP.</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(“Texas Instruments”) or Silicon Labs’ (“Silicon Labs”) plans, objectives, expectations, strategies, beliefs, or future performance or events constitute</w:t>
      </w:r>
    </w:p>
    <w:p>
      <w:pPr>
        <w:sectPr>
          <w:pgSz w:w="11900" w:h="16838" w:orient="portrait"/>
          <w:cols w:equalWidth="0" w:num="1">
            <w:col w:w="11004"/>
          </w:cols>
          <w:pgMar w:left="436" w:top="270" w:right="459" w:bottom="1440" w:gutter="0" w:footer="0" w:header="0"/>
        </w:sectPr>
      </w:pPr>
    </w:p>
    <w:bookmarkStart w:id="3" w:name="page4"/>
    <w:bookmarkEnd w:id="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 Hart-Scott-Rodino Antitrust Improvements Act of 1976, as amended, or obtain other required governmental and regulatory approvals, and (d) 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 (a) Texas Instruments’ or Silicon Labs’ business, operating results or stock price may suffer, (b) Texas Instruments’ or Silicon Labs’ current plans and operations may be disrupted, (c) Texas Instruments’ or Silicon Labs’ 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10-K for its fiscal year ended December 28, 2024, which was filed with the SEC on February 4, 2025, and Silicon Labs’ Quarterly Reports on Form</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2026-02-04T16:00:53Z</dcterms:created>
  <dcterms:modified xsi:type="dcterms:W3CDTF">2026-02-04T16:00:53Z</dcterms:modified>
</cp:coreProperties>
</file>