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611505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23495</wp:posOffset>
            </wp:positionV>
            <wp:extent cx="5460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38735</wp:posOffset>
            </wp:positionV>
            <wp:extent cx="5460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2023</w:t>
      </w:r>
    </w:p>
    <w:p>
      <w:pPr>
        <w:spacing w:after="0" w:line="50"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For the transition period from ___________ to 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32385</wp:posOffset>
            </wp:positionV>
            <wp:extent cx="5460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TEXAS INSTRUMENTS INCORPORATED</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32385</wp:posOffset>
            </wp:positionV>
            <wp:extent cx="5477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77510" cy="8255"/>
                    </a:xfrm>
                    <a:prstGeom prst="rect">
                      <a:avLst/>
                    </a:prstGeom>
                    <a:noFill/>
                  </pic:spPr>
                </pic:pic>
              </a:graphicData>
            </a:graphic>
          </wp:anchor>
        </w:drawing>
      </w:r>
    </w:p>
    <w:p>
      <w:pPr>
        <w:spacing w:after="0" w:line="165" w:lineRule="exact"/>
        <w:rPr>
          <w:sz w:val="24"/>
          <w:szCs w:val="24"/>
          <w:color w:val="auto"/>
        </w:rPr>
      </w:pPr>
    </w:p>
    <w:tbl>
      <w:tblPr>
        <w:tblLayout w:type="fixed"/>
        <w:tblInd w:w="1860" w:type="dxa"/>
        <w:tblCellMar>
          <w:top w:w="0" w:type="dxa"/>
          <w:left w:w="0" w:type="dxa"/>
          <w:bottom w:w="0" w:type="dxa"/>
          <w:right w:w="0" w:type="dxa"/>
        </w:tblCellMar>
      </w:tblPr>
      <w:tr>
        <w:trPr>
          <w:trHeight w:val="221"/>
        </w:trPr>
        <w:tc>
          <w:tcPr>
            <w:tcW w:w="3840" w:type="dxa"/>
            <w:vAlign w:val="bottom"/>
          </w:tcPr>
          <w:p>
            <w:pPr>
              <w:jc w:val="center"/>
              <w:ind w:right="1104"/>
              <w:spacing w:after="0"/>
              <w:rPr>
                <w:sz w:val="20"/>
                <w:szCs w:val="20"/>
                <w:color w:val="auto"/>
              </w:rPr>
            </w:pPr>
            <w:r>
              <w:rPr>
                <w:rFonts w:ascii="Arial" w:cs="Arial" w:eastAsia="Arial" w:hAnsi="Arial"/>
                <w:sz w:val="16"/>
                <w:szCs w:val="16"/>
                <w:b w:val="1"/>
                <w:bCs w:val="1"/>
                <w:color w:val="auto"/>
                <w:w w:val="99"/>
              </w:rPr>
              <w:t>Delaware</w:t>
            </w:r>
          </w:p>
        </w:tc>
        <w:tc>
          <w:tcPr>
            <w:tcW w:w="3520" w:type="dxa"/>
            <w:vAlign w:val="bottom"/>
          </w:tcPr>
          <w:p>
            <w:pPr>
              <w:jc w:val="right"/>
              <w:ind w:right="684"/>
              <w:spacing w:after="0"/>
              <w:rPr>
                <w:sz w:val="20"/>
                <w:szCs w:val="20"/>
                <w:color w:val="auto"/>
              </w:rPr>
            </w:pPr>
            <w:r>
              <w:rPr>
                <w:rFonts w:ascii="Arial" w:cs="Arial" w:eastAsia="Arial" w:hAnsi="Arial"/>
                <w:sz w:val="16"/>
                <w:szCs w:val="16"/>
                <w:b w:val="1"/>
                <w:bCs w:val="1"/>
                <w:color w:val="auto"/>
              </w:rPr>
              <w:t>75-0289970</w:t>
            </w:r>
          </w:p>
        </w:tc>
      </w:tr>
      <w:tr>
        <w:trPr>
          <w:trHeight w:val="196"/>
        </w:trPr>
        <w:tc>
          <w:tcPr>
            <w:tcW w:w="3840" w:type="dxa"/>
            <w:vAlign w:val="bottom"/>
          </w:tcPr>
          <w:p>
            <w:pPr>
              <w:jc w:val="center"/>
              <w:ind w:right="1104"/>
              <w:spacing w:after="0"/>
              <w:rPr>
                <w:sz w:val="20"/>
                <w:szCs w:val="20"/>
                <w:color w:val="auto"/>
              </w:rPr>
            </w:pPr>
            <w:r>
              <w:rPr>
                <w:rFonts w:ascii="Arial" w:cs="Arial" w:eastAsia="Arial" w:hAnsi="Arial"/>
                <w:sz w:val="14"/>
                <w:szCs w:val="14"/>
                <w:b w:val="1"/>
                <w:bCs w:val="1"/>
                <w:color w:val="auto"/>
              </w:rPr>
              <w:t>(State of Incorporation)</w:t>
            </w:r>
          </w:p>
        </w:tc>
        <w:tc>
          <w:tcPr>
            <w:tcW w:w="3520" w:type="dxa"/>
            <w:vAlign w:val="bottom"/>
          </w:tcPr>
          <w:p>
            <w:pPr>
              <w:jc w:val="center"/>
              <w:ind w:left="1084"/>
              <w:spacing w:after="0"/>
              <w:rPr>
                <w:sz w:val="20"/>
                <w:szCs w:val="20"/>
                <w:color w:val="auto"/>
              </w:rPr>
            </w:pPr>
            <w:r>
              <w:rPr>
                <w:rFonts w:ascii="Arial" w:cs="Arial" w:eastAsia="Arial" w:hAnsi="Arial"/>
                <w:sz w:val="14"/>
                <w:szCs w:val="14"/>
                <w:b w:val="1"/>
                <w:bCs w:val="1"/>
                <w:color w:val="auto"/>
              </w:rPr>
              <w:t>(I.R.S. Employer Identification No.)</w:t>
            </w:r>
          </w:p>
        </w:tc>
      </w:tr>
      <w:tr>
        <w:trPr>
          <w:trHeight w:val="508"/>
        </w:trPr>
        <w:tc>
          <w:tcPr>
            <w:tcW w:w="3840" w:type="dxa"/>
            <w:vAlign w:val="bottom"/>
          </w:tcPr>
          <w:p>
            <w:pPr>
              <w:jc w:val="center"/>
              <w:ind w:right="1104"/>
              <w:spacing w:after="0"/>
              <w:rPr>
                <w:sz w:val="20"/>
                <w:szCs w:val="20"/>
                <w:color w:val="auto"/>
              </w:rPr>
            </w:pPr>
            <w:r>
              <w:rPr>
                <w:rFonts w:ascii="Arial" w:cs="Arial" w:eastAsia="Arial" w:hAnsi="Arial"/>
                <w:sz w:val="16"/>
                <w:szCs w:val="16"/>
                <w:b w:val="1"/>
                <w:bCs w:val="1"/>
                <w:color w:val="auto"/>
              </w:rPr>
              <w:t>12500 TI Boulevard, Dallas, Texas</w:t>
            </w:r>
          </w:p>
        </w:tc>
        <w:tc>
          <w:tcPr>
            <w:tcW w:w="3520" w:type="dxa"/>
            <w:vAlign w:val="bottom"/>
          </w:tcPr>
          <w:p>
            <w:pPr>
              <w:jc w:val="right"/>
              <w:ind w:right="884"/>
              <w:spacing w:after="0"/>
              <w:rPr>
                <w:sz w:val="20"/>
                <w:szCs w:val="20"/>
                <w:color w:val="auto"/>
              </w:rPr>
            </w:pPr>
            <w:r>
              <w:rPr>
                <w:rFonts w:ascii="Arial" w:cs="Arial" w:eastAsia="Arial" w:hAnsi="Arial"/>
                <w:sz w:val="16"/>
                <w:szCs w:val="16"/>
                <w:b w:val="1"/>
                <w:bCs w:val="1"/>
                <w:color w:val="auto"/>
              </w:rPr>
              <w:t>75243</w:t>
            </w:r>
          </w:p>
        </w:tc>
      </w:tr>
      <w:tr>
        <w:trPr>
          <w:trHeight w:val="221"/>
        </w:trPr>
        <w:tc>
          <w:tcPr>
            <w:tcW w:w="3840" w:type="dxa"/>
            <w:vAlign w:val="bottom"/>
          </w:tcPr>
          <w:p>
            <w:pPr>
              <w:jc w:val="center"/>
              <w:ind w:right="1084"/>
              <w:spacing w:after="0"/>
              <w:rPr>
                <w:sz w:val="20"/>
                <w:szCs w:val="20"/>
                <w:color w:val="auto"/>
              </w:rPr>
            </w:pPr>
            <w:r>
              <w:rPr>
                <w:rFonts w:ascii="Arial" w:cs="Arial" w:eastAsia="Arial" w:hAnsi="Arial"/>
                <w:sz w:val="14"/>
                <w:szCs w:val="14"/>
                <w:b w:val="1"/>
                <w:bCs w:val="1"/>
                <w:color w:val="auto"/>
              </w:rPr>
              <w:t>(Address of principal executive offices)</w:t>
            </w:r>
          </w:p>
        </w:tc>
        <w:tc>
          <w:tcPr>
            <w:tcW w:w="3520" w:type="dxa"/>
            <w:vAlign w:val="bottom"/>
          </w:tcPr>
          <w:p>
            <w:pPr>
              <w:jc w:val="center"/>
              <w:ind w:left="1064"/>
              <w:spacing w:after="0"/>
              <w:rPr>
                <w:sz w:val="20"/>
                <w:szCs w:val="20"/>
                <w:color w:val="auto"/>
              </w:rPr>
            </w:pPr>
            <w:r>
              <w:rPr>
                <w:rFonts w:ascii="Arial" w:cs="Arial" w:eastAsia="Arial" w:hAnsi="Arial"/>
                <w:sz w:val="14"/>
                <w:szCs w:val="14"/>
                <w:b w:val="1"/>
                <w:bCs w:val="1"/>
                <w:color w:val="auto"/>
              </w:rPr>
              <w:t>(Zip Code)</w:t>
            </w:r>
          </w:p>
        </w:tc>
      </w:tr>
    </w:tbl>
    <w:p>
      <w:pPr>
        <w:spacing w:after="0" w:line="285" w:lineRule="exact"/>
        <w:rPr>
          <w:sz w:val="24"/>
          <w:szCs w:val="24"/>
          <w:color w:val="auto"/>
        </w:rPr>
      </w:pPr>
    </w:p>
    <w:p>
      <w:pPr>
        <w:ind w:left="3100"/>
        <w:spacing w:after="0"/>
        <w:rPr>
          <w:sz w:val="20"/>
          <w:szCs w:val="20"/>
          <w:color w:val="auto"/>
        </w:rPr>
      </w:pPr>
      <w:r>
        <w:rPr>
          <w:rFonts w:ascii="Arial" w:cs="Arial" w:eastAsia="Arial" w:hAnsi="Arial"/>
          <w:sz w:val="16"/>
          <w:szCs w:val="16"/>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55245</wp:posOffset>
            </wp:positionV>
            <wp:extent cx="5477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77510" cy="8890"/>
                    </a:xfrm>
                    <a:prstGeom prst="rect">
                      <a:avLst/>
                    </a:prstGeom>
                    <a:noFill/>
                  </pic:spPr>
                </pic:pic>
              </a:graphicData>
            </a:graphic>
          </wp:anchor>
        </w:drawing>
      </w:r>
    </w:p>
    <w:p>
      <w:pPr>
        <w:spacing w:after="0" w:line="201"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0"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0"/>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TXN</w:t>
            </w:r>
          </w:p>
        </w:tc>
        <w:tc>
          <w:tcPr>
            <w:tcW w:w="5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28" w:lineRule="exact"/>
        <w:rPr>
          <w:sz w:val="24"/>
          <w:szCs w:val="24"/>
          <w:color w:val="auto"/>
        </w:rPr>
      </w:pPr>
    </w:p>
    <w:p>
      <w:pPr>
        <w:ind w:right="2300"/>
        <w:spacing w:after="0" w:line="251"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40"/>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ind w:right="60"/>
        <w:spacing w:after="0" w:line="20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120"/>
        <w:spacing w:after="0" w:line="26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37"/>
        </w:trPr>
        <w:tc>
          <w:tcPr>
            <w:tcW w:w="25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00" w:type="dxa"/>
            <w:vAlign w:val="bottom"/>
          </w:tcPr>
          <w:p>
            <w:pPr>
              <w:ind w:left="7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120"/>
              <w:spacing w:after="0"/>
              <w:rPr>
                <w:sz w:val="20"/>
                <w:szCs w:val="20"/>
                <w:color w:val="auto"/>
              </w:rPr>
            </w:pPr>
            <w:r>
              <w:rPr>
                <w:rFonts w:ascii="Arial" w:cs="Arial" w:eastAsia="Arial" w:hAnsi="Arial"/>
                <w:sz w:val="15"/>
                <w:szCs w:val="15"/>
                <w:color w:val="auto"/>
              </w:rPr>
              <w:t>Accelerated filer</w:t>
            </w:r>
          </w:p>
        </w:tc>
        <w:tc>
          <w:tcPr>
            <w:tcW w:w="860" w:type="dxa"/>
            <w:vAlign w:val="bottom"/>
          </w:tcPr>
          <w:p>
            <w:pPr>
              <w:ind w:left="7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2540" w:type="dxa"/>
            <w:vAlign w:val="bottom"/>
          </w:tcPr>
          <w:p>
            <w:pPr>
              <w:spacing w:after="0"/>
              <w:rPr>
                <w:sz w:val="20"/>
                <w:szCs w:val="20"/>
                <w:color w:val="auto"/>
              </w:rPr>
            </w:pPr>
            <w:r>
              <w:rPr>
                <w:rFonts w:ascii="Arial" w:cs="Arial" w:eastAsia="Arial" w:hAnsi="Arial"/>
                <w:sz w:val="15"/>
                <w:szCs w:val="15"/>
                <w:color w:val="auto"/>
              </w:rPr>
              <w:t>Non-accelerated filer</w:t>
            </w:r>
          </w:p>
        </w:tc>
        <w:tc>
          <w:tcPr>
            <w:tcW w:w="3000" w:type="dxa"/>
            <w:vAlign w:val="bottom"/>
          </w:tcPr>
          <w:p>
            <w:pPr>
              <w:ind w:left="7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120"/>
              <w:spacing w:after="0"/>
              <w:rPr>
                <w:sz w:val="20"/>
                <w:szCs w:val="20"/>
                <w:color w:val="auto"/>
              </w:rPr>
            </w:pPr>
            <w:r>
              <w:rPr>
                <w:rFonts w:ascii="Arial" w:cs="Arial" w:eastAsia="Arial" w:hAnsi="Arial"/>
                <w:sz w:val="15"/>
                <w:szCs w:val="15"/>
                <w:color w:val="auto"/>
              </w:rPr>
              <w:t>Smaller reporting company</w:t>
            </w:r>
          </w:p>
        </w:tc>
        <w:tc>
          <w:tcPr>
            <w:tcW w:w="860" w:type="dxa"/>
            <w:vAlign w:val="bottom"/>
          </w:tcPr>
          <w:p>
            <w:pPr>
              <w:ind w:left="7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5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000" w:type="dxa"/>
            <w:vAlign w:val="bottom"/>
          </w:tcPr>
          <w:p>
            <w:pPr>
              <w:ind w:left="7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0" w:lineRule="exact"/>
        <w:rPr>
          <w:sz w:val="24"/>
          <w:szCs w:val="24"/>
          <w:color w:val="auto"/>
        </w:rPr>
      </w:pPr>
    </w:p>
    <w:p>
      <w:pPr>
        <w:sectPr>
          <w:pgSz w:w="11900" w:h="16838" w:orient="portrait"/>
          <w:cols w:equalWidth="0" w:num="1">
            <w:col w:w="11240"/>
          </w:cols>
          <w:pgMar w:left="320" w:top="1074" w:right="339" w:bottom="1440" w:gutter="0" w:footer="0" w:header="0"/>
        </w:sectPr>
      </w:pPr>
    </w:p>
    <w:p>
      <w:pPr>
        <w:spacing w:after="0" w:line="50" w:lineRule="exact"/>
        <w:rPr>
          <w:sz w:val="24"/>
          <w:szCs w:val="24"/>
          <w:color w:val="auto"/>
        </w:rPr>
      </w:pPr>
    </w:p>
    <w:p>
      <w:pPr>
        <w:ind w:left="20" w:right="200"/>
        <w:spacing w:after="0" w:line="253"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w:t>
      </w:r>
    </w:p>
    <w:p>
      <w:pPr>
        <w:spacing w:after="0" w:line="4" w:lineRule="exact"/>
        <w:rPr>
          <w:sz w:val="24"/>
          <w:szCs w:val="24"/>
          <w:color w:val="auto"/>
        </w:rPr>
      </w:pPr>
    </w:p>
    <w:p>
      <w:pPr>
        <w:ind w:left="20"/>
        <w:spacing w:after="0" w:line="233" w:lineRule="auto"/>
        <w:rPr>
          <w:sz w:val="20"/>
          <w:szCs w:val="20"/>
          <w:color w:val="auto"/>
        </w:rPr>
      </w:pPr>
      <w:r>
        <w:rPr>
          <w:rFonts w:ascii="Arial" w:cs="Arial" w:eastAsia="Arial" w:hAnsi="Arial"/>
          <w:sz w:val="15"/>
          <w:szCs w:val="15"/>
          <w:color w:val="auto"/>
        </w:rPr>
        <w:t>over financial reporting under Section 404(b) of the Sarbanes-Oxley Act (15 U.S.C. 7262(b)) by the registered public accounting firm that prepared or issued its audit report.</w:t>
      </w:r>
    </w:p>
    <w:p>
      <w:pPr>
        <w:spacing w:after="0" w:line="2" w:lineRule="exact"/>
        <w:rPr>
          <w:sz w:val="24"/>
          <w:szCs w:val="24"/>
          <w:color w:val="auto"/>
        </w:rPr>
      </w:pPr>
    </w:p>
    <w:p>
      <w:pPr>
        <w:ind w:left="20" w:right="160"/>
        <w:spacing w:after="0" w:line="253" w:lineRule="auto"/>
        <w:rPr>
          <w:sz w:val="20"/>
          <w:szCs w:val="20"/>
          <w:color w:val="auto"/>
        </w:rPr>
      </w:pPr>
      <w:r>
        <w:rPr>
          <w:rFonts w:ascii="Arial" w:cs="Arial" w:eastAsia="Arial" w:hAnsi="Arial"/>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4"/>
          <w:szCs w:val="24"/>
          <w:color w:val="auto"/>
        </w:rPr>
      </w:pPr>
    </w:p>
    <w:p>
      <w:pPr>
        <w:ind w:left="20"/>
        <w:spacing w:after="0" w:line="264" w:lineRule="auto"/>
        <w:rPr>
          <w:sz w:val="20"/>
          <w:szCs w:val="20"/>
          <w:color w:val="auto"/>
        </w:rPr>
      </w:pPr>
      <w:r>
        <w:rPr>
          <w:rFonts w:ascii="Arial" w:cs="Arial" w:eastAsia="Arial" w:hAnsi="Arial"/>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3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6" w:lineRule="exact"/>
        <w:rPr>
          <w:sz w:val="24"/>
          <w:szCs w:val="24"/>
          <w:color w:val="auto"/>
        </w:rPr>
      </w:pPr>
    </w:p>
    <w:p>
      <w:pPr>
        <w:ind w:left="2700" w:right="1200" w:hanging="2695"/>
        <w:spacing w:after="0" w:line="328" w:lineRule="auto"/>
        <w:rPr>
          <w:sz w:val="20"/>
          <w:szCs w:val="20"/>
          <w:color w:val="auto"/>
        </w:rPr>
      </w:pPr>
      <w:r>
        <w:rPr>
          <w:rFonts w:ascii="Arial" w:cs="Arial" w:eastAsia="Arial" w:hAnsi="Arial"/>
          <w:sz w:val="15"/>
          <w:szCs w:val="15"/>
          <w:color w:val="auto"/>
        </w:rPr>
        <w:t>The aggregate market value of voting stock held by non-affiliates of the Registrant was approximately $163,230,185,912 as of June 30, 2023. 909,287,673 (Number of shares of common stock outstanding as of January 23, 2024)</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Part III hereof incorporates information by reference to the Registrant’s proxy statement for the 2024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754380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0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760" w:space="200"/>
            <w:col w:w="280"/>
          </w:cols>
          <w:pgMar w:left="320" w:top="107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 Our two reportable segments are Analog and Embedded Processing, and we report the results of our remaining business activities in Other. In 2023, we generated $17.52 billion of revenue.</w:t>
      </w:r>
    </w:p>
    <w:p>
      <w:pPr>
        <w:spacing w:after="0" w:line="1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decades, we have operated with a passion to create a better world by making electronics more affordable through semiconductors. We were pioneers in the transition from vacuum tubes to transistors and then to integrated circuits. As each generation has become more reliable, more affordable and lower in power, semiconductors are used by a growing number of customers and markets. Our passion continues to be alive today as we help our customers develop electronics and new applications, particularly in industrial and automotive markets.</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many years, we have run our business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Our ambitions are foundational to ensuring that we operate in a sustainable, socially thoughtful and environmentally responsible manner. When we are successful in achieving these ambitions, our employees, customers, communities and shareholders all win.</w:t>
      </w:r>
    </w:p>
    <w:p>
      <w:pPr>
        <w:spacing w:after="0" w:line="17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engineers, we are fortunate to work on exciting technology which helps our customers innovate to create a better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first element of our strategy is a business model that is focused on analog and embedded processing products and built around four competitive advantages. This business model is the result of a series of strategic decisions made over the years and that continue today. The four sustainable competitive advantages are a strong foundation of manufacturing and technology, a broad portfolio of analog and embedded processing products, the reach of our market channels, and diversity and longevity of our products, markets and customer positions. In combination, these four competitive advantages provide tangible benefits, are difficult to replicate and ultimately separate us from our best peers. 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second element of our strategy to maximize free cash flow per share growth is disciplined allocation of capital. This spans how we select R&amp;D projects, develop new capabilities like TI.com, invest in new manufacturing capacity or how we think about acquisitions and returning cash to our owners. Over a 10-year period from 2014 to 2023, we allocated $94 billion, which reinforces the importance of discipline in capital allocation. The largest allocation over this period was to drive organic growth, which includes investments in R&amp;D, sales and marketing, capital expenditures and working capital for inventory. In this period, we allocated just over $15 billion to capital expenditures. Our increased capital expenditures are to support future revenue growth, which will be a greater component of free cash flow per share growth going forward. Beyond that, we also allocated capital to dividends and share repurchases. Dividends are designed to appeal to a broad set of investors, and share repurchases are made with the goal of the accretive capture of future free cash flow for long-term investors. Lastly, for inorganic growth, we allocate to acquisitions that meet our financial and strategic objectives.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third element of our strategy is efficiency, which we think of as constantly striving for more output for every dollar spent. This is about getting our investments in the most impactful areas to maximize the growth of long-term free cash flow per share; it is not just about optimizing cost cutting to get to the last dollar of expense. We bring this philosophy of efficiency and continuous improvement to all areas of the company, and this focus on efficiency contributes to revenue growth, improved gross margins, disciplined R&amp;D and SG&amp;A expense, free cash flow margins and ultimately to free cash flow per share growth.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 w:name="page3"/>
    <w:bookmarkEnd w:id="2"/>
    <w:p>
      <w:pPr>
        <w:ind w:right="8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information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generally known as “chips,” combine multiple transistors to form a complete electronic circuit. We have a diverse product portfolio that is used to accomplish many different things, such as converting and amplifying signals, interfacing with other devices, managing and distributing power, processing data, canceling noise and improving signal resolution. This broad portfolio includes approximately 80,000 products that are integral to almost every type of electronic equipment.</w:t>
      </w:r>
    </w:p>
    <w:p>
      <w:pPr>
        <w:spacing w:after="0" w:line="17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Analog</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Analog segment generated $ 13.04 billion of revenue in 2023.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As the digitization of electronics continues, there is a growing need and opportunity for analog chips to provide the power to run devices and the critical interfaces with human beings, the real world and other electronic devices. Our Analog products are used in many markets, particularly industrial, automotive and personal electronics.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Sales of our Analog products generated about 74% of our revenue in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Analog segment includes the following major product lines: Power and Signal Chain.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w:t>
      </w:r>
    </w:p>
    <w:p>
      <w:pPr>
        <w:spacing w:after="0" w:line="22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Power includes products that help customers manage power in electronic systems. Our broad portfolio is designed to manage power requirements across different voltage levels, including battery-management solutions, DC/DC switching regulators, AC/DC and isolated DC/DC switching regulators, power switches, linear and low-dropout regulators, voltage references and lighting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Signal Chain</w:t>
      </w:r>
    </w:p>
    <w:p>
      <w:pPr>
        <w:spacing w:after="0" w:line="22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Signal Chain includes products that sense, condition and measure real-world signals to allow information to be transferred or converted for further processing and control. Our Signal Chain products include amplifiers, data converters, interface products, motor drives, clocks, logic and sensing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Embedded Processing</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Embedded Processing segment generated $3.37 billion of revenue in 2023. Embedded Processing products are the digital “brains” of many types of electronic equipment. They are designed to handle specific tasks and can be optimized for various combinations of performance, power and cost, depending on the application. Our devices vary from simple, low-cost microcontrollers used in applications such as electric toothbrushes to highly specialized, complex devices such as motor control. Our Embedded Processing products are used in many markets, particularly industrial and automotive.</w:t>
      </w:r>
    </w:p>
    <w:p>
      <w:pPr>
        <w:spacing w:after="0" w:line="179"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R&amp;D to write software that operates on our products. This investment tends to increase the length of our customer relationships because many customers prefer to reuse software from one product generation to the next.</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Sales of Embedded Processing products generated about 19% of our revenue in 2023.</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Embedded Processing segment includes microcontrollers, digital signal processors (DSPs) and applications processors. Microcontrollers are self-contained systems with a processor core, memory and peripherals that are designed to control a set of specific tasks for electronic equipment. DSPs perform mathematical computations almost instantaneously to process or improve digital data. Applications processors are designed for specific computing activity.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report the results of our remaining business activities in Other, which includes operating segments that do not meet the quantitative thresholds for individually reportable segments and cannot be aggregated with other operating segments. Other generated $ 1.11 billion of revenue in 2023 and includes revenue from DLP</w:t>
      </w:r>
      <w:r>
        <w:rPr>
          <w:rFonts w:ascii="Arial" w:cs="Arial" w:eastAsia="Arial" w:hAnsi="Arial"/>
          <w:sz w:val="10"/>
          <w:szCs w:val="10"/>
          <w:color w:val="auto"/>
        </w:rPr>
        <w:t>®</w:t>
      </w:r>
      <w:r>
        <w:rPr>
          <w:rFonts w:ascii="Arial" w:cs="Arial" w:eastAsia="Arial" w:hAnsi="Arial"/>
          <w:sz w:val="18"/>
          <w:szCs w:val="18"/>
          <w:color w:val="auto"/>
        </w:rPr>
        <w:t xml:space="preserve"> products (primarily used to project high-definition images), calculators and certain custom semiconductors known as application-specific integrated circuits (ASICs).</w:t>
      </w:r>
    </w:p>
    <w:p>
      <w:pPr>
        <w:spacing w:after="0" w:line="17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integration and restructuring charges, as well as certain corporate-level items, such as litigation expenses, environmental costs and gains and losses from other activities, including asset dispositions.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25" w:lineRule="exact"/>
        <w:rPr>
          <w:sz w:val="20"/>
          <w:szCs w:val="20"/>
          <w:color w:val="auto"/>
        </w:rPr>
      </w:pPr>
    </w:p>
    <w:p>
      <w:pPr>
        <w:ind w:right="780"/>
        <w:spacing w:after="0" w:line="279" w:lineRule="auto"/>
        <w:rPr>
          <w:sz w:val="20"/>
          <w:szCs w:val="20"/>
          <w:color w:val="auto"/>
        </w:rPr>
      </w:pPr>
      <w:r>
        <w:rPr>
          <w:rFonts w:ascii="Arial" w:cs="Arial" w:eastAsia="Arial" w:hAnsi="Arial"/>
          <w:sz w:val="18"/>
          <w:szCs w:val="18"/>
          <w:color w:val="auto"/>
        </w:rPr>
        <w:t>The table below lists the major markets for our products in 2023 and the estimated percentage of our 2023 revenue that the market represented. The chart also lists, in declining order of our revenue, the sectors within each market.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Market</w:t>
            </w:r>
          </w:p>
        </w:tc>
        <w:tc>
          <w:tcPr>
            <w:tcW w:w="120" w:type="dxa"/>
            <w:vAlign w:val="bottom"/>
            <w:tcBorders>
              <w:bottom w:val="single" w:sz="8" w:color="DBDBDB"/>
            </w:tcBorders>
          </w:tcPr>
          <w:p>
            <w:pPr>
              <w:spacing w:after="0"/>
              <w:rPr>
                <w:sz w:val="17"/>
                <w:szCs w:val="17"/>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Sector</w:t>
            </w:r>
          </w:p>
        </w:tc>
      </w:tr>
      <w:tr>
        <w:trPr>
          <w:trHeight w:val="224"/>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Industrial</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Factory automation &amp; control</w:t>
            </w:r>
          </w:p>
        </w:tc>
      </w:tr>
      <w:tr>
        <w:trPr>
          <w:trHeight w:val="229"/>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(40% of TI revenue)</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Grid infrastructure</w:t>
            </w:r>
          </w:p>
        </w:tc>
      </w:tr>
      <w:tr>
        <w:trPr>
          <w:trHeight w:val="224"/>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Medical</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Aerospace &amp; defense</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Test &amp; measurement</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Building automation</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Motor drives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Power delivery</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Appliances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Pro audio, video &amp; signage</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Industrial transport</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Retail automation &amp; payment</w:t>
            </w:r>
          </w:p>
        </w:tc>
      </w:tr>
      <w:tr>
        <w:trPr>
          <w:trHeight w:val="235"/>
        </w:trPr>
        <w:tc>
          <w:tcPr>
            <w:tcW w:w="1820" w:type="dxa"/>
            <w:vAlign w:val="bottom"/>
            <w:shd w:val="clear" w:color="auto" w:fill="DBDBDB"/>
          </w:tcPr>
          <w:p>
            <w:pPr>
              <w:spacing w:after="0"/>
              <w:rPr>
                <w:sz w:val="20"/>
                <w:szCs w:val="20"/>
                <w:color w:val="auto"/>
              </w:rPr>
            </w:pPr>
          </w:p>
        </w:tc>
        <w:tc>
          <w:tcPr>
            <w:tcW w:w="37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Lighting</w:t>
            </w:r>
          </w:p>
        </w:tc>
      </w:tr>
      <w:tr>
        <w:trPr>
          <w:trHeight w:val="224"/>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Automotive</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Infotainment &amp; cluster</w:t>
            </w:r>
          </w:p>
        </w:tc>
      </w:tr>
      <w:tr>
        <w:trPr>
          <w:trHeight w:val="229"/>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(34% of TI revenue)</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Hybrid, electric &amp; powertrain systems</w:t>
            </w:r>
          </w:p>
        </w:tc>
      </w:tr>
      <w:tr>
        <w:trPr>
          <w:trHeight w:val="230"/>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Advanced driver assistance systems (ADAS)</w:t>
            </w:r>
          </w:p>
        </w:tc>
      </w:tr>
      <w:tr>
        <w:trPr>
          <w:trHeight w:val="229"/>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Body electronics &amp; lighting</w:t>
            </w:r>
          </w:p>
        </w:tc>
      </w:tr>
      <w:tr>
        <w:trPr>
          <w:trHeight w:val="235"/>
        </w:trPr>
        <w:tc>
          <w:tcPr>
            <w:tcW w:w="18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Passive safety</w:t>
            </w:r>
          </w:p>
        </w:tc>
      </w:tr>
      <w:tr>
        <w:trPr>
          <w:trHeight w:val="230"/>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Personal electronics</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Mobile phones</w:t>
            </w:r>
          </w:p>
        </w:tc>
      </w:tr>
      <w:tr>
        <w:trPr>
          <w:trHeight w:val="229"/>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(15% of TI revenue)</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PC &amp; notebooks</w:t>
            </w:r>
          </w:p>
        </w:tc>
      </w:tr>
      <w:tr>
        <w:trPr>
          <w:trHeight w:val="224"/>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Portable electronics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TV</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Connected peripherals &amp; printers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Tablets</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Home theater &amp; entertainment</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Gaming</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Wearables (non-medical)</w:t>
            </w:r>
          </w:p>
        </w:tc>
      </w:tr>
      <w:tr>
        <w:trPr>
          <w:trHeight w:val="235"/>
        </w:trPr>
        <w:tc>
          <w:tcPr>
            <w:tcW w:w="1820" w:type="dxa"/>
            <w:vAlign w:val="bottom"/>
            <w:shd w:val="clear" w:color="auto" w:fill="DBDBDB"/>
          </w:tcPr>
          <w:p>
            <w:pPr>
              <w:spacing w:after="0"/>
              <w:rPr>
                <w:sz w:val="20"/>
                <w:szCs w:val="20"/>
                <w:color w:val="auto"/>
              </w:rPr>
            </w:pPr>
          </w:p>
        </w:tc>
        <w:tc>
          <w:tcPr>
            <w:tcW w:w="37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Data storage</w:t>
            </w:r>
          </w:p>
        </w:tc>
      </w:tr>
      <w:tr>
        <w:trPr>
          <w:trHeight w:val="224"/>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Communications equipment</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Wireless infrastructure</w:t>
            </w: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(5% of TI revenue)</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Wired networking</w:t>
            </w:r>
          </w:p>
        </w:tc>
      </w:tr>
      <w:tr>
        <w:trPr>
          <w:trHeight w:val="230"/>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Broadband fixed line access</w:t>
            </w:r>
          </w:p>
        </w:tc>
      </w:tr>
      <w:tr>
        <w:trPr>
          <w:trHeight w:val="235"/>
        </w:trPr>
        <w:tc>
          <w:tcPr>
            <w:tcW w:w="18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Datacom module</w:t>
            </w:r>
          </w:p>
        </w:tc>
      </w:tr>
      <w:tr>
        <w:trPr>
          <w:trHeight w:val="230"/>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Enterprise systems</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Data center &amp; enterprise computing</w:t>
            </w:r>
          </w:p>
        </w:tc>
      </w:tr>
      <w:tr>
        <w:trPr>
          <w:trHeight w:val="230"/>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(4% of TI revenue)</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Enterprise projectors</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Enterprise machine</w:t>
            </w:r>
          </w:p>
        </w:tc>
      </w:tr>
      <w:tr>
        <w:trPr>
          <w:trHeight w:val="224"/>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(calculators and other)</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r>
      <w:tr>
        <w:trPr>
          <w:trHeight w:val="239"/>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(2% of TI revenue)</w:t>
            </w:r>
          </w:p>
        </w:tc>
        <w:tc>
          <w:tcPr>
            <w:tcW w:w="120" w:type="dxa"/>
            <w:vAlign w:val="bottom"/>
          </w:tcPr>
          <w:p>
            <w:pPr>
              <w:spacing w:after="0"/>
              <w:rPr>
                <w:sz w:val="20"/>
                <w:szCs w:val="20"/>
                <w:color w:val="auto"/>
              </w:rPr>
            </w:pPr>
          </w:p>
        </w:tc>
        <w:tc>
          <w:tcPr>
            <w:tcW w:w="5540" w:type="dxa"/>
            <w:vAlign w:val="bottom"/>
          </w:tcPr>
          <w:p>
            <w:pPr>
              <w:spacing w:after="0"/>
              <w:rPr>
                <w:sz w:val="20"/>
                <w:szCs w:val="20"/>
                <w:color w:val="auto"/>
              </w:rPr>
            </w:pPr>
          </w:p>
        </w:tc>
      </w:tr>
      <w:tr>
        <w:trPr>
          <w:trHeight w:val="535"/>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Market characteristics</w:t>
            </w:r>
          </w:p>
        </w:tc>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380"/>
        </w:trPr>
        <w:tc>
          <w:tcPr>
            <w:tcW w:w="5540" w:type="dxa"/>
            <w:vAlign w:val="bottom"/>
            <w:gridSpan w:val="2"/>
          </w:tcPr>
          <w:p>
            <w:pPr>
              <w:spacing w:after="0"/>
              <w:rPr>
                <w:sz w:val="20"/>
                <w:szCs w:val="20"/>
                <w:color w:val="auto"/>
              </w:rPr>
            </w:pPr>
            <w:r>
              <w:rPr>
                <w:rFonts w:ascii="Arial" w:cs="Arial" w:eastAsia="Arial" w:hAnsi="Arial"/>
                <w:sz w:val="18"/>
                <w:szCs w:val="18"/>
                <w:color w:val="auto"/>
              </w:rPr>
              <w:t>Competitive landscape</w:t>
            </w:r>
          </w:p>
        </w:tc>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Despite consolidation, the analog and embedded processing markets remain highly fragmented. As a result, we face significant global competition from dozens of large and small companies, including both broad-based suppliers and niche suppliers. Our competitors also include emerging companies, particularly in Asia.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t>We believe that competitive performance in the semiconductor market generally depends on several factors, including the breadth of a company’s product line, the strength and reach of its channels to market, technological innovation, product development execution, technical support, customer service, quality, reliability, price and manufacturing capacity and capabilities. In addition, manufacturing process and package technologies that provide differentiated levels of performance and a structural cost advantage are competitive factors for our analog products, and customers’ prior investments in software development is a competitive factor for our embedded processing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Semiconductor cycles are affected by the significant time and money required to build and maintain semiconductor manufacturing facilities.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revenue is subject to some seasonal variation. Historically, our sequential revenue growth rate tends to be weaker in the first and fourth quarters when compared with the second and third quarters.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distribution</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sell our products to over 100,000 customers. Our customer base is diverse, with more than 40% of our revenue derived from customers outside our largest 100.</w:t>
      </w:r>
    </w:p>
    <w:p>
      <w:pPr>
        <w:spacing w:after="0" w:line="15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market and sell our products through direct sales channels, including our website and broad sales and marketing team, and, to a lesser extent, through distributors. Over the past several years, we have been investing in new capabilities to build closer direct customer relationships. As a result, in 2023 about 75% of our revenue was direct, which includes TI.com, as customers valued the convenience of purchasing online. Closer direct relationships with our customers help to strengthen our reach of market channel advantage and give us access to more customers and more of their design projects, leading to opportunities to sell more of our products into each design. Additionally, broader and deeper access gives us better insight and knowledge of customer needs.</w:t>
      </w:r>
    </w:p>
    <w:p>
      <w:pPr>
        <w:spacing w:after="0" w:line="18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Our investments in new and improved capabilities to directly support our customers include website and e-commerce enhancements as well as inventory consignment programs and order fulfillment services. Our TI.com e-commerce channel offers a localized online experience in many countries, with convenience features such as immediate availability, local currency, payment methods, invoicing and importer of record. Our new application programming interfaces (APIs) give customers the ability to directly access real-time information about TI products from their own systems, enabling them to purchase available chips immediately to better support their supply needs, reducing cost and delays.</w:t>
      </w:r>
    </w:p>
    <w:p>
      <w:pPr>
        <w:spacing w:after="0" w:line="16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addition to doing business directly with TI, we offer customers the option of using a single worldwide distributor and a few region-specific distributors for order fulfillment.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that require substantial investments.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 w:name="page7"/>
    <w:bookmarkEnd w:id="6"/>
    <w:p>
      <w:pPr>
        <w:ind w:right="160"/>
        <w:spacing w:after="0" w:line="259" w:lineRule="auto"/>
        <w:rPr>
          <w:sz w:val="20"/>
          <w:szCs w:val="20"/>
          <w:color w:val="auto"/>
        </w:rPr>
      </w:pPr>
      <w:r>
        <w:rPr>
          <w:rFonts w:ascii="Arial" w:cs="Arial" w:eastAsia="Arial" w:hAnsi="Arial"/>
          <w:sz w:val="18"/>
          <w:szCs w:val="18"/>
          <w:color w:val="auto"/>
        </w:rPr>
        <w:t>We invest in manufacturing technologies and do most of our manufacturing in-house. This strategic decision to make manufacturing and technology a core competitive advantage provides us with tangible benefits of lower manufacturing costs and greater control of our supply chain, offering our customers geopolitically dependable capacity. We have focused on creating a competitive manufacturing structural cost advantage by investing in our advanced 300mm capacity. An unpackaged chip built on a 300mm wafer costs about 40% less than an unpackaged chip built on a 200mm wafer.</w:t>
      </w:r>
    </w:p>
    <w:p>
      <w:pPr>
        <w:spacing w:after="0" w:line="17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continue to invest to strengthen our competitive advantage in manufacturing and technology as part of our long-term capacity plan to meet demand over time. Semiconductor growth in electronics, particularly in industrial and automotive markets, is expected to continue well into the future. Progress and investments include:</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Ramping production in 300mm wafer fabrication facility RFAB2 in Richardson, Texas.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Ramping production in 300mm wafer fabrication facility LFAB1 in Lehi, Utah.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construction on SM1 and SM2 in Sherman, Texas, where we are building four 300mm wafer fabrication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Starting construction on LFAB2, another 300mm wafer fabrication facility in Lehi, Utah.</w:t>
      </w:r>
    </w:p>
    <w:p>
      <w:pPr>
        <w:spacing w:after="0" w:line="22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Together, these investments are designed to strengthen our manufacturing and technology competitive advantage, provide us with lower costs and greater control of our supply chain, and support growth over the next 10 to 15 years.</w:t>
      </w:r>
    </w:p>
    <w:p>
      <w:pPr>
        <w:spacing w:after="0" w:line="1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assess and are careful to address potential health, safety, and environmental risks presented by our operations, including our manufacturing operations. We care for our environment and work to prevent pollution and the potential risks related to climate change. We invest to reduce emissions over the long term in several ways, including installing new factory equipment with state-of-the-art emissions reduction technology, as well as retrofitting existing factory equipment with advanced abatement technology, in addition to using alternative gases and increasing the use of renewable electricity. We also continue to implement practices such as recycling and reusing materials and properly handling hazardous and restricted substances.</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expect to continue to maintain sufficient internal manufacturing capacity to meet the majority of our production needs and to obtain manufacturing equipment to support new technology developments and revenue growth. In 2023, we sourced about 80% of our total wafers and about 65% of our assembly/test production internally. With our planned capacity expansions, we expect these percentages to increase. To supplement our internal manufacturing capacity, we selectively use the capacity of outside suppliers, commonly known as foundries and subcontractors.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objectives for inventory are to maintain high levels of customer service, maintain dependable and competitive lead times, minimize inventory obsolescence and improve manufacturing asset utilization. To meet these objectives and to allow greater flexibility in periods of high demand, our strategy is to build ahead of demand our broad-based products that are used across a diverse set of applications and customers and have low risk of obsolescence. Inventory levels will vary based on market conditions and seasonality.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source materials, parts and supplies from a diverse set of suppliers globally. The materials, parts and supplies essential to our business are generally available, and we believe that such materials, parts and supplies will be available in the foreseeable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license agreements, which vary in duration, involving rights to our portfolio or those of other companies. We do not consider our business materially dependent upon any one patent or patent license.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5" w:lineRule="exact"/>
        <w:rPr>
          <w:sz w:val="20"/>
          <w:szCs w:val="20"/>
          <w:color w:val="auto"/>
        </w:rPr>
      </w:pPr>
    </w:p>
    <w:p>
      <w:pPr>
        <w:ind w:right="500"/>
        <w:spacing w:after="0" w:line="279"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held by each person named: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29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Ahmad S. Bahai</w:t>
            </w:r>
          </w:p>
        </w:tc>
        <w:tc>
          <w:tcPr>
            <w:tcW w:w="10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DBDBDB"/>
            </w:tcBorders>
            <w:shd w:val="clear" w:color="auto" w:fill="DBDBDB"/>
          </w:tcPr>
          <w:p>
            <w:pPr>
              <w:spacing w:after="0"/>
              <w:rPr>
                <w:sz w:val="19"/>
                <w:szCs w:val="19"/>
                <w:color w:val="auto"/>
              </w:rPr>
            </w:pPr>
          </w:p>
        </w:tc>
        <w:tc>
          <w:tcPr>
            <w:tcW w:w="73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Mark S. Gary</w:t>
            </w:r>
          </w:p>
        </w:tc>
        <w:tc>
          <w:tcPr>
            <w:tcW w:w="74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30"/>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Haviv Ilan</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 President and Chief Executive Officer</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Hagop H. Kozanian</w:t>
            </w:r>
          </w:p>
        </w:tc>
        <w:tc>
          <w:tcPr>
            <w:tcW w:w="7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Shanon J. Leonard</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Rafael R. Lizardi</w:t>
            </w:r>
          </w:p>
        </w:tc>
        <w:tc>
          <w:tcPr>
            <w:tcW w:w="740" w:type="dxa"/>
            <w:vAlign w:val="bottom"/>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29"/>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Mark T. Roberts</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Amichai Ron</w:t>
            </w:r>
          </w:p>
        </w:tc>
        <w:tc>
          <w:tcPr>
            <w:tcW w:w="740" w:type="dxa"/>
            <w:vAlign w:val="bottom"/>
          </w:tcPr>
          <w:p>
            <w:pPr>
              <w:ind w:lef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 and Chairman of the Board</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Cynthia Hoff Trochu</w:t>
            </w:r>
          </w:p>
        </w:tc>
        <w:tc>
          <w:tcPr>
            <w:tcW w:w="740" w:type="dxa"/>
            <w:vAlign w:val="bottom"/>
          </w:tcPr>
          <w:p>
            <w:pPr>
              <w:ind w:left="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 Secretary and General Counsel</w:t>
            </w:r>
          </w:p>
        </w:tc>
      </w:tr>
      <w:tr>
        <w:trPr>
          <w:trHeight w:val="230"/>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Christine A. Witzsche</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3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Mohammad Yunus</w:t>
            </w:r>
          </w:p>
        </w:tc>
        <w:tc>
          <w:tcPr>
            <w:tcW w:w="740" w:type="dxa"/>
            <w:vAlign w:val="bottom"/>
          </w:tcPr>
          <w:p>
            <w:pPr>
              <w:ind w:lef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term of office of these officers is from the date of their election until their successor shall have been elected and qualified. All have been employees of the company for more than five years. Messrs. Bahai, Ilan, Kozanian, Lizardi and Templeton and Ms. Trochu have served as executive officers of the company for more than five years. Mr. Ron became an executive officer in 2019. Mr. Gary became an executive officer in 2020. Mr. Roberts and Ms. Witzsche became executive officers in 2021. Mr. Leonard became an executive officer in 2022. Mr. Yunus became an executive officer in 2024.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At December 31, 2023, we had about 34,000 employees worldwide. Of those, about 90% were in R&amp;D, sales or manufacturing. Our objective for human capital management is to recruit, develop and retain the best talent possible. As a technology and manufacturing company, our success is grounded in having strong engineering talent and a reliable factory workforce. We have a promote-from-within culture and offer training and rotation programs that provide the opportunity to quickly gain experience in different areas. In 2023, our turnover rate was 8.1%.</w:t>
      </w:r>
    </w:p>
    <w:p>
      <w:pPr>
        <w:spacing w:after="0" w:line="1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It is important that our employees represent a mix of experiences and backgrounds in order to make our company stronger, more innovative and more inclusive. Inclusion is one of our core values, and we have programs in place to promote diversity and inclusion. We encourage you to review our Corporate Citizenship Report for more information. Nothing in the Corporate Citizenship Report shall be deemed incorporated by reference into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internet address is www.ti.com. Information on our website is not part of this report. We make available free of charge through our Investor Relations website our reports on Forms 10-K, 10-Q and 8-K, and amendments to those reports, as soon as reasonably practicable after they are filed with the Securities and Exchange Commission. Also available through the TI Investor Relations website are reports filed by our directors and executive officers on Forms 3, 4 and 5, and amendments to those reports.</w:t>
      </w:r>
    </w:p>
    <w:p>
      <w:pPr>
        <w:spacing w:after="0" w:line="1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Available on our website at www.ti.com/corporategovernance: (i) our Corporate Governance Guidelines; (ii) charters for the Audit, Compensation, and Governance and Stockholder Relations Committees of our board of directors; (iii) our code of conduct; and (iv) our Code of Ethics for TI Chief Executive Officer and Senior Finance Officers. Stockholders may request copies of these documents free of charge by writing to Texas Instruments Incorporated, Attention: Investor Relations, P.O. Box 660199, MS 8657, Dallas, Texas, 75266-0199.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TI, a company with broad international operations. Like many companies, we are susceptible to a potential downturn associated with macroeconomic weakness, which may affect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dividends or share repurchases, and other factors, many of which are beyond our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global operations subject us to risks associated with domestic or international political, social, economic or other conditions.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facilities in more than 30 countries. About 65% of our revenue comes from customers with headquarter locations outside the United States; revenue from end customers headquartered in China represents about 20% of our revenue. We also continue to expand our offerings of online transactions and services worldwide. Certain countries where we operate have experienced, and other countries may experience, geopolitical tensions that affect global trade and macroeconomic conditions through the enactment of tariffs, import or export restrictions, trade embargoes and sanctions, restrictions on cross-border investment and other trade barriers. Geopolitical tensions may impact our ability to deliver products, support customers, receive manufacturing equipment or cause customers to seek alternate suppliers, which could adversely affect our operations and financial results.</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exposed to political, social and economic conditions (including inflation), security risks, acts of war, terrorism or other hostile acts, pandemics, epidemics or other public health crises, labor conditions, climate change risks and possible disruptions in power, water supply, transportation, communications and information technology networks of the various countries in which we operate. Any of these factors could adversely affect our results of operations, financial condition and reputation. In addition, our global operations expose us to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face intense technological and pricing competition in the markets in which we operate. We expect this competition will continue to increase from large competitors and from small competitors serving niche markets, and also from emerging companies, particularly in Asia, that sell products into the same markets in which we operate. For example, we may face increased competition as a result of China actively promoting and reshaping its domestic semiconductor industry through policy changes and investment. These actions, in conjunction with trade tensions, may restrict us from participating in the China market or may prevent us from competing effectively. Certain competitors possess sufficient financial, technical and management resources and utilize available incentives offered by various countries and government entities to develop and market products that may compete favorably against our products, and consolidation among our competitors may allow them to compete more effectively.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Changes in expected demand for our products could have a material adverse effect on our results of operations.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customers include companies in a wide range of end markets and sectors within those markets. If demand in one or more sectors within our end markets declines or the rate of growth slows, our results of operations may be adversely affected. The cyclical nature of the semiconductor market occasionally leads to significant and rapid increases and decreases in product demand. Additionally, the loss or significant curtailment of purchases by one or more of our large customers, including curtailments due to a change in the design or manufacturing sourcing policies or practices of these customers, the timing of customer or distributor inventory adjustments, changes in demand for customer products, or trade restrictions, may adversely affect our results of operations and financial condition.</w:t>
      </w:r>
    </w:p>
    <w:p>
      <w:pPr>
        <w:spacing w:after="0" w:line="18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results of operations also might suffer because of a general decline or volatility in customer demand resulting from, for example: uncertainty regarding the stability of global credit and financial markets; natural events, pandemics, epidemics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ability to match inventory and production with the product mix needed to fill orders may affect our ability to meet a quarter’s revenue forecast. We manufacture products with the intent to provide high levels of customer service. Our manufacturing forecasts are based on multiple assumptions, and if inaccurate, could cause us to hold inadequate, excess or obsolete inventory that would reduce our profit margins and adversely affect our results of operations and financial condition.</w:t>
      </w:r>
    </w:p>
    <w:p>
      <w:pPr>
        <w:spacing w:after="0" w:line="176"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u w:val="single" w:color="auto"/>
          <w:color w:val="auto"/>
        </w:rPr>
        <w:t>Our operating results and our reputation could be adversely affected by cybersecurity events, breaches, disruptions or other incidents relating to our information technology systems.</w:t>
      </w:r>
    </w:p>
    <w:p>
      <w:pPr>
        <w:spacing w:after="0" w:line="15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Breaches, disruptions or other incidents relating to our information technology systems or the systems of our customers, suppliers and other third parties could be caused by factors such as computer viruses, ransomware, malware, system failures, restricted network access, unauthorized access, terrorism, nation-state espionage, employee malfeasance, or human error. These events could, among other things, compromise our information technology networks; result in corrupt or lost data or the unauthorized release of our, our customers’ or our suppliers’ confidential or proprietary information; cause a disruption to our manufacturing and other operations (including our online services, platforms and transactions); result in the release of personal data; or cause us to incur costs associated with increased protection, remediation, regulatory inquiries or penalties, or claims for damages, any of which could adversely affect our operating results and our reputation. Cybersecurity or other threats to our information technology systems or the systems of our customers, suppliers and other third parties are frequent, increasingly sophisticated and constantly evolving, thereby making them more difficult to detect, mitigate and defend against.</w:t>
      </w:r>
    </w:p>
    <w:p>
      <w:pPr>
        <w:spacing w:after="0" w:line="18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u w:val="single" w:color="auto"/>
          <w:color w:val="auto"/>
        </w:rPr>
        <w:t>Our ability to successfully implement strategic, business and organizational changes could affect our business plans and results of operations.</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undertake strategic, business and organizational changes, including acquisitions, divestitures, capital investments and restructuring actions, to support or carry out our objectives. If we do not successfully implement these changes, our business plans and operating results could be adversely affected. We may not achieve or sustain the expected growth, cost savings or other benefits of strategic, business and organizational changes, and charges associated with these actions could differ materially in amount and timing from our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operate.</w:t>
      </w:r>
    </w:p>
    <w:p>
      <w:pPr>
        <w:spacing w:after="0" w:line="22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We have manufacturing, data and design facilities and other operations in locations subject to natural occurrences such as severe weather, geological events or epidemics that could adversely affect manufacturing capacity, availability and cost of key raw materials, utilities and equipment or otherwise disrupt operations. Climate change might exacerbate these occurrences or cause natural disasters to occur with greater frequency and with more intense effects. A natural disaster that results in a prolonged disruption, particularly where we have principal manufacturing and design operations, as listed in the Properties section in Item 2, may adversely affect our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Rapid technological change in markets we serve requires us to develop new technologies and products.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in a timely and cost-effective manner. We make significant investments in research and development to improve existing technology and products, develop new products to meet changing customer demands, and improve our production processes. In some cases, we might not realize a return or the expected return on our investments because they are generally made before commercial viability can be assured. Further, projects that are commercially viable may not contribute to our operating results until at least a few years after they are completed.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supply chain and manufacturing risks.</w:t>
      </w:r>
    </w:p>
    <w:p>
      <w:pPr>
        <w:spacing w:after="0" w:line="22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rely on third parties to supply us with goods and services in a cost-effective and timely manner. Our access to needed goods and services may be adversely affected by potential disputes with suppliers or disruptions in our own or suppliers’ operations as a result of, for example: quality excursions; uncertainty regarding the stability of global credit and financial markets; domestic or international political, social, economic and other conditions; natural events or epidemics in the locations in which our suppliers operate; or limited or delayed access to and high costs of key materials, natural resources, services and utilities. Additionally, a breach or other incident relating to our suppliers’ information technology systems could result in a release of confidential or proprietary information. If our suppliers are unable to access credit markets and other sources of needed liquidity, we may be unable to obtain needed supplies, collect accounts receivable or access needed technology.</w:t>
      </w:r>
    </w:p>
    <w:p>
      <w:pPr>
        <w:spacing w:after="0" w:line="1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particular, our manufacturing processes and critical manufacturing equipment, and those of our suppliers, require that certain key materials, natural resources, services and utilities be available. Suppliers of these items have and might continue to extend lead times, limit supply or increase prices due to factors beyond our control. Limited or delayed access to and high costs of key materials, natural resources, services and utilities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one or more of our customers demand that we change the sourcing of materials we cannot identify as conflict-free.</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inability to timely implement new manufacturing technologies, install manufacturing equipment or secure necessary personnel for manufacturing operations could adversely affect our results of operations. We have made and will continue to make significant investments in manufacturing capacity, and we might not realize our expected return on those investments. We subcontract a portion of our wafer fabrication and assembly and testing of our products, and we depend on third parties (including contractors and other service providers) to support key portions of our operations (including manufacturing operations and advanced logic manufacturing process technology development) and to construct our facilities.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or build facilities in a timely, cost-effective, and appropriate manner, the possibility of suppliers’ imposition of increased costs on us and the unauthorized disclosure or use of our intellectual property. In addition, failure by these suppliers to fulfill expectations, commitments and responsibilities in accordance with agreed terms or applicable laws, rules and regulations (including health, safety, forced labor, human trafficking and supply chain standards) could adversely affect our results of operations, financial condition and reputation.</w:t>
      </w:r>
    </w:p>
    <w:p>
      <w:pPr>
        <w:spacing w:after="0" w:line="190"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u w:val="single" w:color="auto"/>
          <w:color w:val="auto"/>
        </w:rPr>
        <w:t>Our continued success depends in part on our ability to retain and recruit a sufficient number of qualified employees in a competitive environment.</w:t>
      </w:r>
    </w:p>
    <w:p>
      <w:pPr>
        <w:spacing w:after="0" w:line="153"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Our continued success depends in part on the retention and recruitment of skilled personnel as well as the contributions and effective succession of senior management and other key employees. Skilled and experienced personnel in our industry, including engineering, management, sales, technical and staff personnel, are in high demand, and competition for their talents is intense. There can be no assurance that we will be able to successfully retain, train and recruit the key engineering, management and technical personnel that we require to execute our business strategy. Our ability to recruit internationally or deploy employees to various locations may be limited by immigration laws and policies, including changes to, or the administration or interpretation of, those laws and policies.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1000"/>
        <w:spacing w:after="0" w:line="287" w:lineRule="auto"/>
        <w:rPr>
          <w:sz w:val="20"/>
          <w:szCs w:val="20"/>
          <w:color w:val="auto"/>
        </w:rPr>
      </w:pPr>
      <w:r>
        <w:rPr>
          <w:rFonts w:ascii="Arial" w:cs="Arial" w:eastAsia="Arial" w:hAnsi="Arial"/>
          <w:sz w:val="18"/>
          <w:szCs w:val="18"/>
          <w:u w:val="single" w:color="auto"/>
          <w:color w:val="auto"/>
        </w:rPr>
        <w:t>Our results of operations and our reputation could be affected by warranty claims, product liability claims, product recalls or legal proceedings.</w:t>
      </w:r>
    </w:p>
    <w:p>
      <w:pPr>
        <w:spacing w:after="0" w:line="15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Claims based on warranty, product liability, epidemic or delivery failures, or other grounds relating to our products, software, manufacturing, services, designs, communications or cybersecurity could lead to significant expenses as we defend the claims or pay damage awards or settlements. In the event of a claim, we would also incur costs if we decide to compensate the affected customer or end consumer. Any such claims may also cause us to write off the value of related inventory. We maintain product liability insurance, but there is no guarantee that such insurance will be available or adequate to protect against all such claims. In addition, it is possible for a customer to recall a product containing a TI part, for example, with respect to products used in automotive applications or handheld electronics, which may cause us to incur costs and expenses relating to the recall. Improper, incorrect, illicit or unauthorized storage, handling, modification or use of our products (including use in applications for which our products were not designed), or use of counterfeit products, by third parties could result in reputational harm. Any of these events could adversely affect our results of operations, financial condition and reputation.</w:t>
      </w:r>
    </w:p>
    <w:p>
      <w:pPr>
        <w:spacing w:after="0" w:line="18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u w:val="single" w:color="auto"/>
          <w:color w:val="auto"/>
        </w:rPr>
        <w:t>Our results of operations could be adversely affected by distributors’ promotion of competing product lines or our distributors’ financial performance.</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2023, about 25% of our revenue was generated from sales of our products through distributors. Our distributors carry competing product lines, and our sales could be affected if semiconductor distributors promote competing products over our products. Moreover, our results of operations could be affected if our distributors suffer financial difficulties that result in their inability to pay amounts owed to us. Disputes with current or former distributors could be disruptive or harmful to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margins vary.</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profit margins vary due to a number of factors, which may include customer demand and shipment volume; capital expenditures and resulting depreciation; our manufacturing processes; product mix; inventory levels; tariffs; freight costs; and new accounting pronouncements or changes in existing accounting practices or standards. In addition, we operate in a highly competitive market environment that might adversely affect pricing for our products. Because we own much of our manufacturing capacity, a significant portion of our operating costs is fixed. With our planned capacity expansions, we expect capital expenditures and depreciation to increase. In general, these fixed costs do not decline with reductions in customer demand or factory loadings, and can adversely affect profit margins as a result.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 could be affected by the complex laws, rules and regulations to which our business is subject.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complex laws, rules and regulations on an international, national and local level that affect our domestic and international operations relating to, for example, the environment and climate change; safety; health; trade, including import and export; bribery and corruption; financial reporting; tax; data privacy and protection; labor and employment; competition; facilities and code compliance; market access; pandemics, epidemics or other public health crises; intellectual property ownership and infringement; and the movement of currency. Compliance with these laws, rules and regulations may be onerous and expensive and could restrict our ability to manufacture or ship our products and operate our business. From time to time, we receive inquiries from government entities regarding our compliance with laws and regulations. If we do not comply with a law or regulation (or the same is alleged), or a government inquiry is unresolved, we could be subject to litigation, investigations or enforcement activity that can be unpredictable and time-consuming, as well as disruptions to our operations, or significant fines, penalties or other legal liability. Furthermore, should these laws, rules and regulations be amended or expanded, or new ones enacted, we could incur materially greater compliance costs or restrictions on our ability to manufacture our products and operate our business.</w:t>
      </w:r>
    </w:p>
    <w:p>
      <w:pPr>
        <w:spacing w:after="0" w:line="18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Increased focus from government authorities, investors, customers and other key stakeholders on environmental, social and governance (ESG) matters has led to new and more stringent reporting standards and disclosure requirements. As the nature, scope and complexity of ESG reporting, diligence and disclosure requirements expand, we might have to undertake costly efforts to control, assess and report on ESG metrics.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2" w:name="page13"/>
    <w:bookmarkEnd w:id="12"/>
    <w:p>
      <w:pPr>
        <w:ind w:right="320"/>
        <w:spacing w:after="0" w:line="257" w:lineRule="auto"/>
        <w:rPr>
          <w:sz w:val="20"/>
          <w:szCs w:val="20"/>
          <w:color w:val="auto"/>
        </w:rPr>
      </w:pPr>
      <w:r>
        <w:rPr>
          <w:rFonts w:ascii="Arial" w:cs="Arial" w:eastAsia="Arial" w:hAnsi="Arial"/>
          <w:sz w:val="18"/>
          <w:szCs w:val="18"/>
          <w:color w:val="auto"/>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material or process might not be available, or might not be available at reasonable cost.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facilities in more than 30 countries and as a result are subject to taxation and audit by a number of taxing authorities. Tax rates vary among the jurisdictions in which we operate. If our tax rate increases, our results of operations could be adversely affected. A number of factors could cause our tax rate to increase, including a change in the jurisdictions in which our profits are earned and taxed; a change in the mix of profits from those jurisdictions; changes in available tax credits or deductions, including for amounts relating to stock compensation; changes in applicable tax rates; changes in tariff regulations or surcharges; changes in accounting principles; or adverse resolution of audits by taxing authorities. We have deferred tax assets on our balance sheet. Changes in applicable tax laws and regulations or in our business performance could affect our ability to realize those deferred tax assets, which could also affect our results of operations.</w:t>
      </w:r>
    </w:p>
    <w:p>
      <w:pPr>
        <w:spacing w:after="0" w:line="1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we are subject to laws and regulations in various jurisdictions that determine how much profit has been earned and when it is subject to taxation in that jurisdiction. These laws and regulations can be complex and subject to interpretation. Changes in these laws and regulations, including those that align with the Organisation for Economic Cooperation and Development’s Base Erosion and Profit Shifting recommendations, could affect the locations where we are deemed to earn income, which could in turn affect our results of operations. Each quarter we forecast our tax expense based on our forecast of our performance for the year. If that performance forecast changes, our forecasted tax expense will change.</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received and may in the future continue to receive government incentives, including but not limited to tax incentives, designed to encourage certain investments in our operations. We may be subject to increased scrutiny from government entities, shareholders and others on how these incentives are used and spent. Such incentives could be subject to reduction, modification, clawback or termination, and such changes to these incentives could adversely affect our results of operations, financial condition and reputation.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performance depends in part on our ability to enforce our intellectual property rights and to maintain freedom of operation.</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Access to worldwide markets depends in part on the continued strength of our intellectual property portfolio in all jurisdictions where we conduct business. There can be no assurance that, as our business evolves, we will obtain the necessary intellectual property rights, or that we will be able to independently develop the technology, software or know-how necessary to conduct our business or that we can do so without infringing the intellectual property rights of others. To the extent that we have to rely on technology from others for which a license is required, there can be no assurance that we will be able to obtain such a license at all or on terms we consider reasonable. We, directly and indirectly, face infringement claims from third parties, including nonpracticing entities that have acquired patents to pursue enforcement actions against other companies. We also face infringement claims where we or our customers make, use or sell products and where the intellectual property laws may be less established or less predictable. These assertions, whether or not of any merit, expose us to claims for damages and/or injunctions from third parties, as well as claims for indemnification by our customers in instances where we have a contractual or other legal obligation to indemnify them against damages resulting from infringement claims.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actively enforce and protect our own intellectual property rights. However, our efforts cannot prevent all misappropriation or improper use of our protected technology and information, including, for example, third parties’ use of our patented or copyrighted technology, our trade secrets, or unauthorized copying and cloning, in their products without the right to do so, or third parties’ sale of counterfeit products bearing our trademark. Activities such as those listed above may affect our reputation and impede our ability to sell our products. The laws of countries where we operate may not protect our intellectual property rights to the same extent as U.S.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related to our financing activities and 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our other risk factors, many of which are beyond our control. In addition, our obligation to make principal and interest payments could divert funds that otherwise might be invested in our operations or returned to shareholders, or could cause us to raise funds by, for example, issuing new debt or equity or selling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and liquidity could be affected by changes in the financial markets.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maintain bank accounts, a portfolio of investments, access to one or more revolving credit agreements and the ability to issue debt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impairments of our goodwill could adversely affect our results of operations.</w:t>
      </w:r>
    </w:p>
    <w:p>
      <w:pPr>
        <w:spacing w:after="0" w:line="225"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We have a significant amount of goodwill on our consolidated balance sheet. Charges associated with impairments of goodwill could adversely affect our financial condition and results of operations.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cybersecurity risk management is based on recognized cybersecurity industry frameworks and standards, including those of the National Institute of Standards and Technology, the Center for Internet Security Controls, and the International Organization for Standardization. We use these frameworks, together with information collected from internal assessments, to develop policies for use of our information assets (for example, TI business information and information resources such as mobile phones, computers and workstations), access to specific intellectual property or technologies, and protection of personal information. We protect these information assets through industry-standard techniques, such as multifactor authentication and malware defenses. We also work with internal stakeholders across the company to integrate foundational cybersecurity principles throughout our organization’s operations, including employment of multiple layers of cybersecurity defenses, restricted access based on business need, and integrity of our business information. Throughout the year, we also regularly train our employees on cybersecurity awareness, confidential information protection and simulated phishing attacks.</w:t>
      </w:r>
    </w:p>
    <w:p>
      <w:pPr>
        <w:spacing w:after="0" w:line="181"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We regularly engage third-party assessors to conduct penetration testing and measure our program to industry standard frameworks. We also have standing engagements with incident response experts and external counsel. We frequently collaborate with industry experts and cybersecurity practitioners at other companies to exchange information about potential cybersecurity threats, best practices and trends.</w:t>
      </w:r>
    </w:p>
    <w:p>
      <w:pPr>
        <w:spacing w:after="0" w:line="15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Our cybersecurity risk management extends to risks associated with our use of third-party service providers. For instance, we conduct risk and compliance assessments of third-party service providers that request access to our information assets.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20"/>
        <w:spacing w:after="0" w:line="259" w:lineRule="auto"/>
        <w:rPr>
          <w:sz w:val="20"/>
          <w:szCs w:val="20"/>
          <w:color w:val="auto"/>
        </w:rPr>
      </w:pPr>
      <w:r>
        <w:rPr>
          <w:rFonts w:ascii="Arial" w:cs="Arial" w:eastAsia="Arial" w:hAnsi="Arial"/>
          <w:sz w:val="18"/>
          <w:szCs w:val="18"/>
          <w:color w:val="auto"/>
        </w:rPr>
        <w:t>Our cybersecurity risk management is an important part of our comprehensive business continuity program and enterprise risk management. Our global information security team periodically engages with a cross-functional group of subject matter experts and leaders to assess and refine our cybersecurity risk posture and preparedness. For example, we regularly evaluate and update contingency strategies for our business in the event that a portion of our information resources were to be unavailable due to a cybersecurity incident. We practice our response to potential cybersecurity incidents through regular tabletop exercises, threat hunting and red team exercises.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cybersecurity risks, see the Risk factors discussion in Item 1A of this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of cybersecurity risk management</w:t>
      </w:r>
    </w:p>
    <w:p>
      <w:pPr>
        <w:spacing w:after="0" w:line="22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board of directors, as a whole, has oversight responsibility for our strategic and operational risks. The audit committee assists the board of directors with this responsibility by reviewing and discussing our risk assessment and risk management practices, including cybersecurity risks, with members of management. The audit committee, in turn, periodically reports on its review with the board of directors.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is responsible for day-to-day assessment and management of cybersecurity risks. Our chief information officer has primary oversight of material risks from cybersecurity threats. Our chief information officer is the senior vice president responsible for the Information Technology Solutions (ITS) organization and for information protection. Our chief information officer has more than 25 years of experience across various engineering, business and management roles, including serving as the vice president of the design and manufacturing ITS organization, leading the development and implementation of information technology strategies and roadmaps for manufacturing automation.</w:t>
      </w:r>
    </w:p>
    <w:p>
      <w:pPr>
        <w:spacing w:after="0" w:line="17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chief information security officer reports to our chief information officer. Our chief information security officer has more than 15 years of experience working in information technology-related roles, a degree in Information Technology, and Global Information Assurance Certifications in Security Essentials (GSEC) as an Intrusion Analyst (GCIA) and as a Penetration Tester (GPEN).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chief information officer and chief information security officer assess our cybersecurity readiness through internal assessment tools as well as third-party control tests, vulnerability assessments, audits and evaluation against industry standards. We have governance and compliance structures that are designed to elevate issues relating to cybersecurity to our chief information officer and chief information security officer, such as potential threats or vulnerabilities. We also employ various defensive and continuous monitoring techniques using recognized industry frameworks and cybersecurity standards.</w:t>
      </w:r>
    </w:p>
    <w:p>
      <w:pPr>
        <w:spacing w:after="0" w:line="17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Our chief information officer meets with the audit committee periodically to review our information technology systems and discuss key cybersecurity risks. In addition, the chief financial officer reviews with the audit committee at least annually our global enterprise risk management program, which includes cybersecurity risks, and is also reported to the board.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tbl>
      <w:tblPr>
        <w:tblLayout w:type="fixed"/>
        <w:tblInd w:w="0" w:type="dxa"/>
        <w:tblCellMar>
          <w:top w:w="0" w:type="dxa"/>
          <w:left w:w="0" w:type="dxa"/>
          <w:bottom w:w="0" w:type="dxa"/>
          <w:right w:w="0" w:type="dxa"/>
        </w:tblCellMar>
      </w:tblPr>
      <w:tr>
        <w:trPr>
          <w:trHeight w:val="153"/>
        </w:trPr>
        <w:tc>
          <w:tcPr>
            <w:tcW w:w="8700" w:type="dxa"/>
            <w:vAlign w:val="bottom"/>
          </w:tcPr>
          <w:p>
            <w:pPr>
              <w:spacing w:after="0"/>
              <w:rPr>
                <w:sz w:val="13"/>
                <w:szCs w:val="13"/>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Analog</w:t>
            </w: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Embedded</w:t>
            </w:r>
          </w:p>
        </w:tc>
        <w:tc>
          <w:tcPr>
            <w:tcW w:w="0" w:type="dxa"/>
            <w:vAlign w:val="bottom"/>
          </w:tcPr>
          <w:p>
            <w:pPr>
              <w:spacing w:after="0"/>
              <w:rPr>
                <w:sz w:val="1"/>
                <w:szCs w:val="1"/>
                <w:color w:val="auto"/>
              </w:rPr>
            </w:pPr>
          </w:p>
        </w:tc>
      </w:tr>
      <w:tr>
        <w:trPr>
          <w:trHeight w:val="185"/>
        </w:trPr>
        <w:tc>
          <w:tcPr>
            <w:tcW w:w="87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Processing</w:t>
            </w:r>
          </w:p>
        </w:tc>
        <w:tc>
          <w:tcPr>
            <w:tcW w:w="0" w:type="dxa"/>
            <w:vAlign w:val="bottom"/>
          </w:tcPr>
          <w:p>
            <w:pPr>
              <w:spacing w:after="0"/>
              <w:rPr>
                <w:sz w:val="1"/>
                <w:szCs w:val="1"/>
                <w:color w:val="auto"/>
              </w:rPr>
            </w:pPr>
          </w:p>
        </w:tc>
      </w:tr>
      <w:tr>
        <w:trPr>
          <w:trHeight w:val="223"/>
        </w:trPr>
        <w:tc>
          <w:tcPr>
            <w:tcW w:w="8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North Texas (Dallas, Richardson and Sherman)</w:t>
            </w:r>
          </w:p>
        </w:tc>
        <w:tc>
          <w:tcPr>
            <w:tcW w:w="12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top w:val="single" w:sz="8" w:color="DBDBDB"/>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Lehi, Utah</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 Portland, Maine</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Santa Clara, California</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Houston, Texas</w:t>
            </w:r>
          </w:p>
        </w:tc>
        <w:tc>
          <w:tcPr>
            <w:tcW w:w="1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Tucson, Arizona</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Chengdu, China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Shanghai, China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Freising, Germany</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Bangalore, India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Aizu, Japan</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Miho, Japan</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Kuala Lumpur, Malaysia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Melaka, Malaysia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Aguascalientes, Mexico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Baguio, Philippines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Pampanga (Clark), Philippines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8700" w:type="dxa"/>
            <w:vAlign w:val="bottom"/>
          </w:tcPr>
          <w:p>
            <w:pPr>
              <w:ind w:left="20"/>
              <w:spacing w:after="0"/>
              <w:rPr>
                <w:sz w:val="20"/>
                <w:szCs w:val="20"/>
                <w:color w:val="auto"/>
              </w:rPr>
            </w:pPr>
            <w:r>
              <w:rPr>
                <w:rFonts w:ascii="Arial" w:cs="Arial" w:eastAsia="Arial" w:hAnsi="Arial"/>
                <w:sz w:val="18"/>
                <w:szCs w:val="18"/>
                <w:color w:val="auto"/>
              </w:rPr>
              <w:t>Taipei, Taiwan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4760" w:firstLine="8"/>
        <w:spacing w:after="0" w:line="412" w:lineRule="auto"/>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Portions of the facilities are leased and owned. This may include land leases. ** Leased.</w:t>
      </w:r>
    </w:p>
    <w:p>
      <w:pPr>
        <w:spacing w:after="0" w:line="4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Our facilities in the United States contained approximately 16.1 million square feet at December 31, 2023, of which approximately 0.4 million square feet were leased. Our facilities outside the United States contained approximately 12.7 million square feet at December 31, 2023, of which approximately 2.4 million square feet were leased.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2023, we occupied substantially all of the space in our facilities.</w:t>
      </w:r>
    </w:p>
    <w:p>
      <w:pPr>
        <w:spacing w:after="0" w:line="22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five years. We believe our current properties are suitable and adequate for their intended purpose.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TI common stock is quoted on The Nasdaq Global Select Market under the ticker symbol TXN. At December 31, 2023, we had 11,261 stockholders of record.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fourth quarter of 2023.</w:t>
      </w:r>
    </w:p>
    <w:p>
      <w:pPr>
        <w:sectPr>
          <w:pgSz w:w="11900" w:h="16838" w:orient="portrait"/>
          <w:cols w:equalWidth="0" w:num="1">
            <w:col w:w="11200"/>
          </w:cols>
          <w:pgMar w:left="320" w:top="1201" w:right="37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Period</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1, 2023 through October 31, 2023</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2023 through November 30,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 2023 through December 31, 2023</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5"/>
                <w:szCs w:val="15"/>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Approximate Dollar Value</w:t>
            </w:r>
          </w:p>
        </w:tc>
      </w:tr>
      <w:tr>
        <w:trPr>
          <w:trHeight w:val="176"/>
        </w:trPr>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20" w:type="dxa"/>
            <w:vAlign w:val="bottom"/>
          </w:tcPr>
          <w:p>
            <w:pPr>
              <w:spacing w:after="0"/>
              <w:rPr>
                <w:sz w:val="15"/>
                <w:szCs w:val="15"/>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of Shares that May Yet Be</w:t>
            </w:r>
          </w:p>
        </w:tc>
      </w:tr>
      <w:tr>
        <w:trPr>
          <w:trHeight w:val="185"/>
        </w:trPr>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20" w:type="dxa"/>
            <w:vAlign w:val="bottom"/>
          </w:tcPr>
          <w:p>
            <w:pPr>
              <w:spacing w:after="0"/>
              <w:rPr>
                <w:sz w:val="16"/>
                <w:szCs w:val="16"/>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Purchased Under the Plans</w:t>
            </w:r>
          </w:p>
        </w:tc>
      </w:tr>
      <w:tr>
        <w:trPr>
          <w:trHeight w:val="189"/>
        </w:trPr>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Purchased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Plans or Programs (a)</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or Programs (a)</w:t>
            </w:r>
          </w:p>
        </w:tc>
      </w:tr>
      <w:tr>
        <w:trPr>
          <w:trHeight w:val="218"/>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329,147</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149.62</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399"/>
              <w:spacing w:after="0"/>
              <w:rPr>
                <w:sz w:val="20"/>
                <w:szCs w:val="20"/>
                <w:color w:val="auto"/>
              </w:rPr>
            </w:pPr>
            <w:r>
              <w:rPr>
                <w:rFonts w:ascii="Arial" w:cs="Arial" w:eastAsia="Arial" w:hAnsi="Arial"/>
                <w:sz w:val="18"/>
                <w:szCs w:val="18"/>
                <w:color w:val="auto"/>
              </w:rPr>
              <w:t>318,738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billion</w:t>
            </w: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76,200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399"/>
              <w:spacing w:after="0"/>
              <w:rPr>
                <w:sz w:val="20"/>
                <w:szCs w:val="20"/>
                <w:color w:val="auto"/>
              </w:rPr>
            </w:pPr>
            <w:r>
              <w:rPr>
                <w:rFonts w:ascii="Arial" w:cs="Arial" w:eastAsia="Arial" w:hAnsi="Arial"/>
                <w:sz w:val="18"/>
                <w:szCs w:val="18"/>
                <w:color w:val="auto"/>
              </w:rPr>
              <w:t>76,200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21.20</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w:t>
            </w:r>
          </w:p>
        </w:tc>
      </w:tr>
      <w:tr>
        <w:trPr>
          <w:trHeight w:val="235"/>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17,652</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rPr>
              <w:t>17,652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21.20</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w:t>
            </w:r>
          </w:p>
        </w:tc>
      </w:tr>
      <w:tr>
        <w:trPr>
          <w:trHeight w:val="223"/>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422,999</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149.67</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(b)</w:t>
            </w:r>
          </w:p>
        </w:tc>
        <w:tc>
          <w:tcPr>
            <w:tcW w:w="170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rPr>
              <w:t>412,590</w:t>
            </w:r>
          </w:p>
        </w:tc>
        <w:tc>
          <w:tcPr>
            <w:tcW w:w="36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21.20</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 (c)</w:t>
            </w: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-334010</wp:posOffset>
            </wp:positionV>
            <wp:extent cx="71062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-633730</wp:posOffset>
            </wp:positionV>
            <wp:extent cx="710628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440"/>
            <w:col w:w="6960"/>
          </w:cols>
          <w:pgMar w:left="320" w:top="1201" w:right="379" w:bottom="1440" w:gutter="0" w:footer="0" w:header="0"/>
          <w:type w:val="continuous"/>
        </w:sectPr>
      </w:pPr>
    </w:p>
    <w:p>
      <w:pPr>
        <w:spacing w:after="0" w:line="92" w:lineRule="exact"/>
        <w:rPr>
          <w:sz w:val="20"/>
          <w:szCs w:val="20"/>
          <w:color w:val="auto"/>
        </w:rPr>
      </w:pPr>
    </w:p>
    <w:p>
      <w:pPr>
        <w:ind w:left="500" w:right="80" w:hanging="492"/>
        <w:spacing w:after="0" w:line="268" w:lineRule="auto"/>
        <w:tabs>
          <w:tab w:leader="none" w:pos="49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62" w:lineRule="exact"/>
        <w:rPr>
          <w:rFonts w:ascii="Arial" w:cs="Arial" w:eastAsia="Arial" w:hAnsi="Arial"/>
          <w:sz w:val="18"/>
          <w:szCs w:val="18"/>
          <w:color w:val="auto"/>
        </w:rPr>
      </w:pPr>
    </w:p>
    <w:p>
      <w:pPr>
        <w:ind w:left="500" w:right="480" w:hanging="492"/>
        <w:spacing w:after="0" w:line="287" w:lineRule="auto"/>
        <w:tabs>
          <w:tab w:leader="none" w:pos="49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open-market purchases, 10,409 shares of common stock were surrendered by employees to satisfy tax withholding obligations in connection with the vesting of restricted stock units.</w:t>
      </w:r>
    </w:p>
    <w:p>
      <w:pPr>
        <w:spacing w:after="0" w:line="44" w:lineRule="exact"/>
        <w:rPr>
          <w:rFonts w:ascii="Arial" w:cs="Arial" w:eastAsia="Arial" w:hAnsi="Arial"/>
          <w:sz w:val="18"/>
          <w:szCs w:val="18"/>
          <w:color w:val="auto"/>
        </w:rPr>
      </w:pPr>
    </w:p>
    <w:p>
      <w:pPr>
        <w:ind w:left="500" w:right="260" w:hanging="492"/>
        <w:spacing w:after="0" w:line="287" w:lineRule="auto"/>
        <w:tabs>
          <w:tab w:leader="none" w:pos="494"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December 31, 2023, this amount consisted of the remaining portion of the $12.0 billion authorized in September 2018 and the $15.0 billion authorized in September 2022. No expiration date has been specified for these authorizations.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left="660" w:right="120" w:hanging="328"/>
        <w:spacing w:after="0" w:line="287"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060" w:hanging="404"/>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980" w:right="240" w:hanging="324"/>
        <w:spacing w:after="0" w:line="287" w:lineRule="auto"/>
        <w:tabs>
          <w:tab w:leader="none" w:pos="1066" w:val="left"/>
        </w:tabs>
        <w:numPr>
          <w:ilvl w:val="1"/>
          <w:numId w:val="6"/>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ind w:left="980" w:right="640" w:hanging="324"/>
        <w:spacing w:after="0" w:line="287" w:lineRule="auto"/>
        <w:tabs>
          <w:tab w:leader="none" w:pos="1063"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44" w:lineRule="exact"/>
        <w:rPr>
          <w:rFonts w:ascii="Arial" w:cs="Arial" w:eastAsia="Arial" w:hAnsi="Arial"/>
          <w:sz w:val="18"/>
          <w:szCs w:val="18"/>
          <w:color w:val="auto"/>
        </w:rPr>
      </w:pPr>
    </w:p>
    <w:p>
      <w:pPr>
        <w:ind w:left="980" w:right="200" w:hanging="324"/>
        <w:spacing w:after="0" w:line="287" w:lineRule="auto"/>
        <w:tabs>
          <w:tab w:leader="none" w:pos="1076" w:val="left"/>
        </w:tabs>
        <w:numPr>
          <w:ilvl w:val="1"/>
          <w:numId w:val="6"/>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640" w:hanging="328"/>
        <w:spacing w:after="0" w:line="287"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60" w:right="8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980" w:right="560" w:hanging="324"/>
        <w:spacing w:after="0" w:line="287" w:lineRule="auto"/>
        <w:tabs>
          <w:tab w:leader="none" w:pos="976" w:val="left"/>
        </w:tabs>
        <w:numPr>
          <w:ilvl w:val="1"/>
          <w:numId w:val="8"/>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980" w:right="140" w:hanging="324"/>
        <w:spacing w:after="0" w:line="287" w:lineRule="auto"/>
        <w:tabs>
          <w:tab w:leader="none" w:pos="976" w:val="left"/>
        </w:tabs>
        <w:numPr>
          <w:ilvl w:val="1"/>
          <w:numId w:val="8"/>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980" w:right="240" w:hanging="324"/>
        <w:spacing w:after="0" w:line="287" w:lineRule="auto"/>
        <w:tabs>
          <w:tab w:leader="none" w:pos="976" w:val="left"/>
        </w:tabs>
        <w:numPr>
          <w:ilvl w:val="1"/>
          <w:numId w:val="8"/>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left="980" w:right="40" w:hanging="324"/>
        <w:spacing w:after="0" w:line="262"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results of operations provides details of our financial results for 2023 and 2022 and year-to-year comparisons between 2023 and 2022. Discussion of 2021 items and year-to-year comparisons between 2022 and 2021 that are not included in this Form 10-K can be found in “Management’s discussion and analysis of financial condition and results of operations” in Part II, Item 7 of the Company’s Annual Report on Form 10-K for the year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strategic focus is on analog and embedded processing products. We sell our products into six end markets: industrial, automotive, personal electronics, communications equipment, enterprise systems and other. While all of these end markets represent good opportunities, we place additional strategic emphasis on designing and selling our products into the industrial and automotive markets, which we believe represent the best long-term growth opportunities.</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focus on analog and embedded processing allows us to generate strong cash flow from operations. Our cash flow from operations of $6.42 billion underscored the strength of our business model, the quality of our product portfolio and the benefit of 300mm production. Free cash flow was $ 1.35 billion and represented 7.7% of revenue. During 2023, we invested $3.69 billion in R&amp;D and SG&amp;A, invested $5.07 billion in capital expenditures and returned $4.85 billion to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2023 compared with 2022</w:t>
      </w:r>
    </w:p>
    <w:p>
      <w:pPr>
        <w:spacing w:after="0" w:line="2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Revenue of $17.52 billion decreased $2.51 billion, or 12.5%, primarily due to lower revenue from Analog, partially offset by higher revenue from Embedded Processing.</w:t>
      </w:r>
    </w:p>
    <w:p>
      <w:pPr>
        <w:spacing w:after="0" w:line="15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Gross profit of $11.02 billion was down $2.75 billion, or 20.0%, primarily due to lower revenue and, to a lesser extent, higher manufacturing costs associated with planned capacity expansion and reduced factory loadings. As a percentage of revenue, gross profit decreased to 62.9% from 68.8%.</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Operating expenses (R&amp;D and SG&amp;A) were $3.69 billion compared with $3.37 billion. This increase was primarily due to higher employee-related costs as we invest to strengthen our competitive advantages.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in the year-ago period was $257 million due to preproduction costs at our Lehi, Utah, manufacturing facility.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costs transitioned primarily to cost of revenue after production began in December 2022. See Note 11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$7.33 billion, or 41.8% of revenue, compared with $10.14 billion, or 50.6% of revenue.</w:t>
      </w:r>
    </w:p>
    <w:p>
      <w:pPr>
        <w:spacing w:after="0" w:line="2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Other income and expense (OI&amp;E) was $440 million of income compared with $106 million of income, due to higher interest income. See Note 11 to the financial statements.</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Interest and debt expense of $353 million increased $139 million due to the issuance of additional long-term debt. See Note 8 to the financial statements.</w:t>
      </w:r>
    </w:p>
    <w:p>
      <w:pPr>
        <w:spacing w:after="0" w:line="15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provision for income taxes was $ 908 million compared with $1.28 billion. This decrease was due to lower income before income taxes. Our effective tax rate, which includes discrete tax items, was 12.2% in 2023 compared with 12.8% in 2022. See Note 4 to the financial statements for a reconciliation of the U.S. statutory corporate tax rate to our effective tax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$6.51 billion compared with $8.75 billion. EPS was $7.07 compared with $9.41.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Segment results – 2023 compared with 2022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6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13,040</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15,359</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5,821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8,359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44.6 %</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54.4 %</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Analog revenue decreased in both product lines about equally. Operating profit decreased primarily due to lower revenue and higher manufacturing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3,368</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1,008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29.9 %</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38.4 %</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color w:val="auto"/>
        </w:rPr>
        <w:t>Embedded Processing revenue increased due to the mix of products shipped. Operating profit decreased primarily due to higher manufacturing costs, partially offset by higher revenue.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1,111</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1,408</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30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45.2 %</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37.5 %</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Includes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$297 million, and operating profit decreased $26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At the end of 2023, total cash (cash and cash equivalents plus short-term investments) was $8.58 billion, a decrease of $492 million from the end of 2022.</w:t>
      </w:r>
    </w:p>
    <w:p>
      <w:pPr>
        <w:spacing w:after="0" w:line="15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Accounts receivable were $1.79 billion, a decrease of $108 million compared with the end of 2022. Days sales outstanding at the end of 2023 were 39 compared with 37 at the end of 2022.</w:t>
      </w:r>
    </w:p>
    <w:p>
      <w:pPr>
        <w:spacing w:after="0" w:line="15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Inventory was $4.00 billion, an increase of $1.24 billion from the end of 2022. Days of inventory at the end of 2023 were 219 compared with 157 at the end of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access to debt markets. We also have a variable-rate, revolving credit facility. As of December 31, 2023, our credit facility was undrawn, and we had no commercial paper outstanding. Cash flows from operating activities for 2023 were $6.42 billion, a decrease of $2.30 billion due to lower net income and higher cash used for working capital, as we continued to strategically build inventory.</w:t>
      </w:r>
    </w:p>
    <w:p>
      <w:pPr>
        <w:spacing w:after="0" w:line="176"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Investing activities for 2023 used $4.36 billion compared with $3.58 billion in 2022. Capital expenditures were $5.07 billion compared with $2.80 billion in 2022 and were primarily for semiconductor manufacturing equipment and facilities in both periods. Short-term investments provided cash proceeds of $682 million in 2023 compared with $826 million of cash used in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0" w:name="page21"/>
    <w:bookmarkEnd w:id="20"/>
    <w:p>
      <w:pPr>
        <w:ind w:right="20"/>
        <w:spacing w:after="0" w:line="257" w:lineRule="auto"/>
        <w:rPr>
          <w:sz w:val="20"/>
          <w:szCs w:val="20"/>
          <w:color w:val="auto"/>
        </w:rPr>
      </w:pPr>
      <w:r>
        <w:rPr>
          <w:rFonts w:ascii="Arial" w:cs="Arial" w:eastAsia="Arial" w:hAnsi="Arial"/>
          <w:sz w:val="18"/>
          <w:szCs w:val="18"/>
          <w:color w:val="auto"/>
        </w:rPr>
        <w:t>As we continue to invest to strengthen our competitive advantage in manufacturing and technology as part of our long-term capacity planning, our capital expenditures are expected to continue to be higher than historical levels. In August 2022, the U.S. government enacted the U.S. CHIPS and Science Act, which provides funding for manufacturing grants and research investments and establishes a 25% investment tax credit for certain investments in U.S. semiconductor manufacturing. We expect to receive the cash benefit associated with the investment tax credit for qualifying capital expenditures in future periods, and we have submitted applications for the manufacturing grants provided by the legislation. See Note 11 to the financial statements.</w:t>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Financing activities for 2023 used $2.14 billion compared with $6.72 billion in 2022. In 2023, we received net proceeds of $3.00 billion from the issuance of fixed-rate, long-term debt and retired maturing debt of $500 million. In 2022, we received net proceeds of $1.49 billion from the issuance of fixed-rate, long-term debt and retired maturing debt of $500 million. Dividends paid in 2023 were $ 4.56 billion compared with $4.30 billion in 2022, reflecting an increased dividend rate. We used $293 million to repurchase 1.8 million shares of our common stock compared with $3.62 billion used in 2022 to repurchase 22.2 million shares. Employee exercises of stock options provided cash proceeds of $263 million compared with $241 million in 2022.</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had $2.96 billion of cash and cash equivalents and $5.61 billion of short-term investments as of December 31, 2023. We believe we have the necessary financial resources and operating plans to fund our working capital needs, capital expenditures, dividend and debt-related payments and other business requirements for at least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For Years Ended December 31,</w:t>
            </w:r>
          </w:p>
        </w:tc>
      </w:tr>
      <w:tr>
        <w:trPr>
          <w:trHeight w:val="196"/>
        </w:trPr>
        <w:tc>
          <w:tcPr>
            <w:tcW w:w="80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24"/>
        </w:trPr>
        <w:tc>
          <w:tcPr>
            <w:tcW w:w="8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6,420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8,720</w:t>
            </w:r>
          </w:p>
        </w:tc>
      </w:tr>
      <w:tr>
        <w:trPr>
          <w:trHeight w:val="230"/>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(5,071)</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(2,797)</w:t>
            </w:r>
          </w:p>
        </w:tc>
      </w:tr>
      <w:tr>
        <w:trPr>
          <w:trHeight w:val="248"/>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1,349</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color w:val="auto"/>
              </w:rPr>
              <w:t>5,923</w:t>
            </w: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8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5"/>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17,519</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color w:val="auto"/>
              </w:rPr>
              <w:t>20,028</w:t>
            </w: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8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8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36.6 %</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43.5 %</w:t>
            </w:r>
          </w:p>
        </w:tc>
      </w:tr>
      <w:tr>
        <w:trPr>
          <w:trHeight w:val="247"/>
        </w:trPr>
        <w:tc>
          <w:tcPr>
            <w:tcW w:w="808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29.6 %</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accounting policies are more fully described in Note 2 of the consolidated financial statements. As disclosed in Note 2, the preparation of consolidated financial statements in conformity with U.S. GAAP requires management to make estimates and assumptions about future events that affect the amounts reported in the financial statements and accompanying notes. Management believes it is unlikely that applying other estimates and assumptions would have a material impact on the financial statements. We consider the following accounting policies to be those that are most important to the portrayal of our financial condition and that require a higher degree of judgment.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interpretation and application of complex tax laws, and significant judgment is necessary to (i) determine whether, based on the technical merits, a tax position is more likely than not to be sustained and (ii) measure the amount of tax benefit that qualifies for recognition. We recognize potential liabilities for anticipated tax audit issues in the United States and other tax jurisdictions based on an estimate of the ultimate resolution of whether, and the extent to which, additional taxes will be due. Although we believe the estimates are reasonable, no assurance can be given that the final outcome of these matters will not be different from what is reflected in the historical income tax provisions and accruals.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Inventory is valued net of allowances for unsalable or obsolete raw materials, work in process and finished goods. Statistical allowances are determined quarterly for raw materials and work in process based on historical disposals of inventory for salability and obsolescence reasons. For finished goods, quarterly statistical allowances are determined by comparing inventory levels of individual parts to historical shipments, current backlog and estimated future sales in order to identify inventory considered unlikely to be sold. A specific allowance for each material type will be carried if there is a significant event not captured by the statistical allowance, such as an end-of-life part or demand with imminent risk of cancellation. Allowances are also calculated quarterly for instances where inventoried costs for individual products are in excess of the net realizable value for those products.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the financial statements for a discussion of our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U.S. dollar is our functional currency for financial reporting. Our non-U.S. entities own assets or liabilities denominated in U.S. dollars or other currencies, and exchange rate fluctuations in those jurisdictions may impact our effective tax rate.</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balance sheet also reflects amounts remeasured from non-U.S. dollar currencies. Because most of the aggregate non-U.S. dollar balance sheet exposure is hedged by forward currency exchange contracts, which are based on year-end 2023 balances and currency exchange rates, a hypothetical 10% plus or minus fluctuation in non-U.S. currency exchange rates relative to the U.S. dollar would result in a pretax currency exchange gain or loss of approximately $4 million.</w:t>
      </w:r>
    </w:p>
    <w:p>
      <w:pPr>
        <w:spacing w:after="0" w:line="17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use these forward currency exchange contracts to reduce the earnings impact that exchange rate fluctuations may have on our non-U.S. dollar net balance sheet exposures. As of December 31, 2023, we had forward currency exchange contracts outstanding with a notional value of $328 million to hedge net balance sheet exposures (including $102 million to sell Japanese yen, $77 million to sell British pounds and $58 million to buy Chinese yuan). Similar hedging activities existed at year-end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the following potential exposure to changes in interest rates: (i) the effect of changes in interest rates on the fair value of our investments in cash equivalents and short-term investments, which could produce a gain or a loss; and (ii) the effect of changes in interest rates on the fair value of our debt.</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December 31, 2023, a hypothetical 100 basis point increase in interest rates would decrease the fair value of our investments in cash equivalents and short-term investments by about $22 million and decrease the fair value of our long-term debt by $891 million. Because interest rates on our long-term debt are fixed, changes in interest rates would not affect the cash flows associated with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at year-end 2023 include the following:</w:t>
      </w:r>
    </w:p>
    <w:p>
      <w:pPr>
        <w:spacing w:after="0" w:line="225" w:lineRule="exact"/>
        <w:rPr>
          <w:sz w:val="20"/>
          <w:szCs w:val="20"/>
          <w:color w:val="auto"/>
        </w:rPr>
      </w:pPr>
    </w:p>
    <w:p>
      <w:pPr>
        <w:ind w:left="660" w:right="2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mutual funds </w:t>
      </w:r>
      <w:r>
        <w:rPr>
          <w:rFonts w:ascii="Arial" w:cs="Arial" w:eastAsia="Arial" w:hAnsi="Arial"/>
          <w:sz w:val="18"/>
          <w:szCs w:val="18"/>
          <w:color w:val="auto"/>
        </w:rPr>
        <w:t>– includes mutual funds that were selected to generate returns that offset changes in certain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deferred compensation arrangements. The mutual funds hold a variety of debt and equity investments.</w:t>
      </w:r>
    </w:p>
    <w:p>
      <w:pPr>
        <w:spacing w:after="0" w:line="44"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venture capital funds </w:t>
      </w:r>
      <w:r>
        <w:rPr>
          <w:rFonts w:ascii="Arial" w:cs="Arial" w:eastAsia="Arial" w:hAnsi="Arial"/>
          <w:sz w:val="18"/>
          <w:szCs w:val="18"/>
          <w:color w:val="auto"/>
        </w:rPr>
        <w:t>– includes investments in limited partnerships (accounted for under either the equity method or</w:t>
      </w:r>
      <w:r>
        <w:rPr>
          <w:rFonts w:ascii="Arial" w:cs="Arial" w:eastAsia="Arial" w:hAnsi="Arial"/>
          <w:sz w:val="18"/>
          <w:szCs w:val="18"/>
          <w:i w:val="1"/>
          <w:iCs w:val="1"/>
          <w:color w:val="auto"/>
        </w:rPr>
        <w:t xml:space="preserve"> </w:t>
      </w:r>
      <w:r>
        <w:rPr>
          <w:rFonts w:ascii="Arial" w:cs="Arial" w:eastAsia="Arial" w:hAnsi="Arial"/>
          <w:sz w:val="18"/>
          <w:szCs w:val="18"/>
          <w:color w:val="auto"/>
        </w:rPr>
        <w:t>at cost with adjustments to observable market changes or impairments).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 includes nonmarketable (nonpublicly traded) equity securities.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certain deferred compensation liabilities. Nonmarketable equity securities and certain venture capital funds are stated at cost minus impairment, if any, plus or minus changes resulting from qualifying observable price changes. Investments in the remaining venture capital funds are stated using the equity method. See Note 6 to the financial statements for details of equity and other long-term investments.</w:t>
      </w:r>
    </w:p>
    <w:p>
      <w:pPr>
        <w:spacing w:after="0" w:line="17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also utilize total return swaps to economically hedge exposure to changes in liabilities related to the market risks of certain deferred compensation arrangements with employees. Gains or losses from changes in the fair value of these total return swaps generally offset the related losses or gains on the deferred compensation liabilities.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List of financial statements: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for each of the three years in the period ended December 31,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Comprehensive income for each of the three years in the period ended December 31,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 sheets as of December 31, 2023 and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flows for each of the three years in the period ended December 31,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Stockholders’ equity for each of the three years in the period ended December 31,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 (PCAOB ID: 42).</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01" w:right="5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6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23"/>
                <w:szCs w:val="23"/>
                <w:color w:val="auto"/>
              </w:rPr>
            </w:pPr>
          </w:p>
        </w:tc>
      </w:tr>
      <w:tr>
        <w:trPr>
          <w:trHeight w:val="195"/>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224"/>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17,519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20,028</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18,344</w:t>
            </w:r>
          </w:p>
        </w:tc>
      </w:tr>
      <w:tr>
        <w:trPr>
          <w:trHeight w:val="230"/>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6,500</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5,968</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11,019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13,771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12,376</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1,554</w:t>
            </w:r>
          </w:p>
        </w:tc>
      </w:tr>
      <w:tr>
        <w:trPr>
          <w:trHeight w:val="229"/>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1,825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1,666</w:t>
            </w: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Acquisition charges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Restructuring charges/other</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7,331</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10,140</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8,960</w:t>
            </w: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7,418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10,032</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8,919</w:t>
            </w:r>
          </w:p>
        </w:tc>
      </w:tr>
      <w:tr>
        <w:trPr>
          <w:trHeight w:val="229"/>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r>
      <w:tr>
        <w:trPr>
          <w:trHeight w:val="248"/>
        </w:trPr>
        <w:tc>
          <w:tcPr>
            <w:tcW w:w="73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6,510</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8,749</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7,769</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Earnings per common share (EPS):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r>
      <w:tr>
        <w:trPr>
          <w:trHeight w:val="20"/>
        </w:trPr>
        <w:tc>
          <w:tcPr>
            <w:tcW w:w="72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8"/>
        </w:trPr>
        <w:tc>
          <w:tcPr>
            <w:tcW w:w="73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7.07</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8.26</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r>
      <w:tr>
        <w:trPr>
          <w:trHeight w:val="20"/>
        </w:trPr>
        <w:tc>
          <w:tcPr>
            <w:tcW w:w="72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8"/>
        </w:trPr>
        <w:tc>
          <w:tcPr>
            <w:tcW w:w="73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916</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936</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0" w:right="78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6,510</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8,749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7,769</w:t>
            </w:r>
          </w:p>
        </w:tc>
      </w:tr>
      <w:tr>
        <w:trPr>
          <w:trHeight w:val="229"/>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6,477</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8,710</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7,736</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6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23"/>
                <w:szCs w:val="23"/>
                <w:color w:val="auto"/>
              </w:rPr>
            </w:pPr>
          </w:p>
        </w:tc>
      </w:tr>
      <w:tr>
        <w:trPr>
          <w:trHeight w:val="195"/>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24"/>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6,510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8,749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7,769</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($9), $48 and ($56)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($5), ($17) and ($8)</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Prior service cost (credit) of defined benefit plans: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$0, $0 and $0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 in fair value, net of tax effect of $0, $0 and $0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Unrealized gains (losses), net of tax effect of ($1), $1 and $0</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6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48"/>
        </w:trPr>
        <w:tc>
          <w:tcPr>
            <w:tcW w:w="73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6,559</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8,652</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7,972</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67"/>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3"/>
                <w:szCs w:val="23"/>
                <w:color w:val="auto"/>
              </w:rPr>
            </w:pPr>
          </w:p>
        </w:tc>
      </w:tr>
      <w:tr>
        <w:trPr>
          <w:trHeight w:val="195"/>
        </w:trPr>
        <w:tc>
          <w:tcPr>
            <w:tcW w:w="86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2022</w:t>
            </w:r>
          </w:p>
        </w:tc>
      </w:tr>
      <w:tr>
        <w:trPr>
          <w:trHeight w:val="21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2,964</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3,050</w:t>
            </w:r>
          </w:p>
        </w:tc>
      </w:tr>
      <w:tr>
        <w:trPr>
          <w:trHeight w:val="22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5,611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6,017</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($16) and ($13)</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1,787</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1,895</w:t>
            </w:r>
          </w:p>
        </w:tc>
      </w:tr>
      <w:tr>
        <w:trPr>
          <w:trHeight w:val="229"/>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29"/>
        </w:trPr>
        <w:tc>
          <w:tcPr>
            <w:tcW w:w="868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2,109</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1,546</w:t>
            </w:r>
          </w:p>
        </w:tc>
      </w:tr>
      <w:tr>
        <w:trPr>
          <w:trHeight w:val="230"/>
        </w:trPr>
        <w:tc>
          <w:tcPr>
            <w:tcW w:w="868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1,470</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r>
      <w:tr>
        <w:trPr>
          <w:trHeight w:val="223"/>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3,999</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2,757</w:t>
            </w:r>
          </w:p>
        </w:tc>
      </w:tr>
      <w:tr>
        <w:trPr>
          <w:trHeight w:val="230"/>
        </w:trPr>
        <w:tc>
          <w:tcPr>
            <w:tcW w:w="8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761</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15,122</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14,021</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13,268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9,950</w:t>
            </w:r>
          </w:p>
        </w:tc>
      </w:tr>
      <w:tr>
        <w:trPr>
          <w:trHeight w:val="229"/>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(3,269)</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(3,074)</w:t>
            </w: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9,999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6,876</w:t>
            </w:r>
          </w:p>
        </w:tc>
      </w:tr>
      <w:tr>
        <w:trPr>
          <w:trHeight w:val="229"/>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29"/>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223</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1,712</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1,135</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32,348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27,207</w:t>
            </w:r>
          </w:p>
        </w:tc>
      </w:tr>
      <w:tr>
        <w:trPr>
          <w:trHeight w:val="20"/>
        </w:trPr>
        <w:tc>
          <w:tcPr>
            <w:tcW w:w="85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85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599</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802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851</w:t>
            </w: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29"/>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8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23"/>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3,320</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2,985</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10,624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8,235</w:t>
            </w:r>
          </w:p>
        </w:tc>
      </w:tr>
      <w:tr>
        <w:trPr>
          <w:trHeight w:val="229"/>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1,336</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1,226</w:t>
            </w:r>
          </w:p>
        </w:tc>
      </w:tr>
      <w:tr>
        <w:trPr>
          <w:trHeight w:val="223"/>
        </w:trPr>
        <w:tc>
          <w:tcPr>
            <w:tcW w:w="86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15,451</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12,630</w:t>
            </w:r>
          </w:p>
        </w:tc>
      </w:tr>
      <w:tr>
        <w:trPr>
          <w:trHeight w:val="21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2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2,951</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52,283</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50,353</w:t>
            </w:r>
          </w:p>
        </w:tc>
      </w:tr>
      <w:tr>
        <w:trPr>
          <w:trHeight w:val="22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68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2023 – 832; 2022 – 835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(40,284)</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(40,214)</w:t>
            </w:r>
          </w:p>
        </w:tc>
      </w:tr>
      <w:tr>
        <w:trPr>
          <w:trHeight w:val="230"/>
        </w:trPr>
        <w:tc>
          <w:tcPr>
            <w:tcW w:w="8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16,897</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14,577</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32,348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27,207</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6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23"/>
                <w:szCs w:val="23"/>
                <w:color w:val="auto"/>
              </w:rPr>
            </w:pPr>
          </w:p>
        </w:tc>
      </w:tr>
      <w:tr>
        <w:trPr>
          <w:trHeight w:val="195"/>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211"/>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6,510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8,749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7,769</w:t>
            </w:r>
          </w:p>
        </w:tc>
      </w:tr>
      <w:tr>
        <w:trPr>
          <w:trHeight w:val="229"/>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36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6,420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8,720</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8,756</w:t>
            </w:r>
          </w:p>
        </w:tc>
      </w:tr>
      <w:tr>
        <w:trPr>
          <w:trHeight w:val="237"/>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(2,462)</w:t>
            </w:r>
          </w:p>
        </w:tc>
      </w:tr>
      <w:tr>
        <w:trPr>
          <w:trHeight w:val="229"/>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(12,705)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(10,124)</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13,387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13,657</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8,478</w:t>
            </w:r>
          </w:p>
        </w:tc>
      </w:tr>
      <w:tr>
        <w:trPr>
          <w:trHeight w:val="230"/>
        </w:trPr>
        <w:tc>
          <w:tcPr>
            <w:tcW w:w="736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(3,583)</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(4,095)</w:t>
            </w:r>
          </w:p>
        </w:tc>
      </w:tr>
      <w:tr>
        <w:trPr>
          <w:trHeight w:val="236"/>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(3,886)</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(3,615)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(527)</w:t>
            </w: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w:t>
            </w:r>
          </w:p>
        </w:tc>
      </w:tr>
      <w:tr>
        <w:trPr>
          <w:trHeight w:val="236"/>
        </w:trPr>
        <w:tc>
          <w:tcPr>
            <w:tcW w:w="72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1,524</w:t>
            </w: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3,050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4,631</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3,107</w:t>
            </w: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r>
      <w:tr>
        <w:trPr>
          <w:trHeight w:val="20"/>
        </w:trPr>
        <w:tc>
          <w:tcPr>
            <w:tcW w:w="7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Stockholders’ Equity</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9"/>
        </w:trPr>
        <w:tc>
          <w:tcPr>
            <w:tcW w:w="51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Stock</w:t>
            </w:r>
          </w:p>
        </w:tc>
        <w:tc>
          <w:tcPr>
            <w:tcW w:w="20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480" w:type="dxa"/>
            <w:vAlign w:val="bottom"/>
            <w:tcBorders>
              <w:top w:val="single" w:sz="8" w:color="auto"/>
              <w:bottom w:val="single" w:sz="8" w:color="DBDBDB"/>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December 31, 2020</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42,051</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(36,578)</w:t>
            </w: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2021</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($4.21 per share)</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2021</w:t>
            </w:r>
          </w:p>
        </w:tc>
        <w:tc>
          <w:tcPr>
            <w:tcW w:w="4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bottom w:val="single" w:sz="8" w:color="auto"/>
            </w:tcBorders>
            <w:shd w:val="clear" w:color="auto" w:fill="DBDBDB"/>
          </w:tcPr>
          <w:p>
            <w:pPr>
              <w:spacing w:after="0"/>
              <w:rPr>
                <w:sz w:val="19"/>
                <w:szCs w:val="19"/>
                <w:color w:val="auto"/>
              </w:rPr>
            </w:pP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45,919</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bottom w:val="single" w:sz="8" w:color="auto"/>
            </w:tcBorders>
            <w:shd w:val="clear" w:color="auto" w:fill="DBDBDB"/>
          </w:tcPr>
          <w:p>
            <w:pPr>
              <w:spacing w:after="0"/>
              <w:rPr>
                <w:sz w:val="19"/>
                <w:szCs w:val="19"/>
                <w:color w:val="auto"/>
              </w:rPr>
            </w:pP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($4.69 per share)</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(4,297)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DBDBDB"/>
            </w:tcBorders>
          </w:tcPr>
          <w:p>
            <w:pPr>
              <w:ind w:left="40"/>
              <w:spacing w:after="0"/>
              <w:rPr>
                <w:sz w:val="20"/>
                <w:szCs w:val="20"/>
                <w:color w:val="auto"/>
              </w:rPr>
            </w:pPr>
            <w:r>
              <w:rPr>
                <w:rFonts w:ascii="Arial" w:cs="Arial" w:eastAsia="Arial" w:hAnsi="Arial"/>
                <w:sz w:val="18"/>
                <w:szCs w:val="18"/>
                <w:color w:val="auto"/>
              </w:rPr>
              <w:t>Balance, December 31, 2022</w:t>
            </w:r>
          </w:p>
        </w:tc>
        <w:tc>
          <w:tcPr>
            <w:tcW w:w="4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50,353</w:t>
            </w:r>
          </w:p>
        </w:tc>
        <w:tc>
          <w:tcPr>
            <w:tcW w:w="1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(40,214)</w:t>
            </w: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Net income</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6,510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Dividends declared and paid ($5.02 per share)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Stock repurchases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top w:val="single" w:sz="8" w:color="DBDBDB"/>
              <w:bottom w:val="single" w:sz="8" w:color="DBDBDB"/>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Balance, December 31, 2023</w:t>
            </w:r>
          </w:p>
        </w:tc>
        <w:tc>
          <w:tcPr>
            <w:tcW w:w="48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3,362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52,283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(40,284)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See accompanying notes.</w:t>
            </w:r>
          </w:p>
        </w:tc>
        <w:tc>
          <w:tcPr>
            <w:tcW w:w="4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5100" w:type="dxa"/>
            <w:vAlign w:val="bottom"/>
          </w:tcPr>
          <w:p>
            <w:pPr>
              <w:spacing w:after="0"/>
              <w:rPr>
                <w:sz w:val="24"/>
                <w:szCs w:val="24"/>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76" w:lineRule="exact"/>
        <w:rPr>
          <w:sz w:val="20"/>
          <w:szCs w:val="20"/>
          <w:color w:val="auto"/>
        </w:rPr>
      </w:pPr>
    </w:p>
    <w:p>
      <w:pPr>
        <w:ind w:left="660" w:right="22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integration and restructuring charges (see Note 11);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7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7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We have no material intersegment revenue. The accounting policies of the segments are consistent with those described in the summary of significant accounting policies and practices.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1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13,040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15,359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14,050</w:t>
            </w:r>
          </w:p>
        </w:tc>
      </w:tr>
      <w:tr>
        <w:trPr>
          <w:trHeight w:val="230"/>
        </w:trPr>
        <w:tc>
          <w:tcPr>
            <w:tcW w:w="7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3,368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3,049</w:t>
            </w:r>
          </w:p>
        </w:tc>
      </w:tr>
      <w:tr>
        <w:trPr>
          <w:trHeight w:val="229"/>
        </w:trPr>
        <w:tc>
          <w:tcPr>
            <w:tcW w:w="73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17,519</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20,028</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18,344</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5,821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8,359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7,393</w:t>
            </w:r>
          </w:p>
        </w:tc>
      </w:tr>
      <w:tr>
        <w:trPr>
          <w:trHeight w:val="229"/>
        </w:trPr>
        <w:tc>
          <w:tcPr>
            <w:tcW w:w="7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1,174</w:t>
            </w:r>
          </w:p>
        </w:tc>
      </w:tr>
      <w:tr>
        <w:trPr>
          <w:trHeight w:val="229"/>
        </w:trPr>
        <w:tc>
          <w:tcPr>
            <w:tcW w:w="73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profit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7,331</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10,140</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8,960</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color w:val="auto"/>
        </w:rPr>
        <w:t>Our estimate for revenue based on the geographic location of our end customers’ headquarters, which represents where critical decisions are made,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Years Ended December 31,</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6"/>
        </w:trPr>
        <w:tc>
          <w:tcPr>
            <w:tcW w:w="32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4"/>
                <w:szCs w:val="14"/>
                <w:b w:val="1"/>
                <w:bCs w:val="1"/>
                <w:color w:val="auto"/>
              </w:rPr>
              <w:t>2021</w:t>
            </w:r>
          </w:p>
        </w:tc>
      </w:tr>
      <w:tr>
        <w:trPr>
          <w:trHeight w:val="210"/>
        </w:trPr>
        <w:tc>
          <w:tcPr>
            <w:tcW w:w="3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29"/>
        </w:trPr>
        <w:tc>
          <w:tcPr>
            <w:tcW w:w="32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5,814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33 %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6,609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6,237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3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3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3,293</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4,807</w:t>
            </w:r>
          </w:p>
        </w:tc>
        <w:tc>
          <w:tcPr>
            <w:tcW w:w="148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4,586</w:t>
            </w:r>
          </w:p>
        </w:tc>
        <w:tc>
          <w:tcPr>
            <w:tcW w:w="14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25</w:t>
            </w: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2,003</w:t>
            </w:r>
          </w:p>
        </w:tc>
        <w:tc>
          <w:tcPr>
            <w:tcW w:w="1480" w:type="dxa"/>
            <w:vAlign w:val="bottom"/>
            <w:gridSpan w:val="3"/>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w:t>
            </w:r>
          </w:p>
        </w:tc>
        <w:tc>
          <w:tcPr>
            <w:tcW w:w="1460" w:type="dxa"/>
            <w:vAlign w:val="bottom"/>
            <w:gridSpan w:val="3"/>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3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 (a)</w:t>
            </w:r>
          </w:p>
        </w:tc>
        <w:tc>
          <w:tcPr>
            <w:tcW w:w="3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4,642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4,807</w:t>
            </w:r>
          </w:p>
        </w:tc>
        <w:tc>
          <w:tcPr>
            <w:tcW w:w="148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3,852</w:t>
            </w:r>
          </w:p>
        </w:tc>
        <w:tc>
          <w:tcPr>
            <w:tcW w:w="14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21</w:t>
            </w: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1,602</w:t>
            </w:r>
          </w:p>
        </w:tc>
        <w:tc>
          <w:tcPr>
            <w:tcW w:w="1480" w:type="dxa"/>
            <w:vAlign w:val="bottom"/>
            <w:gridSpan w:val="3"/>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1,468</w:t>
            </w:r>
          </w:p>
        </w:tc>
        <w:tc>
          <w:tcPr>
            <w:tcW w:w="1460" w:type="dxa"/>
            <w:vAlign w:val="bottom"/>
            <w:gridSpan w:val="3"/>
          </w:tcPr>
          <w:p>
            <w:pPr>
              <w:jc w:val="right"/>
              <w:ind w:right="150"/>
              <w:spacing w:after="0"/>
              <w:rPr>
                <w:sz w:val="20"/>
                <w:szCs w:val="20"/>
                <w:color w:val="auto"/>
              </w:rPr>
            </w:pPr>
            <w:r>
              <w:rPr>
                <w:rFonts w:ascii="Arial" w:cs="Arial" w:eastAsia="Arial" w:hAnsi="Arial"/>
                <w:sz w:val="18"/>
                <w:szCs w:val="18"/>
                <w:color w:val="auto"/>
              </w:rPr>
              <w:t>8</w:t>
            </w:r>
          </w:p>
        </w:tc>
      </w:tr>
      <w:tr>
        <w:trPr>
          <w:trHeight w:val="229"/>
        </w:trPr>
        <w:tc>
          <w:tcPr>
            <w:tcW w:w="3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3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267</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w:t>
            </w:r>
          </w:p>
        </w:tc>
        <w:tc>
          <w:tcPr>
            <w:tcW w:w="148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w:t>
            </w:r>
          </w:p>
        </w:tc>
        <w:tc>
          <w:tcPr>
            <w:tcW w:w="14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17,519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20,028</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500" w:right="1000" w:hanging="492"/>
        <w:spacing w:after="0" w:line="287" w:lineRule="auto"/>
        <w:tabs>
          <w:tab w:leader="none" w:pos="4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from end customers headquartered in Germany was 13%, 11% and 9% of total revenue in 2023, 2022 and 2021,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by geographic area, based on physical location: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r>
      <w:tr>
        <w:trPr>
          <w:trHeight w:val="21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3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7,548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5,134</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3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731</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w:t>
            </w:r>
          </w:p>
        </w:tc>
        <w:tc>
          <w:tcPr>
            <w:tcW w:w="3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Total property, plant and equipment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customer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 end customer accounted for 10% or more of revenue in 2023, 2022 or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31" w:name="page32"/>
    <w:bookmarkEnd w:id="31"/>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(GAAP). The basis of these financial statements is comparable for all periods presented herein.</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and share amounts in the financial statements and tables in these notes, except per-share amounts, are presented in millions unless otherwise indicated. We have reclassified certain amounts in the prior periods’ financial statements to conform to the 2023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generate revenue primarily from the sale of semiconductor products, either directly to a customer or to a distributor, and recognize revenue when control is transferred. Control is considered transferred when title and risk of loss pass, when the customer becomes obligated to pay and, where required, when the customer has accepted the products. This transfer generally occurs at a point in time upon shipment or delivery to the customer or distributor, depending upon the terms of the sales order. Payment for sales to customers and distributors is generally due on our standard commercial terms. For sales to distributors, payment is not contingent upon resale of the products.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from sales of our products that are subject to inventory consignment agreements is recognized at a point in time, when the customer or distributor pulls product from consignment inventory that we store at designated locations. Delivery and transfer of control occur at that point, when title and risk of loss transfers and the customer or distributor becomes obligated to pay for the products pulled from inventory. Until the products are pulled for use or sale by the customer or distributor, we retain control over the products’ disposition, including the right to pull back or relocate the products.</w:t>
      </w:r>
    </w:p>
    <w:p>
      <w:pPr>
        <w:spacing w:after="0" w:line="17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revenue recognized is adjusted based on allowances, which are prepared on a portfolio basis using a most likely amount methodology based on analysis of historical data and contractual terms. These allowances, which are not material, generally include adjustments for pricing arrangements, product returns and incentives. We recognize shipping fees received from customers, if any, in revenue. We include the related shipping and handling costs in cost of revenue. The majority of our customers pay these fees directly to third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costs</w:t>
      </w:r>
    </w:p>
    <w:p>
      <w:pPr>
        <w:spacing w:after="0" w:line="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We expense advertising and other promotional costs as incurred. This expense was $28 million, $27 million and $27 million in 2023, 2022 and 2021,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related to events that have been recognized in the financial statements or tax returns. We record a valuation allowance when it is more likely than not that some or all of the deferred tax assets will not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assessed taxes</w:t>
      </w:r>
    </w:p>
    <w:p>
      <w:pPr>
        <w:spacing w:after="0" w:line="25"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Consolidated Statements of Income on a net (excluded from revenue)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5"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color w:val="auto"/>
        </w:rPr>
        <w:t>We determine if an arrangement is a lease at inception. Leases are included in other long-term assets, accrued expenses and other liabilities, and other long-term liabilities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spacing w:after="0" w:line="257" w:lineRule="auto"/>
        <w:rPr>
          <w:sz w:val="20"/>
          <w:szCs w:val="20"/>
          <w:color w:val="auto"/>
        </w:rPr>
      </w:pPr>
      <w:r>
        <w:rPr>
          <w:rFonts w:ascii="Arial" w:cs="Arial" w:eastAsia="Arial" w:hAnsi="Arial"/>
          <w:sz w:val="18"/>
          <w:szCs w:val="18"/>
          <w:color w:val="auto"/>
        </w:rPr>
        <w:t>Lease assets represent our right to use underlying assets for the lease term, and lease liabilities represent our obligations to make lease payments over the lease term. On the commencement date, leases are evaluated for classification, and assets and liabilities are recognized based on the present value of lease payments over the lease term. We use our incremental borrowing rate based on the information available at commencement in determining the present value of lease payments. Operating lease expense is generally recognized on a straight-line basis over the lease term. Our lease values include options to extend or terminate the lease when it is reasonably certain that we will exercise such options.</w:t>
      </w:r>
    </w:p>
    <w:p>
      <w:pPr>
        <w:spacing w:after="0" w:line="18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agreements with lease and non-lease components, which are accounted for as a single lease component. Leases with an initial lease term of 12 months or less are not recorded on the balance sheet; we recognize lease expense for these leases on a straight-line basis over the lease term.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For Years Ended December 31,</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EPS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EPS</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211"/>
        </w:trPr>
        <w:tc>
          <w:tcPr>
            <w:tcW w:w="2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200" w:type="dxa"/>
            <w:vAlign w:val="bottom"/>
            <w:tcBorders>
              <w:top w:val="single" w:sz="8" w:color="auto"/>
            </w:tcBorders>
            <w:shd w:val="clear" w:color="auto" w:fill="DBDBDB"/>
          </w:tcPr>
          <w:p>
            <w:pPr>
              <w:spacing w:after="0"/>
              <w:rPr>
                <w:sz w:val="18"/>
                <w:szCs w:val="18"/>
                <w:color w:val="auto"/>
              </w:rPr>
            </w:pPr>
          </w:p>
        </w:tc>
        <w:tc>
          <w:tcPr>
            <w:tcW w:w="6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8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6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8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6,510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8,749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8"/>
                <w:szCs w:val="18"/>
                <w:color w:val="auto"/>
                <w:w w:val="99"/>
              </w:rPr>
              <w:t>(40)</w:t>
            </w: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920" w:type="dxa"/>
            <w:vAlign w:val="bottom"/>
          </w:tcPr>
          <w:p>
            <w:pPr>
              <w:ind w:left="140"/>
              <w:spacing w:after="0" w:line="156" w:lineRule="exact"/>
              <w:rPr>
                <w:sz w:val="20"/>
                <w:szCs w:val="20"/>
                <w:color w:val="auto"/>
              </w:rPr>
            </w:pPr>
            <w:r>
              <w:rPr>
                <w:rFonts w:ascii="Arial" w:cs="Arial" w:eastAsia="Arial" w:hAnsi="Arial"/>
                <w:sz w:val="18"/>
                <w:szCs w:val="18"/>
                <w:color w:val="auto"/>
              </w:rPr>
              <w:t>Income allocated to common</w:t>
            </w: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6,476</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908</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7.13</w:t>
            </w:r>
          </w:p>
        </w:tc>
        <w:tc>
          <w:tcPr>
            <w:tcW w:w="10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8,709</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916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7,736</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923</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1"/>
        </w:trPr>
        <w:tc>
          <w:tcPr>
            <w:tcW w:w="2920" w:type="dxa"/>
            <w:vAlign w:val="bottom"/>
          </w:tcPr>
          <w:p>
            <w:pPr>
              <w:ind w:left="140"/>
              <w:spacing w:after="0"/>
              <w:rPr>
                <w:sz w:val="20"/>
                <w:szCs w:val="20"/>
                <w:color w:val="auto"/>
              </w:rPr>
            </w:pPr>
            <w:r>
              <w:rPr>
                <w:rFonts w:ascii="Arial" w:cs="Arial" w:eastAsia="Arial" w:hAnsi="Arial"/>
                <w:sz w:val="18"/>
                <w:szCs w:val="18"/>
                <w:color w:val="auto"/>
              </w:rPr>
              <w:t>stock</w:t>
            </w: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20" w:type="dxa"/>
            <w:vAlign w:val="bottom"/>
            <w:shd w:val="clear" w:color="auto" w:fill="DBDBDB"/>
          </w:tcPr>
          <w:p>
            <w:pPr>
              <w:ind w:left="140"/>
              <w:spacing w:after="0" w:line="142" w:lineRule="exact"/>
              <w:rPr>
                <w:sz w:val="20"/>
                <w:szCs w:val="20"/>
                <w:color w:val="auto"/>
              </w:rPr>
            </w:pPr>
            <w:r>
              <w:rPr>
                <w:rFonts w:ascii="Arial" w:cs="Arial" w:eastAsia="Arial" w:hAnsi="Arial"/>
                <w:sz w:val="16"/>
                <w:szCs w:val="16"/>
                <w:color w:val="auto"/>
              </w:rPr>
              <w:t>Dilutive effect of stock</w:t>
            </w:r>
          </w:p>
        </w:tc>
        <w:tc>
          <w:tcPr>
            <w:tcW w:w="2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compensation plans</w:t>
            </w:r>
          </w:p>
        </w:tc>
        <w:tc>
          <w:tcPr>
            <w:tcW w:w="20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8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8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6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8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20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6,510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8,749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8"/>
                <w:szCs w:val="18"/>
                <w:color w:val="auto"/>
                <w:w w:val="99"/>
              </w:rPr>
              <w:t>(39)</w:t>
            </w:r>
          </w:p>
        </w:tc>
        <w:tc>
          <w:tcPr>
            <w:tcW w:w="100" w:type="dxa"/>
            <w:vAlign w:val="bottom"/>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920" w:type="dxa"/>
            <w:vAlign w:val="bottom"/>
          </w:tcPr>
          <w:p>
            <w:pPr>
              <w:ind w:left="140"/>
              <w:spacing w:after="0" w:line="156" w:lineRule="exact"/>
              <w:rPr>
                <w:sz w:val="20"/>
                <w:szCs w:val="20"/>
                <w:color w:val="auto"/>
              </w:rPr>
            </w:pPr>
            <w:r>
              <w:rPr>
                <w:rFonts w:ascii="Arial" w:cs="Arial" w:eastAsia="Arial" w:hAnsi="Arial"/>
                <w:sz w:val="18"/>
                <w:szCs w:val="18"/>
                <w:color w:val="auto"/>
              </w:rPr>
              <w:t>Income allocated to common</w:t>
            </w: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6,477</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7.07</w:t>
            </w:r>
          </w:p>
        </w:tc>
        <w:tc>
          <w:tcPr>
            <w:tcW w:w="10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8,710</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926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7,736</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936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1"/>
        </w:trPr>
        <w:tc>
          <w:tcPr>
            <w:tcW w:w="2920" w:type="dxa"/>
            <w:vAlign w:val="bottom"/>
          </w:tcPr>
          <w:p>
            <w:pPr>
              <w:ind w:left="140"/>
              <w:spacing w:after="0"/>
              <w:rPr>
                <w:sz w:val="20"/>
                <w:szCs w:val="20"/>
                <w:color w:val="auto"/>
              </w:rPr>
            </w:pPr>
            <w:r>
              <w:rPr>
                <w:rFonts w:ascii="Arial" w:cs="Arial" w:eastAsia="Arial" w:hAnsi="Arial"/>
                <w:sz w:val="18"/>
                <w:szCs w:val="18"/>
                <w:color w:val="auto"/>
              </w:rPr>
              <w:t>stock</w:t>
            </w: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Potentially dilutive securities representing 10 million, 5 million and 3 million shares of common stock that were outstanding in 2023, 2022 and 2021, respectively, were excluded from the computation of diluted earnings per common share during these periods because their effect would have been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We present investments on our Consolidated Balance Sheets as cash equivalents, short-term investments or other long-term assets. See Note 6 for additional information.</w:t>
      </w:r>
    </w:p>
    <w:p>
      <w:pPr>
        <w:spacing w:after="0" w:line="171" w:lineRule="exact"/>
        <w:rPr>
          <w:sz w:val="20"/>
          <w:szCs w:val="20"/>
          <w:color w:val="auto"/>
        </w:rPr>
      </w:pPr>
    </w:p>
    <w:p>
      <w:pPr>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 The primary objectives of our cash equivalent and short-term investment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to preserve capital and maintain liquidity while generating appropriate returns. We consider investments in available-for-sale debt securities with maturities of 90 days or less from the date of our investment to be cash equivalents. We consider investments in available-for-sale debt securities with maturities beyond 90 days from the date of our investment as being available for use in current operations and include them in short-term investments.</w:t>
      </w:r>
    </w:p>
    <w:p>
      <w:pPr>
        <w:spacing w:after="0" w:line="71"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Other long-term assets </w:t>
      </w:r>
      <w:r>
        <w:rPr>
          <w:rFonts w:ascii="Arial" w:cs="Arial" w:eastAsia="Arial" w:hAnsi="Arial"/>
          <w:sz w:val="18"/>
          <w:szCs w:val="18"/>
          <w:color w:val="auto"/>
        </w:rPr>
        <w:t>– Long-term investments, which are included within other long-term assets on our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consist of mutual funds, venture capital funds and nonmarketable securities.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w:t>
      </w:r>
    </w:p>
    <w:p>
      <w:pPr>
        <w:spacing w:after="0" w:line="18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review inventory quarterly for salability and obsolescence. A statistical allowance is provided for inventory considered unlikely to be sold. The statistical allowance is based on an analysis of historical disposal activity, historical customer shipments, as well as estimated future sales. A specific allowance for each material type will be carried if there is a significant event not captured by the statistical allowance. We write off inventory in the period in which disposal occurs.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Government incentives</w:t>
      </w:r>
    </w:p>
    <w:p>
      <w:pPr>
        <w:spacing w:after="0" w:line="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Incentives provided by government entities are recognized when we have reasonable assurance that we will comply with the conditions of the incentive, if any, and the incentive will be received. Incentives, which include non-income tax incentives, related to the acquisition or construction of fixed assets are recognized as a reduction in the carrying amounts of the related assets and reduce depreciation expense over the useful lives of the assets. Incentives for specific operating activities are offset against the related expense in the period the expense is incurred.</w:t>
      </w:r>
    </w:p>
    <w:p>
      <w:pPr>
        <w:spacing w:after="0" w:line="1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August 2022, the U.S. government enacted the U.S. CHIPS and Science Act, which provides funding for manufacturing grants and research investments, and it establishes a 25% investment tax credit for certain investments in U.S. semiconductor manufacturing. As of December 31, 2023, we have recognized $ 1.36 billion of receivables with a corresponding reduction to the carrying amounts of the qualifying manufacturing assets. The receivables are comprised of $497 million in prepaid expenses and other current assets and $859 million in other long-term assets. See Note 11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2023, cost of revenue benefited by $45 million from the investment tax credit, recognized as a reduction of depreciation expense.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 acquisition-related intangibles; and other capitalized costs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are generally amortized on a straight-line basis over the term of the license. Fully depreciated or amortized assets are written off against accumulated depreciation or amortization.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Impairments of long-lived assets</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1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Goodwill is reviewed for impairment annually in the fourth quarter or more frequently if certain impairment indicators arise. We perform a qualitative assessment to determine if it is more likely than not that the fair value of a reporting unit is less than its carrying value, including goodwill. If we determine that it is more likely than not that the fair value of a reporting unit is less than its carrying value, or if we elect not to use a qualitative assessment, then we perform a quantitative goodwill impairment test. See Note 11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functional currency for our non-U.S. subsidiaries is the U.S. dollar. Accounts recorded in currencies other than the U.S. dollar are remeasured into the functional currency. Current assets (except inventories), deferred taxes, current liabilities and long-term liabilities are remeasured at exchange rates in effect at the end of each reporting period. Property, plant and equipment with associated depreciation and inventories are valued at historical exchange rates. Revenue and expense accounts other than depreciation for each month are calculated at the appropriate daily rate of exchange. Currency exchange gains and losses from remeasurement are credited or charged to OI&amp;E.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2"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71"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were not material. We do not use derivatives for speculative or trading purposes.</w:t>
      </w:r>
    </w:p>
    <w:p>
      <w:pPr>
        <w:spacing w:after="0" w:line="225"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Stock compensation</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stock options outstanding to participants under long-term incentive plans. The option price per share may not be less than the fair market value of our common stock on the date of the grant. The options have a 10-year term, generally vest ratably over four years and continue to vest after the option recipient retires.</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also have RSUs outstanding to participants under long-term incentive plans. Each RSU represents the right to receive one share of TI common stock, issued on the vesting date, which is generally four years after the date of grant. RSUs continue to vest after the recipient retires. Holders of RSUs receive an annual cash payment equivalent to the dividends paid on our common stock. The fair value per share of RSUs is generally determined based on the closing price of our common stock on the date of grant.</w:t>
      </w:r>
    </w:p>
    <w:p>
      <w:pPr>
        <w:spacing w:after="0" w:line="17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director deferred compensation accounts.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also have an employee stock purchase plan (ESPP) under which options are offered to all eligible employees in amounts based on a percentage of the employee’s compensation, subject to a cap. Under the plan, the option price per share is 85% of the fair market value on the exercise date. As of December 31, 2023, 31 million shares remain available for future issuance under this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7"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Total stock compensation expense recognized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w:t>
            </w: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R&amp;D</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SG&amp;A</w:t>
            </w:r>
          </w:p>
        </w:tc>
        <w:tc>
          <w:tcPr>
            <w:tcW w:w="800" w:type="dxa"/>
            <w:vAlign w:val="bottom"/>
            <w:shd w:val="clear" w:color="auto" w:fill="DBDBDB"/>
          </w:tcPr>
          <w:p>
            <w:pPr>
              <w:spacing w:after="0"/>
              <w:rPr>
                <w:sz w:val="19"/>
                <w:szCs w:val="19"/>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73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400" w:type="dxa"/>
            <w:vAlign w:val="bottom"/>
            <w:tcBorders>
              <w:top w:val="single" w:sz="8" w:color="auto"/>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These amounts include expenses related to non-qualified stock options, RSUs and stock options offered under our ESPP and are net of estimated forfeitures.</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recognize compensation expense for non-qualified stock options and RSUs on a straight-line basis over the minimum service period required for vesting of the award, adjusting for estimated forfeitures based on historical activity. Awards issued to employees who are retirement eligible or nearing retirement eligibility are expensed on an accelerated basis. Options issued under our ESPP are expensed over a three-month period.</w:t>
      </w:r>
    </w:p>
    <w:p>
      <w:pPr>
        <w:spacing w:after="0" w:line="17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December 31, 2023, total future compensation related to equity awards not yet recognized in our Consolidated Statements of Income was $490 million, which we expect to recognize over a weighted average period of 1.8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methods and assumptions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account for all awards granted under our various stock compensation plans at fair value.</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We estimate the fair values for non-qualified stock options using the Black-Scholes-Merton option-pricing model with the following weighted average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Years Ended December 31,</w:t>
            </w:r>
          </w:p>
        </w:tc>
        <w:tc>
          <w:tcPr>
            <w:tcW w:w="1040" w:type="dxa"/>
            <w:vAlign w:val="bottom"/>
            <w:tcBorders>
              <w:bottom w:val="single" w:sz="8" w:color="auto"/>
            </w:tcBorders>
          </w:tcPr>
          <w:p>
            <w:pPr>
              <w:spacing w:after="0"/>
              <w:rPr>
                <w:sz w:val="17"/>
                <w:szCs w:val="17"/>
                <w:color w:val="auto"/>
              </w:rPr>
            </w:pPr>
          </w:p>
        </w:tc>
      </w:tr>
      <w:tr>
        <w:trPr>
          <w:trHeight w:val="196"/>
        </w:trPr>
        <w:tc>
          <w:tcPr>
            <w:tcW w:w="668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24"/>
        </w:trPr>
        <w:tc>
          <w:tcPr>
            <w:tcW w:w="6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46.23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40.78</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Weighted average assumptions used: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Expected lives (in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6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Risk-free interest rates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3.60 %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0.72 %</w:t>
            </w:r>
          </w:p>
        </w:tc>
      </w:tr>
      <w:tr>
        <w:trPr>
          <w:trHeight w:val="247"/>
        </w:trPr>
        <w:tc>
          <w:tcPr>
            <w:tcW w:w="6680" w:type="dxa"/>
            <w:vAlign w:val="bottom"/>
          </w:tcPr>
          <w:p>
            <w:pPr>
              <w:ind w:left="140"/>
              <w:spacing w:after="0"/>
              <w:rPr>
                <w:sz w:val="20"/>
                <w:szCs w:val="20"/>
                <w:color w:val="auto"/>
              </w:rPr>
            </w:pPr>
            <w:r>
              <w:rPr>
                <w:rFonts w:ascii="Arial" w:cs="Arial" w:eastAsia="Arial" w:hAnsi="Arial"/>
                <w:sz w:val="18"/>
                <w:szCs w:val="18"/>
                <w:color w:val="auto"/>
              </w:rPr>
              <w:t>Expected dividend yields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2.86 %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2.41 %</w:t>
            </w:r>
          </w:p>
        </w:tc>
      </w:tr>
    </w:tbl>
    <w:p>
      <w:pPr>
        <w:spacing w:after="0" w:line="26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use market-based measures of implied volatility to determine expected volatility on all options granted. We determine expected lives of options based on the historical option exercise experience of our option holders using a rolling 10-year average.</w:t>
      </w:r>
    </w:p>
    <w:p>
      <w:pPr>
        <w:spacing w:after="0" w:line="15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Expected dividend yields are based on the annualized approved quarterly dividend rate and the current market price of our common stock at the time of grant. No assumption for a future dividend rate change is included unless there is an approved plan to change the dividend in the near term.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Long-term incentive and director compensation plans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186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Stock Options</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8"/>
          </w:tcPr>
          <w:p>
            <w:pPr>
              <w:jc w:val="right"/>
              <w:ind w:right="1097"/>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Weighted Average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5640" w:type="dxa"/>
            <w:vAlign w:val="bottom"/>
          </w:tcPr>
          <w:p>
            <w:pPr>
              <w:spacing w:after="0"/>
              <w:rPr>
                <w:sz w:val="12"/>
                <w:szCs w:val="12"/>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Exercise Price per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7"/>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23"/>
        </w:trPr>
        <w:tc>
          <w:tcPr>
            <w:tcW w:w="56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grants, December 31, 2022</w:t>
            </w:r>
          </w:p>
        </w:tc>
        <w:tc>
          <w:tcPr>
            <w:tcW w:w="960" w:type="dxa"/>
            <w:vAlign w:val="bottom"/>
            <w:tcBorders>
              <w:top w:val="single" w:sz="8" w:color="auto"/>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105.75</w:t>
            </w:r>
          </w:p>
        </w:tc>
        <w:tc>
          <w:tcPr>
            <w:tcW w:w="1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140" w:type="dxa"/>
            <w:vAlign w:val="bottom"/>
            <w:tcBorders>
              <w:top w:val="single" w:sz="8" w:color="auto"/>
            </w:tcBorders>
            <w:shd w:val="clear" w:color="auto" w:fill="DBDBDB"/>
          </w:tcPr>
          <w:p>
            <w:pPr>
              <w:jc w:val="center"/>
              <w:ind w:left="798"/>
              <w:spacing w:after="0"/>
              <w:rPr>
                <w:sz w:val="20"/>
                <w:szCs w:val="20"/>
                <w:color w:val="auto"/>
              </w:rPr>
            </w:pPr>
            <w:r>
              <w:rPr>
                <w:rFonts w:ascii="Arial" w:cs="Arial" w:eastAsia="Arial" w:hAnsi="Arial"/>
                <w:sz w:val="18"/>
                <w:szCs w:val="18"/>
                <w:color w:val="auto"/>
                <w:w w:val="99"/>
              </w:rPr>
              <w:t>5</w:t>
            </w: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gridSpan w:val="3"/>
            <w:shd w:val="clear" w:color="auto" w:fill="DBDBDB"/>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147.30</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Granted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173.90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left="798"/>
              <w:spacing w:after="0"/>
              <w:rPr>
                <w:sz w:val="20"/>
                <w:szCs w:val="20"/>
                <w:color w:val="auto"/>
              </w:rPr>
            </w:pPr>
            <w:r>
              <w:rPr>
                <w:rFonts w:ascii="Arial" w:cs="Arial" w:eastAsia="Arial" w:hAnsi="Arial"/>
                <w:sz w:val="18"/>
                <w:szCs w:val="18"/>
                <w:b w:val="1"/>
                <w:bCs w:val="1"/>
                <w:color w:val="auto"/>
                <w:w w:val="99"/>
              </w:rPr>
              <w:t>2</w:t>
            </w:r>
          </w:p>
        </w:tc>
        <w:tc>
          <w:tcPr>
            <w:tcW w:w="240" w:type="dxa"/>
            <w:vAlign w:val="bottom"/>
            <w:gridSpan w:val="6"/>
          </w:tcPr>
          <w:p>
            <w:pPr>
              <w:ind w:left="1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172.59</w:t>
            </w:r>
          </w:p>
        </w:tc>
        <w:tc>
          <w:tcPr>
            <w:tcW w:w="0" w:type="dxa"/>
            <w:vAlign w:val="bottom"/>
          </w:tcPr>
          <w:p>
            <w:pPr>
              <w:spacing w:after="0"/>
              <w:rPr>
                <w:sz w:val="1"/>
                <w:szCs w:val="1"/>
                <w:color w:val="auto"/>
              </w:rPr>
            </w:pPr>
          </w:p>
        </w:tc>
      </w:tr>
      <w:tr>
        <w:trPr>
          <w:trHeight w:val="230"/>
        </w:trPr>
        <w:tc>
          <w:tcPr>
            <w:tcW w:w="56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Stock options exercised/RSUs vested</w:t>
            </w:r>
          </w:p>
        </w:tc>
        <w:tc>
          <w:tcPr>
            <w:tcW w:w="96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560" w:type="dxa"/>
            <w:vAlign w:val="bottom"/>
            <w:gridSpan w:val="2"/>
            <w:shd w:val="clear" w:color="auto" w:fill="DBDBDB"/>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71.16</w:t>
            </w:r>
          </w:p>
        </w:tc>
        <w:tc>
          <w:tcPr>
            <w:tcW w:w="12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ind w:left="900"/>
              <w:spacing w:after="0"/>
              <w:rPr>
                <w:sz w:val="20"/>
                <w:szCs w:val="20"/>
                <w:color w:val="auto"/>
              </w:rPr>
            </w:pPr>
            <w:r>
              <w:rPr>
                <w:rFonts w:ascii="Arial" w:cs="Arial" w:eastAsia="Arial" w:hAnsi="Arial"/>
                <w:sz w:val="18"/>
                <w:szCs w:val="18"/>
                <w:b w:val="1"/>
                <w:bCs w:val="1"/>
                <w:color w:val="auto"/>
                <w:w w:val="99"/>
              </w:rPr>
              <w:t>(2)</w:t>
            </w:r>
          </w:p>
        </w:tc>
        <w:tc>
          <w:tcPr>
            <w:tcW w:w="240" w:type="dxa"/>
            <w:vAlign w:val="bottom"/>
            <w:gridSpan w:val="6"/>
            <w:shd w:val="clear" w:color="auto" w:fill="DBDBDB"/>
          </w:tcPr>
          <w:p>
            <w:pPr>
              <w:ind w:left="1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108.04</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grants, December 31, 2023 (a)</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119.60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left="798"/>
              <w:spacing w:after="0"/>
              <w:rPr>
                <w:sz w:val="20"/>
                <w:szCs w:val="20"/>
                <w:color w:val="auto"/>
              </w:rPr>
            </w:pPr>
            <w:r>
              <w:rPr>
                <w:rFonts w:ascii="Arial" w:cs="Arial" w:eastAsia="Arial" w:hAnsi="Arial"/>
                <w:sz w:val="18"/>
                <w:szCs w:val="18"/>
                <w:b w:val="1"/>
                <w:bCs w:val="1"/>
                <w:color w:val="auto"/>
                <w:w w:val="99"/>
              </w:rPr>
              <w:t>5</w:t>
            </w:r>
          </w:p>
        </w:tc>
        <w:tc>
          <w:tcPr>
            <w:tcW w:w="240" w:type="dxa"/>
            <w:vAlign w:val="bottom"/>
            <w:gridSpan w:val="6"/>
          </w:tcPr>
          <w:p>
            <w:pPr>
              <w:ind w:left="1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161.40</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6600" w:type="dxa"/>
            <w:vAlign w:val="bottom"/>
            <w:gridSpan w:val="2"/>
          </w:tcPr>
          <w:p>
            <w:pPr>
              <w:spacing w:after="0"/>
              <w:rPr>
                <w:sz w:val="20"/>
                <w:szCs w:val="20"/>
                <w:color w:val="auto"/>
              </w:rPr>
            </w:pPr>
            <w:r>
              <w:rPr>
                <w:rFonts w:ascii="Arial" w:cs="Arial" w:eastAsia="Arial" w:hAnsi="Arial"/>
                <w:sz w:val="18"/>
                <w:szCs w:val="18"/>
                <w:color w:val="auto"/>
              </w:rPr>
              <w:t>(a)   Forfeited and expired shares were not material.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12"/>
          </w:tcPr>
          <w:p>
            <w:pPr>
              <w:jc w:val="center"/>
              <w:ind w:right="377"/>
              <w:spacing w:after="0"/>
              <w:rPr>
                <w:sz w:val="20"/>
                <w:szCs w:val="20"/>
                <w:color w:val="auto"/>
              </w:rPr>
            </w:pPr>
            <w:r>
              <w:rPr>
                <w:rFonts w:ascii="Arial" w:cs="Arial" w:eastAsia="Arial" w:hAnsi="Arial"/>
                <w:sz w:val="14"/>
                <w:szCs w:val="14"/>
                <w:b w:val="1"/>
                <w:bCs w:val="1"/>
                <w:color w:val="auto"/>
              </w:rPr>
              <w:t>For Years Ended December 31,</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tcPr>
          <w:p>
            <w:pPr>
              <w:spacing w:after="0"/>
              <w:rPr>
                <w:sz w:val="17"/>
                <w:szCs w:val="17"/>
                <w:color w:val="auto"/>
              </w:rPr>
            </w:pPr>
          </w:p>
        </w:tc>
        <w:tc>
          <w:tcPr>
            <w:tcW w:w="34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Weighted average grant date fair value per share for RSUs</w:t>
            </w: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172.59</w:t>
            </w:r>
          </w:p>
        </w:tc>
        <w:tc>
          <w:tcPr>
            <w:tcW w:w="12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174.39</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gridSpan w:val="2"/>
            <w:shd w:val="clear" w:color="auto" w:fill="DBDBDB"/>
          </w:tcPr>
          <w:p>
            <w:pPr>
              <w:spacing w:after="0"/>
              <w:rPr>
                <w:sz w:val="19"/>
                <w:szCs w:val="19"/>
                <w:color w:val="auto"/>
              </w:rPr>
            </w:pPr>
          </w:p>
        </w:tc>
        <w:tc>
          <w:tcPr>
            <w:tcW w:w="1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176.08</w:t>
            </w:r>
          </w:p>
        </w:tc>
        <w:tc>
          <w:tcPr>
            <w:tcW w:w="0" w:type="dxa"/>
            <w:vAlign w:val="bottom"/>
          </w:tcPr>
          <w:p>
            <w:pPr>
              <w:spacing w:after="0"/>
              <w:rPr>
                <w:sz w:val="1"/>
                <w:szCs w:val="1"/>
                <w:color w:val="auto"/>
              </w:rPr>
            </w:pPr>
          </w:p>
        </w:tc>
      </w:tr>
      <w:tr>
        <w:trPr>
          <w:trHeight w:val="229"/>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Total grant date fair value of shares vested for RSUs</w:t>
            </w:r>
          </w:p>
        </w:tc>
        <w:tc>
          <w:tcPr>
            <w:tcW w:w="34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gridSpan w:val="6"/>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Aggregate intrinsic value of options exercised</w:t>
            </w:r>
          </w:p>
        </w:tc>
        <w:tc>
          <w:tcPr>
            <w:tcW w:w="340" w:type="dxa"/>
            <w:vAlign w:val="bottom"/>
            <w:shd w:val="clear" w:color="auto" w:fill="DBDBDB"/>
          </w:tcPr>
          <w:p>
            <w:pPr>
              <w:spacing w:after="0"/>
              <w:rPr>
                <w:sz w:val="19"/>
                <w:szCs w:val="19"/>
                <w:color w:val="auto"/>
              </w:rPr>
            </w:pPr>
          </w:p>
        </w:tc>
        <w:tc>
          <w:tcPr>
            <w:tcW w:w="560" w:type="dxa"/>
            <w:vAlign w:val="bottom"/>
            <w:gridSpan w:val="2"/>
            <w:shd w:val="clear" w:color="auto" w:fill="DBDBDB"/>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319</w:t>
            </w:r>
          </w:p>
        </w:tc>
        <w:tc>
          <w:tcPr>
            <w:tcW w:w="12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336</w:t>
            </w:r>
          </w:p>
        </w:tc>
        <w:tc>
          <w:tcPr>
            <w:tcW w:w="240" w:type="dxa"/>
            <w:vAlign w:val="bottom"/>
            <w:gridSpan w:val="6"/>
            <w:shd w:val="clear" w:color="auto" w:fill="DBDBDB"/>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517"/>
        </w:trPr>
        <w:tc>
          <w:tcPr>
            <w:tcW w:w="8480" w:type="dxa"/>
            <w:vAlign w:val="bottom"/>
            <w:gridSpan w:val="7"/>
          </w:tcPr>
          <w:p>
            <w:pPr>
              <w:spacing w:after="0"/>
              <w:rPr>
                <w:sz w:val="20"/>
                <w:szCs w:val="20"/>
                <w:color w:val="auto"/>
              </w:rPr>
            </w:pPr>
            <w:r>
              <w:rPr>
                <w:rFonts w:ascii="Arial" w:cs="Arial" w:eastAsia="Arial" w:hAnsi="Arial"/>
                <w:sz w:val="18"/>
                <w:szCs w:val="18"/>
                <w:color w:val="auto"/>
              </w:rPr>
              <w:t>As of December 31, 2023, 27 million shares remain available for future issuance under these plans.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80" w:type="dxa"/>
            <w:vAlign w:val="bottom"/>
            <w:gridSpan w:val="7"/>
          </w:tcPr>
          <w:p>
            <w:pPr>
              <w:spacing w:after="0"/>
              <w:rPr>
                <w:sz w:val="20"/>
                <w:szCs w:val="20"/>
                <w:color w:val="auto"/>
              </w:rPr>
            </w:pPr>
            <w:r>
              <w:rPr>
                <w:rFonts w:ascii="Arial" w:cs="Arial" w:eastAsia="Arial" w:hAnsi="Arial"/>
                <w:sz w:val="18"/>
                <w:szCs w:val="18"/>
                <w:color w:val="auto"/>
              </w:rPr>
              <w:t>Summarized information about stock options outstanding as of December 31, 2023, is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8"/>
          </w:tcPr>
          <w:p>
            <w:pPr>
              <w:jc w:val="right"/>
              <w:ind w:right="337"/>
              <w:spacing w:after="0"/>
              <w:rPr>
                <w:sz w:val="20"/>
                <w:szCs w:val="20"/>
                <w:color w:val="auto"/>
              </w:rPr>
            </w:pPr>
            <w:r>
              <w:rPr>
                <w:rFonts w:ascii="Arial" w:cs="Arial" w:eastAsia="Arial" w:hAnsi="Arial"/>
                <w:sz w:val="14"/>
                <w:szCs w:val="14"/>
                <w:b w:val="1"/>
                <w:bCs w:val="1"/>
                <w:color w:val="auto"/>
              </w:rPr>
              <w:t>Stock Options Outstanding</w:t>
            </w: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Exercise Price Range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8"/>
              <w:spacing w:after="0" w:line="145" w:lineRule="exact"/>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7"/>
              <w:spacing w:after="0" w:line="145" w:lineRule="exact"/>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$44.09 to $193.58</w:t>
            </w: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ind w:left="900"/>
              <w:spacing w:after="0"/>
              <w:rPr>
                <w:sz w:val="20"/>
                <w:szCs w:val="20"/>
                <w:color w:val="auto"/>
              </w:rPr>
            </w:pPr>
            <w:r>
              <w:rPr>
                <w:rFonts w:ascii="Arial" w:cs="Arial" w:eastAsia="Arial" w:hAnsi="Arial"/>
                <w:sz w:val="18"/>
                <w:szCs w:val="18"/>
                <w:color w:val="auto"/>
              </w:rPr>
              <w:t>26</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90"/>
        </w:trPr>
        <w:tc>
          <w:tcPr>
            <w:tcW w:w="5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b w:val="1"/>
                <w:bCs w:val="1"/>
                <w:color w:val="auto"/>
              </w:rPr>
              <w:t>Options Fully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rPr>
              <w:t>Vested 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Expected to Vest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40" w:type="dxa"/>
            <w:vAlign w:val="bottom"/>
            <w:tcBorders>
              <w:bottom w:val="single" w:sz="8" w:color="DBDBDB"/>
            </w:tcBorders>
          </w:tcPr>
          <w:p>
            <w:pPr>
              <w:spacing w:after="0"/>
              <w:rPr>
                <w:sz w:val="16"/>
                <w:szCs w:val="16"/>
                <w:color w:val="auto"/>
              </w:rPr>
            </w:pPr>
          </w:p>
        </w:tc>
        <w:tc>
          <w:tcPr>
            <w:tcW w:w="960" w:type="dxa"/>
            <w:vAlign w:val="bottom"/>
            <w:tcBorders>
              <w:bottom w:val="single" w:sz="8" w:color="DBDBDB"/>
            </w:tcBorders>
          </w:tcPr>
          <w:p>
            <w:pPr>
              <w:spacing w:after="0"/>
              <w:rPr>
                <w:sz w:val="16"/>
                <w:szCs w:val="16"/>
                <w:color w:val="auto"/>
              </w:rPr>
            </w:pPr>
          </w:p>
        </w:tc>
        <w:tc>
          <w:tcPr>
            <w:tcW w:w="34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460" w:type="dxa"/>
            <w:vAlign w:val="bottom"/>
            <w:tcBorders>
              <w:bottom w:val="single" w:sz="8" w:color="DBDBDB"/>
            </w:tcBorders>
          </w:tcPr>
          <w:p>
            <w:pPr>
              <w:spacing w:after="0"/>
              <w:rPr>
                <w:sz w:val="16"/>
                <w:szCs w:val="16"/>
                <w:color w:val="auto"/>
              </w:rPr>
            </w:pPr>
          </w:p>
        </w:tc>
        <w:tc>
          <w:tcPr>
            <w:tcW w:w="860" w:type="dxa"/>
            <w:vAlign w:val="bottom"/>
            <w:tcBorders>
              <w:bottom w:val="single" w:sz="8" w:color="DBDBDB"/>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(a)</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Options outstanding (shares)</w:t>
            </w: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contractual life (in years)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left="798"/>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Weighted average exercise price per share</w:t>
            </w: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119.08</w:t>
            </w:r>
          </w:p>
        </w:tc>
        <w:tc>
          <w:tcPr>
            <w:tcW w:w="240" w:type="dxa"/>
            <w:vAlign w:val="bottom"/>
            <w:gridSpan w:val="6"/>
            <w:shd w:val="clear" w:color="auto" w:fill="DBDBDB"/>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95.21</w:t>
            </w:r>
          </w:p>
        </w:tc>
        <w:tc>
          <w:tcPr>
            <w:tcW w:w="0" w:type="dxa"/>
            <w:vAlign w:val="bottom"/>
          </w:tcPr>
          <w:p>
            <w:pPr>
              <w:spacing w:after="0"/>
              <w:rPr>
                <w:sz w:val="1"/>
                <w:szCs w:val="1"/>
                <w:color w:val="auto"/>
              </w:rPr>
            </w:pPr>
          </w:p>
        </w:tc>
      </w:tr>
      <w:tr>
        <w:trPr>
          <w:trHeight w:val="23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Intrinsic value (billions)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gridSpan w:val="6"/>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500" w:right="420" w:hanging="492"/>
        <w:spacing w:after="0" w:line="287" w:lineRule="auto"/>
        <w:tabs>
          <w:tab w:leader="none" w:pos="4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effects of expected forfeitures. Excluding the effects of expected forfeitures, the aggregate intrinsic value of stock options outstanding was $1.34 billion.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Effect on shares outstanding and treasury shares</w:t>
      </w:r>
    </w:p>
    <w:p>
      <w:pPr>
        <w:spacing w:after="0" w:line="22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Treasury shares were acquired in connection with the board-authorized stock repurchase program. As of December 31, 2023, $21.20 billion of stock repurchase authorizations remain, and no expiration date has been specified.</w:t>
      </w:r>
    </w:p>
    <w:p>
      <w:pPr>
        <w:spacing w:after="0" w:line="153" w:lineRule="exact"/>
        <w:rPr>
          <w:sz w:val="20"/>
          <w:szCs w:val="20"/>
          <w:color w:val="auto"/>
        </w:rPr>
      </w:pPr>
    </w:p>
    <w:p>
      <w:pPr>
        <w:ind w:right="680"/>
        <w:spacing w:after="0" w:line="279" w:lineRule="auto"/>
        <w:rPr>
          <w:sz w:val="20"/>
          <w:szCs w:val="20"/>
          <w:color w:val="auto"/>
        </w:rPr>
      </w:pPr>
      <w:r>
        <w:rPr>
          <w:rFonts w:ascii="Arial" w:cs="Arial" w:eastAsia="Arial" w:hAnsi="Arial"/>
          <w:sz w:val="18"/>
          <w:szCs w:val="18"/>
          <w:color w:val="auto"/>
        </w:rPr>
        <w:t>Our practice is to issue shares of common stock from treasury shares upon exercise of stock options, distribution of director deferred compensation and vesting of RSUs. The following table reflects the changes in our treasury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center"/>
              <w:ind w:right="17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4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spacing w:after="0"/>
              <w:rPr>
                <w:sz w:val="19"/>
                <w:szCs w:val="19"/>
                <w:color w:val="auto"/>
              </w:rPr>
            </w:pPr>
          </w:p>
        </w:tc>
        <w:tc>
          <w:tcPr>
            <w:tcW w:w="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835</w:t>
            </w:r>
          </w:p>
        </w:tc>
        <w:tc>
          <w:tcPr>
            <w:tcW w:w="4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817</w:t>
            </w:r>
          </w:p>
        </w:tc>
        <w:tc>
          <w:tcPr>
            <w:tcW w:w="2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Shares issued</w:t>
            </w:r>
          </w:p>
        </w:tc>
        <w:tc>
          <w:tcPr>
            <w:tcW w:w="40" w:type="dxa"/>
            <w:vAlign w:val="bottom"/>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Balance, December 31</w:t>
            </w:r>
          </w:p>
        </w:tc>
        <w:tc>
          <w:tcPr>
            <w:tcW w:w="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The effects on cash flows are as follows:</w:t>
            </w: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70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0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40" w:type="dxa"/>
            <w:vAlign w:val="bottom"/>
            <w:tcBorders>
              <w:bottom w:val="single" w:sz="8" w:color="DBDBDB"/>
            </w:tcBorders>
          </w:tcPr>
          <w:p>
            <w:pPr>
              <w:spacing w:after="0"/>
              <w:rPr>
                <w:sz w:val="17"/>
                <w:szCs w:val="17"/>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common stock transactions (a)</w:t>
            </w:r>
          </w:p>
        </w:tc>
        <w:tc>
          <w:tcPr>
            <w:tcW w:w="900" w:type="dxa"/>
            <w:vAlign w:val="bottom"/>
            <w:gridSpan w:val="2"/>
            <w:shd w:val="clear" w:color="auto" w:fill="DBDBDB"/>
          </w:tcPr>
          <w:p>
            <w:pPr>
              <w:jc w:val="right"/>
              <w:ind w:right="78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263</w:t>
            </w:r>
          </w:p>
        </w:tc>
        <w:tc>
          <w:tcPr>
            <w:tcW w:w="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Tax benefit realized from stock compensation</w:t>
            </w: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right="640" w:firstLine="8"/>
        <w:spacing w:after="0" w:line="500" w:lineRule="auto"/>
        <w:tabs>
          <w:tab w:leader="none" w:pos="4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Net of taxes paid for employee shares withheld of $46 million, $50 million and $53 million in 2023, 2022 and 2021, respectively. 4. </w:t>
      </w:r>
      <w:r>
        <w:rPr>
          <w:rFonts w:ascii="Arial" w:cs="Arial" w:eastAsia="Arial" w:hAnsi="Arial"/>
          <w:sz w:val="18"/>
          <w:szCs w:val="18"/>
          <w:u w:val="single" w:color="auto"/>
          <w:color w:val="auto"/>
        </w:rPr>
        <w:t>Income taxes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is comprised of the following components: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7"/>
                <w:szCs w:val="17"/>
                <w:color w:val="auto"/>
              </w:rPr>
            </w:pPr>
          </w:p>
        </w:tc>
      </w:tr>
      <w:tr>
        <w:trPr>
          <w:trHeight w:val="196"/>
        </w:trPr>
        <w:tc>
          <w:tcPr>
            <w:tcW w:w="704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24"/>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6,445</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9,122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7,998</w:t>
            </w:r>
          </w:p>
        </w:tc>
      </w:tr>
      <w:tr>
        <w:trPr>
          <w:trHeight w:val="230"/>
        </w:trPr>
        <w:tc>
          <w:tcPr>
            <w:tcW w:w="7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Non-U.S.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r>
      <w:tr>
        <w:trPr>
          <w:trHeight w:val="248"/>
        </w:trPr>
        <w:tc>
          <w:tcPr>
            <w:tcW w:w="7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7,418</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10,032</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8,919</w:t>
            </w:r>
          </w:p>
        </w:tc>
      </w:tr>
      <w:tr>
        <w:trPr>
          <w:trHeight w:val="20"/>
        </w:trPr>
        <w:tc>
          <w:tcPr>
            <w:tcW w:w="704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Provision for income taxes is comprised of the following components: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rPr>
              <w:t>For Years Ended December 31,</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7"/>
                <w:szCs w:val="17"/>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r>
      <w:tr>
        <w:trPr>
          <w:trHeight w:val="224"/>
        </w:trPr>
        <w:tc>
          <w:tcPr>
            <w:tcW w:w="1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U.S. federal</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943</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666</w:t>
            </w:r>
          </w:p>
        </w:tc>
        <w:tc>
          <w:tcPr>
            <w:tcW w:w="1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925</w:t>
            </w: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Non-U.S.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1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state</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ind w:left="5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15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r>
      <w:tr>
        <w:trPr>
          <w:trHeight w:val="20"/>
        </w:trPr>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color w:val="auto"/>
        </w:rPr>
        <w:t>Principal reconciling items from the U.S. statutory income tax rate to the effective tax rate (provision for income taxes as a percentage of income before income taxes)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26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rPr>
              <w:t>For Years Ended December 31,</w:t>
            </w:r>
          </w:p>
        </w:tc>
        <w:tc>
          <w:tcPr>
            <w:tcW w:w="940" w:type="dxa"/>
            <w:vAlign w:val="bottom"/>
            <w:tcBorders>
              <w:bottom w:val="single" w:sz="8" w:color="auto"/>
            </w:tcBorders>
          </w:tcPr>
          <w:p>
            <w:pPr>
              <w:spacing w:after="0"/>
              <w:rPr>
                <w:sz w:val="17"/>
                <w:szCs w:val="17"/>
                <w:color w:val="auto"/>
              </w:rPr>
            </w:pPr>
          </w:p>
        </w:tc>
      </w:tr>
      <w:tr>
        <w:trPr>
          <w:trHeight w:val="196"/>
        </w:trPr>
        <w:tc>
          <w:tcPr>
            <w:tcW w:w="70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24"/>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statutory income tax rate</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Foreign derived intangible income</w:t>
            </w:r>
          </w:p>
        </w:tc>
        <w:tc>
          <w:tcPr>
            <w:tcW w:w="1340" w:type="dxa"/>
            <w:vAlign w:val="bottom"/>
          </w:tcPr>
          <w:p>
            <w:pPr>
              <w:jc w:val="right"/>
              <w:ind w:right="114"/>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(6.1)</w:t>
            </w:r>
          </w:p>
        </w:tc>
      </w:tr>
      <w:tr>
        <w:trPr>
          <w:trHeight w:val="229"/>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R&amp;D tax credit</w:t>
            </w:r>
          </w:p>
        </w:tc>
        <w:tc>
          <w:tcPr>
            <w:tcW w:w="1340" w:type="dxa"/>
            <w:vAlign w:val="bottom"/>
            <w:shd w:val="clear" w:color="auto" w:fill="DBDBDB"/>
          </w:tcPr>
          <w:p>
            <w:pPr>
              <w:jc w:val="right"/>
              <w:ind w:right="114"/>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(0.9)</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(0.9)</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340" w:type="dxa"/>
            <w:vAlign w:val="bottom"/>
          </w:tcPr>
          <w:p>
            <w:pPr>
              <w:jc w:val="right"/>
              <w:ind w:right="114"/>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(1.5)</w:t>
            </w:r>
          </w:p>
        </w:tc>
      </w:tr>
      <w:tr>
        <w:trPr>
          <w:trHeight w:val="229"/>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Changes in uncertain tax positions</w:t>
            </w:r>
          </w:p>
        </w:tc>
        <w:tc>
          <w:tcPr>
            <w:tcW w:w="1440" w:type="dxa"/>
            <w:vAlign w:val="bottom"/>
            <w:gridSpan w:val="2"/>
            <w:shd w:val="clear" w:color="auto" w:fill="DBDBDB"/>
          </w:tcPr>
          <w:p>
            <w:pPr>
              <w:jc w:val="right"/>
              <w:ind w:right="34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(0.2)</w:t>
            </w:r>
          </w:p>
        </w:tc>
      </w:tr>
      <w:tr>
        <w:trPr>
          <w:trHeight w:val="230"/>
        </w:trPr>
        <w:tc>
          <w:tcPr>
            <w:tcW w:w="7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DBDBDB"/>
            </w:tcBorders>
          </w:tcPr>
          <w:p>
            <w:pPr>
              <w:spacing w:after="0"/>
              <w:rPr>
                <w:sz w:val="19"/>
                <w:szCs w:val="19"/>
                <w:color w:val="auto"/>
              </w:rPr>
            </w:pP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0.6</w:t>
            </w:r>
          </w:p>
        </w:tc>
      </w:tr>
      <w:tr>
        <w:trPr>
          <w:trHeight w:val="248"/>
        </w:trPr>
        <w:tc>
          <w:tcPr>
            <w:tcW w:w="7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12.2 %</w:t>
            </w:r>
          </w:p>
        </w:tc>
        <w:tc>
          <w:tcPr>
            <w:tcW w:w="10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12.9 %</w:t>
            </w:r>
          </w:p>
        </w:tc>
      </w:tr>
      <w:tr>
        <w:trPr>
          <w:trHeight w:val="20"/>
        </w:trPr>
        <w:tc>
          <w:tcPr>
            <w:tcW w:w="7020" w:type="dxa"/>
            <w:vAlign w:val="bottom"/>
            <w:tcBorders>
              <w:top w:val="single" w:sz="8" w:color="DBDBDB"/>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earnings represented by non-cash operating assets, such as fixed assets and inventory, will continue to be permanently reinvested outside the United States. Provisions of the U.S. Tax Cuts and Jobs Act (the Tax Act), such as the one-time tax on indefinitely reinvested earnings and the global intangible low-taxed income (GILTI) tax for years beginning in 2018, eliminate any additional U.S. taxation resulting from repatriation of earnings of non-U.S. subsidiaries to the United States. Consequently, no U.S. tax provision has been made for the future remittance of these earnings. However, withholding or distribution taxes in certain non-U.S. jurisdictions will be incurred upon repatriation of available cash to the United States. A provision has been made for deferred taxes on these undistributed earnings to the extent that repatriation of the available cash to the United States is expected to result in a tax liability. As of December 31, 2023, we have no basis differences that would result in material unrecognized deferred tax liabilities.</w:t>
      </w:r>
    </w:p>
    <w:p>
      <w:pPr>
        <w:spacing w:after="0" w:line="1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have made an allowable policy election to account for the effects of GILTI as a component of income tax expense in the period in which the tax is incurred.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primary components of deferred tax assets and liabilities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21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Capitalized R&amp;D</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236</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Deferred loss and tax credit carryforwards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compensation</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163</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Inventories and related reserves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Retirement costs for defined benefit and retiree health care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6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deferred tax assets, before valuation allowance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1,542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1,062</w:t>
            </w:r>
          </w:p>
        </w:tc>
      </w:tr>
      <w:tr>
        <w:trPr>
          <w:trHeight w:val="230"/>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deferred tax assets, after valuation allowance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1,344</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873</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(592)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International earnings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Acquisition-related intangibles and fair-value adjustments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6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(466)</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Net deferred tax asset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r>
      <w:tr>
        <w:trPr>
          <w:trHeight w:val="21"/>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assets and liabilities based on tax jurisdictions are presented on our Consolidated Balance Sheets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r>
      <w:tr>
        <w:trPr>
          <w:trHeight w:val="224"/>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757</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Deferred tax liabilities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48"/>
        </w:trPr>
        <w:tc>
          <w:tcPr>
            <w:tcW w:w="8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deferred tax asset</w:t>
            </w:r>
          </w:p>
        </w:tc>
        <w:tc>
          <w:tcPr>
            <w:tcW w:w="780" w:type="dxa"/>
            <w:vAlign w:val="bottom"/>
            <w:tcBorders>
              <w:bottom w:val="single" w:sz="8" w:color="auto"/>
            </w:tcBorders>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694</w:t>
            </w:r>
          </w:p>
        </w:tc>
        <w:tc>
          <w:tcPr>
            <w:tcW w:w="12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407</w:t>
            </w:r>
          </w:p>
        </w:tc>
      </w:tr>
      <w:tr>
        <w:trPr>
          <w:trHeight w:val="20"/>
        </w:trPr>
        <w:tc>
          <w:tcPr>
            <w:tcW w:w="868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Valuation allowances increased $9 million in 2023, increased $1 million in 2022 and increased $9 million in 2021. These changes had no impact to net income in 2023, 2022 or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have no material tax loss carryforwards as of December 31, 2023.</w:t>
      </w:r>
    </w:p>
    <w:p>
      <w:pPr>
        <w:spacing w:after="0" w:line="225"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Cash payments made for income taxes, net of refunds, were $1.35 billion, $1.48 billion and $1.20 billion in 2023, 2022 and 2021,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our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changes in the total amounts of uncertain tax positions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Borders>
              <w:bottom w:val="single" w:sz="8" w:color="DBDBDB"/>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840" w:type="dxa"/>
            <w:vAlign w:val="bottom"/>
            <w:shd w:val="clear" w:color="auto" w:fill="DBDBDB"/>
          </w:tcPr>
          <w:p>
            <w:pPr>
              <w:jc w:val="right"/>
              <w:ind w:right="634"/>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DBDBDB"/>
          </w:tcPr>
          <w:p>
            <w:pPr>
              <w:spacing w:after="0"/>
              <w:rPr>
                <w:sz w:val="19"/>
                <w:szCs w:val="19"/>
                <w:color w:val="auto"/>
              </w:rPr>
            </w:pPr>
          </w:p>
        </w:tc>
        <w:tc>
          <w:tcPr>
            <w:tcW w:w="840" w:type="dxa"/>
            <w:vAlign w:val="bottom"/>
            <w:shd w:val="clear" w:color="auto" w:fill="DBDBDB"/>
          </w:tcPr>
          <w:p>
            <w:pPr>
              <w:jc w:val="right"/>
              <w:ind w:right="634"/>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84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Settlements with tax authorities</w:t>
            </w:r>
          </w:p>
        </w:tc>
        <w:tc>
          <w:tcPr>
            <w:tcW w:w="84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DBDBDB"/>
          </w:tcPr>
          <w:p>
            <w:pPr>
              <w:spacing w:after="0"/>
              <w:rPr>
                <w:sz w:val="19"/>
                <w:szCs w:val="19"/>
                <w:color w:val="auto"/>
              </w:rPr>
            </w:pP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Expiration of the statute of limitations for assessing taxes</w:t>
            </w:r>
          </w:p>
        </w:tc>
        <w:tc>
          <w:tcPr>
            <w:tcW w:w="8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w:t>
            </w:r>
          </w:p>
        </w:tc>
        <w:tc>
          <w:tcPr>
            <w:tcW w:w="840" w:type="dxa"/>
            <w:vAlign w:val="bottom"/>
            <w:tcBorders>
              <w:top w:val="single" w:sz="8" w:color="auto"/>
              <w:bottom w:val="single" w:sz="8" w:color="auto"/>
            </w:tcBorders>
            <w:shd w:val="clear" w:color="auto" w:fill="DBDBDB"/>
          </w:tcPr>
          <w:p>
            <w:pPr>
              <w:jc w:val="right"/>
              <w:ind w:right="634"/>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840" w:type="dxa"/>
            <w:vAlign w:val="bottom"/>
            <w:tcBorders>
              <w:top w:val="single" w:sz="8" w:color="auto"/>
              <w:bottom w:val="single" w:sz="8" w:color="auto"/>
            </w:tcBorders>
            <w:shd w:val="clear" w:color="auto" w:fill="DBDBDB"/>
          </w:tcPr>
          <w:p>
            <w:pPr>
              <w:jc w:val="right"/>
              <w:ind w:right="63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7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5"/>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Interest expense recognized in the year ended December 31</w:t>
            </w:r>
          </w:p>
        </w:tc>
        <w:tc>
          <w:tcPr>
            <w:tcW w:w="840" w:type="dxa"/>
            <w:vAlign w:val="bottom"/>
            <w:tcBorders>
              <w:bottom w:val="single" w:sz="8" w:color="auto"/>
            </w:tcBorders>
            <w:shd w:val="clear" w:color="auto" w:fill="DBDBDB"/>
          </w:tcPr>
          <w:p>
            <w:pPr>
              <w:jc w:val="right"/>
              <w:ind w:right="634"/>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auto"/>
            </w:tcBorders>
            <w:shd w:val="clear" w:color="auto" w:fill="DBDBDB"/>
          </w:tcPr>
          <w:p>
            <w:pPr>
              <w:jc w:val="right"/>
              <w:ind w:right="63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7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5"/>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Interest payable as of December 31</w:t>
            </w:r>
          </w:p>
        </w:tc>
        <w:tc>
          <w:tcPr>
            <w:tcW w:w="840" w:type="dxa"/>
            <w:vAlign w:val="bottom"/>
            <w:tcBorders>
              <w:bottom w:val="single" w:sz="8" w:color="auto"/>
            </w:tcBorders>
            <w:shd w:val="clear" w:color="auto" w:fill="DBDBDB"/>
          </w:tcPr>
          <w:p>
            <w:pPr>
              <w:jc w:val="right"/>
              <w:ind w:right="634"/>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auto"/>
            </w:tcBorders>
            <w:shd w:val="clear" w:color="auto" w:fill="DBDBDB"/>
          </w:tcPr>
          <w:p>
            <w:pPr>
              <w:jc w:val="right"/>
              <w:ind w:right="63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liability for uncertain tax positions is a component of other long-term liabilities on our Consolidated Balance Sheets.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of the $82 million liabilities for uncertain tax positions at both December 31, 2023 and 2022 are comprised of positions that, if recognized, would lower the effective tax rate. If these liabilities are ultimately realized, no existing deferred tax assets in 2023 or 2022 would also be realized.</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of December 31, 2023, the statute of limitations remains open for U.S. federal tax returns for 2017 and following years. Certain tax treaty procedures for relief from double taxation remain pending for U.S. federal tax returns for the years 2018 through 2022.</w:t>
      </w:r>
    </w:p>
    <w:p>
      <w:pPr>
        <w:spacing w:after="0" w:line="153"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United States, our subsidiaries are no longer subject to income tax audits for years before 2012.</w:t>
      </w:r>
    </w:p>
    <w:p>
      <w:pPr>
        <w:spacing w:after="0" w:line="153"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risk concentration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hold derivative financial instruments such as forward foreign currency exchange contracts, the fair value of which was not material as of December 31, 2023. Our forward foreign currency exchange contracts outstanding as of December 31, 2023, had a notional value of $328 million to hedge our non-U.S. dollar net balance sheet exposures, including $102 million to sell Japanese yen, $77 million to sell British pounds and $58 million to buy Chinese yuan.</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investments in cash equivalents, short-term investments and certain long-term investments, as well as our deferred compensation liabilities, are carried at fair value. Our postretirement plan assets are carried at fair value or net asset value per share. The carrying values for other current financial assets and liabilities, such as accounts receivable and accounts payable, approximate fair value due to the short maturity of such instruments. As of December 31, 2023, the carrying value of long-term debt, including the current portion, was $11.22 billion, and the estimated fair value was $ 10.68 billion. The estimated fair value is measured using broker-dealer quotes, which are Level 2 inputs. See Note 6 for a description of fair value and the definition of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concentration</w:t>
      </w:r>
    </w:p>
    <w:p>
      <w:pPr>
        <w:spacing w:after="0" w:line="2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counterparty risks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credit losses. These allowances are deducted from accounts receivable on our Consolidated Balance Sheets.</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Accounts receivable allowances changed to reflect amounts charged (credited) to operating results by $3 million, $5 million and ($3) million in 2023, 2022 and 2021, respectively.</w:t>
      </w:r>
    </w:p>
    <w:p>
      <w:pPr>
        <w:spacing w:after="0" w:line="153"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xml:space="preserve">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 Nonmarketable securities are measured at cost with adjustments for observable changes in price or impairments. Gains and losses on nonmarketable investments are recognized in OI&amp;E.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700" w:type="dxa"/>
            <w:vAlign w:val="bottom"/>
          </w:tcPr>
          <w:p>
            <w:pPr>
              <w:spacing w:after="0"/>
              <w:rPr>
                <w:sz w:val="12"/>
                <w:szCs w:val="12"/>
                <w:color w:val="auto"/>
              </w:rPr>
            </w:pPr>
          </w:p>
        </w:tc>
        <w:tc>
          <w:tcPr>
            <w:tcW w:w="11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Long-Term</w:t>
            </w:r>
          </w:p>
        </w:tc>
        <w:tc>
          <w:tcPr>
            <w:tcW w:w="11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2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0"/>
        </w:trPr>
        <w:tc>
          <w:tcPr>
            <w:tcW w:w="3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1,068</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349</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1,605</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70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198</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2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20" w:type="dxa"/>
            <w:vAlign w:val="bottom"/>
            <w:gridSpan w:val="2"/>
            <w:vMerge w:val="continue"/>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2,163</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5,611</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6,017</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7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Cash on hand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2,964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5,611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6,017</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 of December 31, 2023 and 2022, unrealized gains and losses associated with our debt investments were not material. We did not recognize any credit losses related to debt investments in 2023, 2022 or 2021.</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presents the aggregate maturities of our debt investments as of December 31,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6,362</w:t>
            </w:r>
          </w:p>
        </w:tc>
      </w:tr>
      <w:tr>
        <w:trPr>
          <w:trHeight w:val="239"/>
        </w:trPr>
        <w:tc>
          <w:tcPr>
            <w:tcW w:w="968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w:t>
            </w:r>
          </w:p>
        </w:tc>
      </w:tr>
    </w:tbl>
    <w:p>
      <w:pPr>
        <w:spacing w:after="0" w:line="28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 2023, 2022 and 2021, the proceeds from sales, redemptions and maturities of short-term debt investments were $13.39 billion, $13.66 billion and $8.48 billion, respectively. Gross realized gains and losses from these sales were not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117"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4"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These values are generally determined using pricing models that utilize management estimates of market participant assumptions. As of December 31, 2023 and 2022, we had no Level 3 assets or liabilities.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rPr>
              <w:t>December 31, 2023</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rPr>
              <w:t>December 31, 2022</w:t>
            </w:r>
          </w:p>
        </w:tc>
        <w:tc>
          <w:tcPr>
            <w:tcW w:w="760" w:type="dxa"/>
            <w:vAlign w:val="bottom"/>
            <w:tcBorders>
              <w:bottom w:val="single" w:sz="8" w:color="auto"/>
            </w:tcBorders>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10"/>
        </w:trPr>
        <w:tc>
          <w:tcPr>
            <w:tcW w:w="4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8"/>
                <w:szCs w:val="18"/>
                <w:color w:val="auto"/>
              </w:rPr>
            </w:pPr>
          </w:p>
        </w:tc>
        <w:tc>
          <w:tcPr>
            <w:tcW w:w="740" w:type="dxa"/>
            <w:vAlign w:val="bottom"/>
            <w:tcBorders>
              <w:top w:val="single" w:sz="8" w:color="auto"/>
            </w:tcBorders>
            <w:shd w:val="clear" w:color="auto" w:fill="DBDBDB"/>
          </w:tcPr>
          <w:p>
            <w:pPr>
              <w:spacing w:after="0"/>
              <w:rPr>
                <w:sz w:val="18"/>
                <w:szCs w:val="18"/>
                <w:color w:val="auto"/>
              </w:rPr>
            </w:pPr>
          </w:p>
        </w:tc>
        <w:tc>
          <w:tcPr>
            <w:tcW w:w="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7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740" w:type="dxa"/>
            <w:vAlign w:val="bottom"/>
            <w:tcBorders>
              <w:top w:val="single" w:sz="8" w:color="auto"/>
            </w:tcBorders>
            <w:shd w:val="clear" w:color="auto" w:fill="DBDBDB"/>
          </w:tcPr>
          <w:p>
            <w:pPr>
              <w:spacing w:after="0"/>
              <w:rPr>
                <w:sz w:val="18"/>
                <w:szCs w:val="18"/>
                <w:color w:val="auto"/>
              </w:rPr>
            </w:pPr>
          </w:p>
        </w:tc>
        <w:tc>
          <w:tcPr>
            <w:tcW w:w="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760" w:type="dxa"/>
            <w:vAlign w:val="bottom"/>
            <w:tcBorders>
              <w:top w:val="single" w:sz="8" w:color="auto"/>
            </w:tcBorders>
            <w:shd w:val="clear" w:color="auto" w:fill="DBDBDB"/>
          </w:tcPr>
          <w:p>
            <w:pPr>
              <w:spacing w:after="0"/>
              <w:rPr>
                <w:sz w:val="18"/>
                <w:szCs w:val="18"/>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1,068</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1,238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1,238</w:t>
            </w:r>
          </w:p>
        </w:tc>
      </w:tr>
      <w:tr>
        <w:trPr>
          <w:trHeight w:val="230"/>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1,954</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1,954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1,811</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3,618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4,914</w:t>
            </w:r>
          </w:p>
        </w:tc>
      </w:tr>
      <w:tr>
        <w:trPr>
          <w:trHeight w:val="230"/>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4,698</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3,088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7,786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6,163</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8,371</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393</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w:t>
            </w: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3" w:name="page44"/>
    <w:bookmarkEnd w:id="43"/>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descriptions</w:t>
      </w:r>
    </w:p>
    <w:p>
      <w:pPr>
        <w:spacing w:after="0" w:line="22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We have various employee retirement plans, including defined contribution, defined benefit and retiree health care benefit plans. For qualifying employees, we offer deferred compensation arrangements.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retirement plans</w:t>
      </w:r>
    </w:p>
    <w:p>
      <w:pPr>
        <w:spacing w:after="0" w:line="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principal retirement plans in the United States are a defined contribution plan, an enhanced defined contribution plan and qualified and non-qualified defined benefit pension plans. The defined benefit plans were closed to new participants in 1997, and then current participants were allowed to make a one-time election to continue accruing a benefit in the plans or to cease accruing a benefit and instead to participate in the enhanced defined contribution plan.</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Both defined contribution plans offer an employer-matching savings option that allows employees to make pretax and post-tax contributions to various investment choices. Employees who elected to continue accruing a benefit in the qualified defined benefit pension plans may also participate in the defined contribution plan, where employer-matching contributions are provided for up to 2%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of the employee’s annual eligible earnings, plus an employer-matching contribution of up to 4% of the employee’s annual eligible earnings. Employees hired after December 31, 2003, do not receive the fixed employer contribution of 2% of the employee’s annual eligible earnings.</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December 31, 2023 and 2022, as a result of employees’ elections, TI’s U.S. defined contribution plans held shares of TI common stock totaling 5 million shares and 6 million shares valued at $ 873 million and $ 940 million, respectively. Dividends paid on these shares in 2023 and 2022 were $ 27 million and $28 million, respectively. Effective April 1, 2016, the TI common stock fund was frozen to new contributions or transfers into the fund.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aggregate expense for the U.S. defined contribution plans was $75 million in 2023, $70 million in 2022 and $63 million in 2021.</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retiree health care benefit plan</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Non-U.S. retirement plans</w:t>
      </w:r>
    </w:p>
    <w:p>
      <w:pPr>
        <w:spacing w:after="0" w:line="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82"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As of December 31, 2023 and 2022, as a result of employees’ elections, TI’s non-U.S. defined contribution plans held TI common stock valued at $34 million and $33 million, respectively. Dividends paid on these shares of TI common stock in 2023 and 2022 were not material.</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Effects on our Consolidated Statements of Income and Balance Sheets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8"/>
          </w:tcPr>
          <w:p>
            <w:pPr>
              <w:ind w:left="320"/>
              <w:spacing w:after="0"/>
              <w:rPr>
                <w:sz w:val="20"/>
                <w:szCs w:val="20"/>
                <w:color w:val="auto"/>
              </w:rPr>
            </w:pPr>
            <w:r>
              <w:rPr>
                <w:rFonts w:ascii="Arial" w:cs="Arial" w:eastAsia="Arial" w:hAnsi="Arial"/>
                <w:sz w:val="14"/>
                <w:szCs w:val="14"/>
                <w:b w:val="1"/>
                <w:bCs w:val="1"/>
                <w:color w:val="auto"/>
              </w:rPr>
              <w:t>U.S. Defined Benefit</w:t>
            </w:r>
          </w:p>
        </w:tc>
        <w:tc>
          <w:tcPr>
            <w:tcW w:w="160" w:type="dxa"/>
            <w:vAlign w:val="bottom"/>
          </w:tcPr>
          <w:p>
            <w:pPr>
              <w:spacing w:after="0"/>
              <w:rPr>
                <w:sz w:val="17"/>
                <w:szCs w:val="17"/>
                <w:color w:val="auto"/>
              </w:rPr>
            </w:pPr>
          </w:p>
        </w:tc>
        <w:tc>
          <w:tcPr>
            <w:tcW w:w="2240" w:type="dxa"/>
            <w:vAlign w:val="bottom"/>
            <w:gridSpan w:val="8"/>
          </w:tcPr>
          <w:p>
            <w:pPr>
              <w:ind w:left="160"/>
              <w:spacing w:after="0"/>
              <w:rPr>
                <w:sz w:val="20"/>
                <w:szCs w:val="20"/>
                <w:color w:val="auto"/>
              </w:rPr>
            </w:pPr>
            <w:r>
              <w:rPr>
                <w:rFonts w:ascii="Arial" w:cs="Arial" w:eastAsia="Arial" w:hAnsi="Arial"/>
                <w:sz w:val="14"/>
                <w:szCs w:val="14"/>
                <w:b w:val="1"/>
                <w:bCs w:val="1"/>
                <w:color w:val="auto"/>
              </w:rPr>
              <w:t>U.S. Retiree Health Care</w:t>
            </w:r>
          </w:p>
        </w:tc>
        <w:tc>
          <w:tcPr>
            <w:tcW w:w="160" w:type="dxa"/>
            <w:vAlign w:val="bottom"/>
          </w:tcPr>
          <w:p>
            <w:pPr>
              <w:spacing w:after="0"/>
              <w:rPr>
                <w:sz w:val="17"/>
                <w:szCs w:val="17"/>
                <w:color w:val="auto"/>
              </w:rPr>
            </w:pPr>
          </w:p>
        </w:tc>
        <w:tc>
          <w:tcPr>
            <w:tcW w:w="2200" w:type="dxa"/>
            <w:vAlign w:val="bottom"/>
            <w:gridSpan w:val="7"/>
          </w:tcPr>
          <w:p>
            <w:pPr>
              <w:jc w:val="right"/>
              <w:ind w:right="252"/>
              <w:spacing w:after="0"/>
              <w:rPr>
                <w:sz w:val="20"/>
                <w:szCs w:val="20"/>
                <w:color w:val="auto"/>
              </w:rPr>
            </w:pPr>
            <w:r>
              <w:rPr>
                <w:rFonts w:ascii="Arial" w:cs="Arial" w:eastAsia="Arial" w:hAnsi="Arial"/>
                <w:sz w:val="14"/>
                <w:szCs w:val="14"/>
                <w:b w:val="1"/>
                <w:bCs w:val="1"/>
                <w:color w:val="auto"/>
              </w:rPr>
              <w:t>Non-U.S. Defined Benefit</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DBDBDB"/>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DBDBDB"/>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DBDBDB"/>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1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Recognized net actuarial losses (gains)</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Net periodic benefit costs (credits)</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 losses</w:t>
            </w:r>
          </w:p>
        </w:tc>
        <w:tc>
          <w:tcPr>
            <w:tcW w:w="14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line="156" w:lineRule="exact"/>
              <w:rPr>
                <w:sz w:val="20"/>
                <w:szCs w:val="20"/>
                <w:color w:val="auto"/>
              </w:rPr>
            </w:pPr>
            <w:r>
              <w:rPr>
                <w:rFonts w:ascii="Arial" w:cs="Arial" w:eastAsia="Arial" w:hAnsi="Arial"/>
                <w:sz w:val="18"/>
                <w:szCs w:val="18"/>
                <w:color w:val="auto"/>
              </w:rPr>
              <w:t>Total, including other postretirement losses</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(gains)</w:t>
            </w:r>
          </w:p>
        </w:tc>
        <w:tc>
          <w:tcPr>
            <w:tcW w:w="14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All defined benefit and retiree health care benefit plan expense components other than service cost are recognized in OI&amp;E in our Consolidated Statements of Income. Service cost is recognized within operating profit.</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7"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Changes in the benefit obligations and plan assets for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5"/>
          </w:tcPr>
          <w:p>
            <w:pPr>
              <w:ind w:left="60"/>
              <w:spacing w:after="0"/>
              <w:rPr>
                <w:sz w:val="20"/>
                <w:szCs w:val="20"/>
                <w:color w:val="auto"/>
              </w:rPr>
            </w:pPr>
            <w:r>
              <w:rPr>
                <w:rFonts w:ascii="Arial" w:cs="Arial" w:eastAsia="Arial" w:hAnsi="Arial"/>
                <w:sz w:val="14"/>
                <w:szCs w:val="14"/>
                <w:b w:val="1"/>
                <w:bCs w:val="1"/>
                <w:color w:val="auto"/>
              </w:rPr>
              <w:t>U.S. Defined Benefit</w:t>
            </w:r>
          </w:p>
        </w:tc>
        <w:tc>
          <w:tcPr>
            <w:tcW w:w="1900" w:type="dxa"/>
            <w:vAlign w:val="bottom"/>
            <w:gridSpan w:val="6"/>
          </w:tcPr>
          <w:p>
            <w:pPr>
              <w:ind w:left="80"/>
              <w:spacing w:after="0"/>
              <w:rPr>
                <w:sz w:val="20"/>
                <w:szCs w:val="20"/>
                <w:color w:val="auto"/>
              </w:rPr>
            </w:pPr>
            <w:r>
              <w:rPr>
                <w:rFonts w:ascii="Arial" w:cs="Arial" w:eastAsia="Arial" w:hAnsi="Arial"/>
                <w:sz w:val="14"/>
                <w:szCs w:val="14"/>
                <w:b w:val="1"/>
                <w:bCs w:val="1"/>
                <w:color w:val="auto"/>
              </w:rPr>
              <w:t>U.S. Retiree Health Care</w:t>
            </w:r>
          </w:p>
        </w:tc>
        <w:tc>
          <w:tcPr>
            <w:tcW w:w="1800" w:type="dxa"/>
            <w:vAlign w:val="bottom"/>
            <w:gridSpan w:val="5"/>
          </w:tcPr>
          <w:p>
            <w:pPr>
              <w:jc w:val="right"/>
              <w:spacing w:after="0"/>
              <w:rPr>
                <w:sz w:val="20"/>
                <w:szCs w:val="20"/>
                <w:color w:val="auto"/>
              </w:rPr>
            </w:pPr>
            <w:r>
              <w:rPr>
                <w:rFonts w:ascii="Arial" w:cs="Arial" w:eastAsia="Arial" w:hAnsi="Arial"/>
                <w:sz w:val="14"/>
                <w:szCs w:val="14"/>
                <w:b w:val="1"/>
                <w:bCs w:val="1"/>
                <w:color w:val="auto"/>
              </w:rPr>
              <w:t>Non-U.S. Defined Benefit</w:t>
            </w:r>
          </w:p>
        </w:tc>
      </w:tr>
      <w:tr>
        <w:trPr>
          <w:trHeight w:val="196"/>
        </w:trPr>
        <w:tc>
          <w:tcPr>
            <w:tcW w:w="5500" w:type="dxa"/>
            <w:vAlign w:val="bottom"/>
            <w:tcBorders>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BDBDB"/>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DBDBDB"/>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DBDBDB"/>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r>
      <w:tr>
        <w:trPr>
          <w:trHeight w:val="210"/>
        </w:trPr>
        <w:tc>
          <w:tcPr>
            <w:tcW w:w="55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 in plan benefit obligation</w:t>
            </w:r>
          </w:p>
        </w:tc>
        <w:tc>
          <w:tcPr>
            <w:tcW w:w="16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1,667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2,574</w:t>
            </w:r>
          </w:p>
        </w:tc>
      </w:tr>
      <w:tr>
        <w:trPr>
          <w:trHeight w:val="229"/>
        </w:trPr>
        <w:tc>
          <w:tcPr>
            <w:tcW w:w="5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5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Participant contributions</w:t>
            </w:r>
          </w:p>
        </w:tc>
        <w:tc>
          <w:tcPr>
            <w:tcW w:w="16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Curtailments</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Actuarial loss (gain)</w:t>
            </w: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Effects of exchange rate changes</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550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Benefit obligation at end of year</w:t>
            </w: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505</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258</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1,732</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1,667</w:t>
            </w:r>
          </w:p>
        </w:tc>
      </w:tr>
      <w:tr>
        <w:trPr>
          <w:trHeight w:val="237"/>
        </w:trPr>
        <w:tc>
          <w:tcPr>
            <w:tcW w:w="5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0"/>
        </w:trPr>
        <w:tc>
          <w:tcPr>
            <w:tcW w:w="55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1,822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2,813</w:t>
            </w:r>
          </w:p>
        </w:tc>
      </w:tr>
      <w:tr>
        <w:trPr>
          <w:trHeight w:val="229"/>
        </w:trPr>
        <w:tc>
          <w:tcPr>
            <w:tcW w:w="5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Actual return on plan assets</w:t>
            </w: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Employer contributions (qualified plans)</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Employer contributions (non-qualified plans)</w:t>
            </w: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Participant contributions</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Benefits paid</w:t>
            </w: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55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Effects of exchange rate changes</w:t>
            </w:r>
          </w:p>
        </w:tc>
        <w:tc>
          <w:tcPr>
            <w:tcW w:w="16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264</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1,866</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1,822</w:t>
            </w:r>
          </w:p>
        </w:tc>
      </w:tr>
      <w:tr>
        <w:trPr>
          <w:trHeight w:val="237"/>
        </w:trPr>
        <w:tc>
          <w:tcPr>
            <w:tcW w:w="550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48"/>
        </w:trPr>
        <w:tc>
          <w:tcPr>
            <w:tcW w:w="5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Funded status at end of year</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134</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55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Changes in actuarial gains and losses in the projected benefit obligations are generally driven by discount rate movement.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our Consolidated Balance Sheets as of December 31,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U.S. Defined Benefit</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U.S. Retiree Health</w:t>
            </w: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Non-U.S. Defined</w:t>
            </w:r>
          </w:p>
        </w:tc>
        <w:tc>
          <w:tcPr>
            <w:tcW w:w="340" w:type="dxa"/>
            <w:vAlign w:val="bottom"/>
          </w:tcPr>
          <w:p>
            <w:pPr>
              <w:spacing w:after="0"/>
              <w:rPr>
                <w:sz w:val="14"/>
                <w:szCs w:val="14"/>
                <w:color w:val="auto"/>
              </w:rPr>
            </w:pPr>
          </w:p>
        </w:tc>
        <w:tc>
          <w:tcPr>
            <w:tcW w:w="11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Care</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tcBorders>
            <w:shd w:val="clear" w:color="auto" w:fill="DBDBDB"/>
          </w:tcPr>
          <w:p>
            <w:pPr>
              <w:spacing w:after="0"/>
              <w:rPr>
                <w:sz w:val="18"/>
                <w:szCs w:val="18"/>
                <w:color w:val="auto"/>
              </w:rPr>
            </w:pPr>
          </w:p>
        </w:tc>
        <w:tc>
          <w:tcPr>
            <w:tcW w:w="8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320" w:type="dxa"/>
            <w:vAlign w:val="bottom"/>
            <w:tcBorders>
              <w:top w:val="single" w:sz="8" w:color="auto"/>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Overfunded retirement plans</w:t>
            </w:r>
          </w:p>
        </w:tc>
        <w:tc>
          <w:tcPr>
            <w:tcW w:w="5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34"/>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175"/>
        </w:trPr>
        <w:tc>
          <w:tcPr>
            <w:tcW w:w="51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b w:val="1"/>
                <w:bCs w:val="1"/>
                <w:color w:val="auto"/>
              </w:rPr>
              <w:t>Accrued expenses and other liabilities &amp; other long-term</w:t>
            </w:r>
          </w:p>
        </w:tc>
        <w:tc>
          <w:tcPr>
            <w:tcW w:w="54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43"/>
        </w:trPr>
        <w:tc>
          <w:tcPr>
            <w:tcW w:w="51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liabilities</w:t>
            </w:r>
          </w:p>
        </w:tc>
        <w:tc>
          <w:tcPr>
            <w:tcW w:w="540" w:type="dxa"/>
            <w:vAlign w:val="bottom"/>
            <w:shd w:val="clear" w:color="auto" w:fill="DBDBDB"/>
          </w:tcPr>
          <w:p>
            <w:pPr>
              <w:spacing w:after="0"/>
              <w:rPr>
                <w:sz w:val="21"/>
                <w:szCs w:val="21"/>
                <w:color w:val="auto"/>
              </w:rPr>
            </w:pPr>
          </w:p>
        </w:tc>
        <w:tc>
          <w:tcPr>
            <w:tcW w:w="88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200" w:type="dxa"/>
            <w:vAlign w:val="bottom"/>
            <w:gridSpan w:val="2"/>
            <w:vMerge w:val="continue"/>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1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DBDBDB"/>
            </w:tcBorders>
          </w:tcPr>
          <w:p>
            <w:pPr>
              <w:ind w:left="140"/>
              <w:spacing w:after="0"/>
              <w:rPr>
                <w:sz w:val="20"/>
                <w:szCs w:val="20"/>
                <w:color w:val="auto"/>
              </w:rPr>
            </w:pPr>
            <w:r>
              <w:rPr>
                <w:rFonts w:ascii="Arial" w:cs="Arial" w:eastAsia="Arial" w:hAnsi="Arial"/>
                <w:sz w:val="18"/>
                <w:szCs w:val="18"/>
                <w:b w:val="1"/>
                <w:bCs w:val="1"/>
                <w:color w:val="auto"/>
              </w:rPr>
              <w:t>Underfunded retirement plans</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Funded status at end of 2023</w:t>
            </w:r>
          </w:p>
        </w:tc>
        <w:tc>
          <w:tcPr>
            <w:tcW w:w="54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0"/>
        </w:trPr>
        <w:tc>
          <w:tcPr>
            <w:tcW w:w="516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75"/>
        </w:trPr>
        <w:tc>
          <w:tcPr>
            <w:tcW w:w="51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Accrued expenses and other liabilities &amp; other long-term</w:t>
            </w:r>
          </w:p>
        </w:tc>
        <w:tc>
          <w:tcPr>
            <w:tcW w:w="54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liabilities</w:t>
            </w:r>
          </w:p>
        </w:tc>
        <w:tc>
          <w:tcPr>
            <w:tcW w:w="540" w:type="dxa"/>
            <w:vAlign w:val="bottom"/>
            <w:shd w:val="clear" w:color="auto" w:fill="DBDBDB"/>
          </w:tcPr>
          <w:p>
            <w:pPr>
              <w:spacing w:after="0"/>
              <w:rPr>
                <w:sz w:val="21"/>
                <w:szCs w:val="21"/>
                <w:color w:val="auto"/>
              </w:rPr>
            </w:pPr>
          </w:p>
        </w:tc>
        <w:tc>
          <w:tcPr>
            <w:tcW w:w="88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200" w:type="dxa"/>
            <w:vAlign w:val="bottom"/>
            <w:gridSpan w:val="2"/>
            <w:vMerge w:val="continue"/>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1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Underfunded retirement plans</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Funded status at end of 2022</w:t>
            </w:r>
          </w:p>
        </w:tc>
        <w:tc>
          <w:tcPr>
            <w:tcW w:w="54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16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$10 million to our retirement benefit plans in 2024.</w:t>
      </w:r>
    </w:p>
    <w:p>
      <w:pPr>
        <w:sectPr>
          <w:pgSz w:w="11900" w:h="16838" w:orient="portrait"/>
          <w:cols w:equalWidth="0" w:num="1">
            <w:col w:w="11200"/>
          </w:cols>
          <w:pgMar w:left="320" w:top="98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46" w:name="page47"/>
    <w:bookmarkEnd w:id="46"/>
    <w:p>
      <w:pPr>
        <w:ind w:right="60"/>
        <w:spacing w:after="0" w:line="268" w:lineRule="auto"/>
        <w:rPr>
          <w:sz w:val="20"/>
          <w:szCs w:val="20"/>
          <w:color w:val="auto"/>
        </w:rPr>
      </w:pPr>
      <w:r>
        <w:rPr>
          <w:rFonts w:ascii="Arial" w:cs="Arial" w:eastAsia="Arial" w:hAnsi="Arial"/>
          <w:sz w:val="18"/>
          <w:szCs w:val="18"/>
          <w:color w:val="auto"/>
        </w:rPr>
        <w:t>Accumulated benefit obligations, which are generally less than the projected benefit obligations as they exclude the impact of future salary increases, were $480 million and $489 million as of December 31, 2023 and 2022, respectively, for the U.S. defined benefit plans, and $1.67 billion and $1.60 billion as of December 31, 2023 and 2022, respectively, for the non-U.S. defined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AOCI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U.S. Defined</w:t>
            </w:r>
          </w:p>
        </w:tc>
        <w:tc>
          <w:tcPr>
            <w:tcW w:w="140" w:type="dxa"/>
            <w:vAlign w:val="bottom"/>
          </w:tcPr>
          <w:p>
            <w:pPr>
              <w:spacing w:after="0"/>
              <w:rPr>
                <w:sz w:val="14"/>
                <w:szCs w:val="14"/>
                <w:color w:val="auto"/>
              </w:rPr>
            </w:pPr>
          </w:p>
        </w:tc>
        <w:tc>
          <w:tcPr>
            <w:tcW w:w="22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U.S. Retiree Health Care</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vMerge w:val="restart"/>
          </w:tcPr>
          <w:p>
            <w:pPr>
              <w:jc w:val="right"/>
              <w:ind w:right="235"/>
              <w:spacing w:after="0"/>
              <w:rPr>
                <w:sz w:val="20"/>
                <w:szCs w:val="20"/>
                <w:color w:val="auto"/>
              </w:rPr>
            </w:pPr>
            <w:r>
              <w:rPr>
                <w:rFonts w:ascii="Arial" w:cs="Arial" w:eastAsia="Arial" w:hAnsi="Arial"/>
                <w:sz w:val="14"/>
                <w:szCs w:val="14"/>
                <w:b w:val="1"/>
                <w:bCs w:val="1"/>
                <w:color w:val="auto"/>
              </w:rPr>
              <w:t>Non-U.S. Defined Benefit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Benefit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Actuarial</w:t>
            </w:r>
          </w:p>
        </w:tc>
        <w:tc>
          <w:tcPr>
            <w:tcW w:w="140" w:type="dxa"/>
            <w:vAlign w:val="bottom"/>
          </w:tcPr>
          <w:p>
            <w:pPr>
              <w:spacing w:after="0"/>
              <w:rPr>
                <w:sz w:val="12"/>
                <w:szCs w:val="12"/>
                <w:color w:val="auto"/>
              </w:rPr>
            </w:pPr>
          </w:p>
        </w:tc>
        <w:tc>
          <w:tcPr>
            <w:tcW w:w="11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Net Actuarial</w:t>
            </w:r>
          </w:p>
        </w:tc>
        <w:tc>
          <w:tcPr>
            <w:tcW w:w="120" w:type="dxa"/>
            <w:vAlign w:val="bottom"/>
          </w:tcPr>
          <w:p>
            <w:pPr>
              <w:spacing w:after="0"/>
              <w:rPr>
                <w:sz w:val="12"/>
                <w:szCs w:val="12"/>
                <w:color w:val="auto"/>
              </w:rPr>
            </w:pPr>
          </w:p>
        </w:tc>
        <w:tc>
          <w:tcPr>
            <w:tcW w:w="11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Prior Service</w:t>
            </w:r>
          </w:p>
        </w:tc>
        <w:tc>
          <w:tcPr>
            <w:tcW w:w="120" w:type="dxa"/>
            <w:vAlign w:val="bottom"/>
          </w:tcPr>
          <w:p>
            <w:pPr>
              <w:spacing w:after="0"/>
              <w:rPr>
                <w:sz w:val="12"/>
                <w:szCs w:val="12"/>
                <w:color w:val="auto"/>
              </w:rPr>
            </w:pPr>
          </w:p>
        </w:tc>
        <w:tc>
          <w:tcPr>
            <w:tcW w:w="11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Net Actuarial</w:t>
            </w:r>
          </w:p>
        </w:tc>
        <w:tc>
          <w:tcPr>
            <w:tcW w:w="120" w:type="dxa"/>
            <w:vAlign w:val="bottom"/>
          </w:tcPr>
          <w:p>
            <w:pPr>
              <w:spacing w:after="0"/>
              <w:rPr>
                <w:sz w:val="12"/>
                <w:szCs w:val="12"/>
                <w:color w:val="auto"/>
              </w:rPr>
            </w:pPr>
          </w:p>
        </w:tc>
        <w:tc>
          <w:tcPr>
            <w:tcW w:w="11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Prior Service</w:t>
            </w:r>
          </w:p>
        </w:tc>
        <w:tc>
          <w:tcPr>
            <w:tcW w:w="120" w:type="dxa"/>
            <w:vAlign w:val="bottom"/>
          </w:tcPr>
          <w:p>
            <w:pPr>
              <w:spacing w:after="0"/>
              <w:rPr>
                <w:sz w:val="12"/>
                <w:szCs w:val="12"/>
                <w:color w:val="auto"/>
              </w:rPr>
            </w:pPr>
          </w:p>
        </w:tc>
        <w:tc>
          <w:tcPr>
            <w:tcW w:w="11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Net Actuarial</w:t>
            </w:r>
          </w:p>
        </w:tc>
        <w:tc>
          <w:tcPr>
            <w:tcW w:w="120" w:type="dxa"/>
            <w:vAlign w:val="bottom"/>
          </w:tcPr>
          <w:p>
            <w:pPr>
              <w:spacing w:after="0"/>
              <w:rPr>
                <w:sz w:val="12"/>
                <w:szCs w:val="12"/>
                <w:color w:val="auto"/>
              </w:rPr>
            </w:pPr>
          </w:p>
        </w:tc>
        <w:tc>
          <w:tcPr>
            <w:tcW w:w="1020" w:type="dxa"/>
            <w:vAlign w:val="bottom"/>
          </w:tcPr>
          <w:p>
            <w:pPr>
              <w:jc w:val="right"/>
              <w:ind w:right="35"/>
              <w:spacing w:after="0" w:line="147" w:lineRule="exact"/>
              <w:rPr>
                <w:sz w:val="20"/>
                <w:szCs w:val="20"/>
                <w:color w:val="auto"/>
              </w:rPr>
            </w:pPr>
            <w:r>
              <w:rPr>
                <w:rFonts w:ascii="Arial" w:cs="Arial" w:eastAsia="Arial" w:hAnsi="Arial"/>
                <w:sz w:val="14"/>
                <w:szCs w:val="14"/>
                <w:b w:val="1"/>
                <w:bCs w:val="1"/>
                <w:color w:val="auto"/>
              </w:rPr>
              <w:t>Prior Service</w:t>
            </w:r>
          </w:p>
        </w:tc>
        <w:tc>
          <w:tcPr>
            <w:tcW w:w="0" w:type="dxa"/>
            <w:vAlign w:val="bottom"/>
          </w:tcPr>
          <w:p>
            <w:pPr>
              <w:spacing w:after="0"/>
              <w:rPr>
                <w:sz w:val="1"/>
                <w:szCs w:val="1"/>
                <w:color w:val="auto"/>
              </w:rPr>
            </w:pPr>
          </w:p>
        </w:tc>
      </w:tr>
      <w:tr>
        <w:trPr>
          <w:trHeight w:val="185"/>
        </w:trPr>
        <w:tc>
          <w:tcPr>
            <w:tcW w:w="266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7"/>
              </w:rPr>
              <w:t>Loss</w:t>
            </w:r>
          </w:p>
        </w:tc>
        <w:tc>
          <w:tcPr>
            <w:tcW w:w="8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Gain</w:t>
            </w: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Loss</w:t>
            </w: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55"/>
        </w:trPr>
        <w:tc>
          <w:tcPr>
            <w:tcW w:w="266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color w:val="auto"/>
              </w:rPr>
              <w:t>AOCI balance, net of taxes,</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DBDBDB"/>
          </w:tcPr>
          <w:p>
            <w:pPr>
              <w:spacing w:after="0"/>
              <w:rPr>
                <w:sz w:val="13"/>
                <w:szCs w:val="13"/>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DBDBDB"/>
          </w:tcPr>
          <w:p>
            <w:pPr>
              <w:ind w:left="7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December 31, 2022</w:t>
            </w:r>
          </w:p>
        </w:tc>
        <w:tc>
          <w:tcPr>
            <w:tcW w:w="14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40" w:type="dxa"/>
            <w:vAlign w:val="bottom"/>
            <w:vMerge w:val="continue"/>
            <w:shd w:val="clear" w:color="auto" w:fill="DBDBDB"/>
          </w:tcPr>
          <w:p>
            <w:pPr>
              <w:spacing w:after="0"/>
              <w:rPr>
                <w:sz w:val="21"/>
                <w:szCs w:val="21"/>
                <w:color w:val="auto"/>
              </w:rPr>
            </w:pPr>
          </w:p>
        </w:tc>
        <w:tc>
          <w:tcPr>
            <w:tcW w:w="10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100" w:type="dxa"/>
            <w:vAlign w:val="bottom"/>
            <w:gridSpan w:val="2"/>
            <w:vMerge w:val="continue"/>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0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Changes in AOCI by category:</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Adjustments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5"/>
        </w:trPr>
        <w:tc>
          <w:tcPr>
            <w:tcW w:w="2660" w:type="dxa"/>
            <w:vAlign w:val="bottom"/>
          </w:tcPr>
          <w:p>
            <w:pPr>
              <w:ind w:left="140"/>
              <w:spacing w:after="0" w:line="176" w:lineRule="exact"/>
              <w:rPr>
                <w:sz w:val="20"/>
                <w:szCs w:val="20"/>
                <w:color w:val="auto"/>
              </w:rPr>
            </w:pPr>
            <w:r>
              <w:rPr>
                <w:rFonts w:ascii="Arial" w:cs="Arial" w:eastAsia="Arial" w:hAnsi="Arial"/>
                <w:sz w:val="18"/>
                <w:szCs w:val="18"/>
                <w:b w:val="1"/>
                <w:bCs w:val="1"/>
                <w:color w:val="auto"/>
              </w:rPr>
              <w:t>Recognized within net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restart"/>
          </w:tcPr>
          <w:p>
            <w:pPr>
              <w:ind w:left="7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b w:val="1"/>
                <w:bCs w:val="1"/>
                <w:color w:val="auto"/>
              </w:rPr>
              <w:t>income</w:t>
            </w:r>
          </w:p>
        </w:tc>
        <w:tc>
          <w:tcPr>
            <w:tcW w:w="1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Tax effect</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DBDBDB"/>
            </w:tcBorders>
          </w:tcPr>
          <w:p>
            <w:pPr>
              <w:ind w:left="140"/>
              <w:spacing w:after="0"/>
              <w:rPr>
                <w:sz w:val="20"/>
                <w:szCs w:val="20"/>
                <w:color w:val="auto"/>
              </w:rPr>
            </w:pPr>
            <w:r>
              <w:rPr>
                <w:rFonts w:ascii="Arial" w:cs="Arial" w:eastAsia="Arial" w:hAnsi="Arial"/>
                <w:sz w:val="18"/>
                <w:szCs w:val="18"/>
                <w:b w:val="1"/>
                <w:bCs w:val="1"/>
                <w:color w:val="auto"/>
              </w:rPr>
              <w:t>Total change to AOCI</w:t>
            </w: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8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8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55"/>
        </w:trPr>
        <w:tc>
          <w:tcPr>
            <w:tcW w:w="266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AOCI balance, net of taxes,</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62</w:t>
            </w:r>
          </w:p>
        </w:tc>
        <w:tc>
          <w:tcPr>
            <w:tcW w:w="80" w:type="dxa"/>
            <w:vAlign w:val="bottom"/>
            <w:shd w:val="clear" w:color="auto" w:fill="DBDBDB"/>
          </w:tcPr>
          <w:p>
            <w:pPr>
              <w:spacing w:after="0"/>
              <w:rPr>
                <w:sz w:val="13"/>
                <w:szCs w:val="13"/>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vMerge w:val="restart"/>
            <w:shd w:val="clear" w:color="auto" w:fill="DBDBDB"/>
          </w:tcPr>
          <w:p>
            <w:pPr>
              <w:ind w:left="76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207</w:t>
            </w:r>
          </w:p>
        </w:tc>
        <w:tc>
          <w:tcPr>
            <w:tcW w:w="8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6"/>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2023</w:t>
            </w:r>
          </w:p>
        </w:tc>
        <w:tc>
          <w:tcPr>
            <w:tcW w:w="140" w:type="dxa"/>
            <w:vAlign w:val="bottom"/>
            <w:vMerge w:val="continue"/>
            <w:shd w:val="clear" w:color="auto" w:fill="DBDBDB"/>
          </w:tcPr>
          <w:p>
            <w:pPr>
              <w:spacing w:after="0"/>
              <w:rPr>
                <w:sz w:val="20"/>
                <w:szCs w:val="20"/>
                <w:color w:val="auto"/>
              </w:rPr>
            </w:pPr>
          </w:p>
        </w:tc>
        <w:tc>
          <w:tcPr>
            <w:tcW w:w="1020" w:type="dxa"/>
            <w:vAlign w:val="bottom"/>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vMerge w:val="continue"/>
            <w:shd w:val="clear" w:color="auto" w:fill="DBDBDB"/>
          </w:tcPr>
          <w:p>
            <w:pPr>
              <w:spacing w:after="0"/>
              <w:rPr>
                <w:sz w:val="20"/>
                <w:szCs w:val="20"/>
                <w:color w:val="auto"/>
              </w:rPr>
            </w:pPr>
          </w:p>
        </w:tc>
        <w:tc>
          <w:tcPr>
            <w:tcW w:w="1000" w:type="dxa"/>
            <w:vAlign w:val="bottom"/>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100" w:type="dxa"/>
            <w:vAlign w:val="bottom"/>
            <w:gridSpan w:val="2"/>
            <w:vMerge w:val="continue"/>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020" w:type="dxa"/>
            <w:vAlign w:val="bottom"/>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100" w:type="dxa"/>
            <w:vAlign w:val="bottom"/>
            <w:gridSpan w:val="2"/>
            <w:vMerge w:val="continue"/>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040" w:type="dxa"/>
            <w:vAlign w:val="bottom"/>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20" w:type="dxa"/>
            <w:vAlign w:val="bottom"/>
            <w:vMerge w:val="continue"/>
            <w:shd w:val="clear" w:color="auto" w:fill="DBDBDB"/>
          </w:tcPr>
          <w:p>
            <w:pPr>
              <w:spacing w:after="0"/>
              <w:rPr>
                <w:sz w:val="20"/>
                <w:szCs w:val="20"/>
                <w:color w:val="auto"/>
              </w:rPr>
            </w:pPr>
          </w:p>
        </w:tc>
        <w:tc>
          <w:tcPr>
            <w:tcW w:w="102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on plan assets</w:t>
      </w:r>
    </w:p>
    <w:p>
      <w:pPr>
        <w:spacing w:after="0" w:line="223"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We report and measure the plan assets of our defined benefit pension and other postretirement plans at fair value. The tables below set forth the fair value of our plan assets using the same three-level hierarchy of fair-value inputs described in Note 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 (a)</w:t>
            </w:r>
          </w:p>
        </w:tc>
        <w:tc>
          <w:tcPr>
            <w:tcW w:w="280" w:type="dxa"/>
            <w:vAlign w:val="bottom"/>
          </w:tcPr>
          <w:p>
            <w:pPr>
              <w:spacing w:after="0"/>
              <w:rPr>
                <w:sz w:val="17"/>
                <w:szCs w:val="17"/>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10"/>
        </w:trPr>
        <w:tc>
          <w:tcPr>
            <w:tcW w:w="60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 of U.S. defined benefit plan:</w:t>
            </w:r>
          </w:p>
        </w:tc>
        <w:tc>
          <w:tcPr>
            <w:tcW w:w="2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spacing w:after="0"/>
              <w:rPr>
                <w:sz w:val="18"/>
                <w:szCs w:val="18"/>
                <w:color w:val="auto"/>
              </w:rPr>
            </w:pPr>
          </w:p>
        </w:tc>
        <w:tc>
          <w:tcPr>
            <w:tcW w:w="940" w:type="dxa"/>
            <w:vAlign w:val="bottom"/>
            <w:tcBorders>
              <w:top w:val="single" w:sz="8" w:color="auto"/>
            </w:tcBorders>
            <w:shd w:val="clear" w:color="auto" w:fill="DBDBDB"/>
          </w:tcPr>
          <w:p>
            <w:pPr>
              <w:spacing w:after="0"/>
              <w:rPr>
                <w:sz w:val="18"/>
                <w:szCs w:val="18"/>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Fixed income securities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272</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146</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w:t>
            </w:r>
          </w:p>
        </w:tc>
      </w:tr>
      <w:tr>
        <w:trPr>
          <w:trHeight w:val="20"/>
        </w:trPr>
        <w:tc>
          <w:tcPr>
            <w:tcW w:w="606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Assets of U.S. retiree health care plan:</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Fixed income securities and cash equivalents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210</w:t>
            </w: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48"/>
        </w:trPr>
        <w:tc>
          <w:tcPr>
            <w:tcW w:w="6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264</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 of non-U.S. defined benefit plans:</w:t>
            </w: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Fixed income securities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1,343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1,444</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364</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422</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1,866</w:t>
            </w:r>
          </w:p>
        </w:tc>
      </w:tr>
      <w:tr>
        <w:trPr>
          <w:trHeight w:val="21"/>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 as well as cash equivalents.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7"/>
        </w:trPr>
        <w:tc>
          <w:tcPr>
            <w:tcW w:w="60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6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 (a)</w:t>
            </w:r>
          </w:p>
        </w:tc>
        <w:tc>
          <w:tcPr>
            <w:tcW w:w="280" w:type="dxa"/>
            <w:vAlign w:val="bottom"/>
          </w:tcPr>
          <w:p>
            <w:pPr>
              <w:spacing w:after="0"/>
              <w:rPr>
                <w:sz w:val="17"/>
                <w:szCs w:val="17"/>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11"/>
        </w:trPr>
        <w:tc>
          <w:tcPr>
            <w:tcW w:w="60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Assets of U.S. defined benefit plan:</w:t>
            </w:r>
          </w:p>
        </w:tc>
        <w:tc>
          <w:tcPr>
            <w:tcW w:w="880" w:type="dxa"/>
            <w:vAlign w:val="bottom"/>
            <w:tcBorders>
              <w:top w:val="single" w:sz="8" w:color="auto"/>
            </w:tcBorders>
            <w:shd w:val="clear" w:color="auto" w:fill="DBDBDB"/>
          </w:tcPr>
          <w:p>
            <w:pPr>
              <w:spacing w:after="0"/>
              <w:rPr>
                <w:sz w:val="18"/>
                <w:szCs w:val="18"/>
                <w:color w:val="auto"/>
              </w:rPr>
            </w:pPr>
          </w:p>
        </w:tc>
        <w:tc>
          <w:tcPr>
            <w:tcW w:w="3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900" w:type="dxa"/>
            <w:vAlign w:val="bottom"/>
            <w:tcBorders>
              <w:top w:val="single" w:sz="8" w:color="auto"/>
            </w:tcBorders>
            <w:shd w:val="clear" w:color="auto" w:fill="DBDBDB"/>
          </w:tcPr>
          <w:p>
            <w:pPr>
              <w:spacing w:after="0"/>
              <w:rPr>
                <w:sz w:val="18"/>
                <w:szCs w:val="18"/>
                <w:color w:val="auto"/>
              </w:rPr>
            </w:pPr>
          </w:p>
        </w:tc>
        <w:tc>
          <w:tcPr>
            <w:tcW w:w="3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spacing w:after="0"/>
              <w:rPr>
                <w:sz w:val="18"/>
                <w:szCs w:val="18"/>
                <w:color w:val="auto"/>
              </w:rPr>
            </w:pPr>
          </w:p>
        </w:tc>
        <w:tc>
          <w:tcPr>
            <w:tcW w:w="940" w:type="dxa"/>
            <w:vAlign w:val="bottom"/>
            <w:tcBorders>
              <w:top w:val="single" w:sz="8" w:color="auto"/>
            </w:tcBorders>
            <w:shd w:val="clear" w:color="auto" w:fill="DBDBDB"/>
          </w:tcPr>
          <w:p>
            <w:pPr>
              <w:spacing w:after="0"/>
              <w:rPr>
                <w:sz w:val="18"/>
                <w:szCs w:val="18"/>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Fixed income securities and cash equivalents</w:t>
            </w: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 securities</w:t>
            </w:r>
          </w:p>
        </w:tc>
        <w:tc>
          <w:tcPr>
            <w:tcW w:w="880" w:type="dxa"/>
            <w:vAlign w:val="bottom"/>
            <w:shd w:val="clear" w:color="auto" w:fill="DBDBDB"/>
          </w:tcPr>
          <w:p>
            <w:pPr>
              <w:spacing w:after="0"/>
              <w:rPr>
                <w:sz w:val="19"/>
                <w:szCs w:val="19"/>
                <w:color w:val="auto"/>
              </w:rPr>
            </w:pPr>
          </w:p>
        </w:tc>
        <w:tc>
          <w:tcPr>
            <w:tcW w:w="4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spacing w:after="0"/>
              <w:rPr>
                <w:sz w:val="19"/>
                <w:szCs w:val="19"/>
                <w:color w:val="auto"/>
              </w:rPr>
            </w:pPr>
          </w:p>
        </w:tc>
        <w:tc>
          <w:tcPr>
            <w:tcW w:w="4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r>
      <w:tr>
        <w:trPr>
          <w:trHeight w:val="20"/>
        </w:trPr>
        <w:tc>
          <w:tcPr>
            <w:tcW w:w="606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Assets of U.S. retiree health care plan:</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Fixed income securities and cash equivalents</w:t>
            </w:r>
          </w:p>
        </w:tc>
        <w:tc>
          <w:tcPr>
            <w:tcW w:w="880" w:type="dxa"/>
            <w:vAlign w:val="bottom"/>
            <w:shd w:val="clear" w:color="auto" w:fill="DBDBDB"/>
          </w:tcPr>
          <w:p>
            <w:pPr>
              <w:jc w:val="right"/>
              <w:ind w:right="673"/>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695"/>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48"/>
        </w:trPr>
        <w:tc>
          <w:tcPr>
            <w:tcW w:w="6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DBDBDB"/>
          </w:tcPr>
          <w:p>
            <w:pPr>
              <w:jc w:val="right"/>
              <w:ind w:right="673"/>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900" w:type="dxa"/>
            <w:vAlign w:val="bottom"/>
            <w:tcBorders>
              <w:top w:val="single" w:sz="8" w:color="auto"/>
              <w:bottom w:val="single" w:sz="8" w:color="auto"/>
            </w:tcBorders>
            <w:shd w:val="clear" w:color="auto" w:fill="DBDBDB"/>
          </w:tcPr>
          <w:p>
            <w:pPr>
              <w:jc w:val="right"/>
              <w:ind w:right="69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280</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204"/>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Assets of non-U.S. defined benefit plans:</w:t>
            </w:r>
          </w:p>
        </w:tc>
        <w:tc>
          <w:tcPr>
            <w:tcW w:w="8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Fixed income securities and cash equivalents</w:t>
            </w: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1,382</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 securities</w:t>
            </w:r>
          </w:p>
        </w:tc>
        <w:tc>
          <w:tcPr>
            <w:tcW w:w="88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440</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r>
      <w:tr>
        <w:trPr>
          <w:trHeight w:val="21"/>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 as well as cash equivalents.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and investment policies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2320" w:type="dxa"/>
            <w:vAlign w:val="bottom"/>
            <w:gridSpan w:val="4"/>
          </w:tcPr>
          <w:p>
            <w:pPr>
              <w:ind w:left="420"/>
              <w:spacing w:after="0"/>
              <w:rPr>
                <w:sz w:val="20"/>
                <w:szCs w:val="20"/>
                <w:color w:val="auto"/>
              </w:rPr>
            </w:pPr>
            <w:r>
              <w:rPr>
                <w:rFonts w:ascii="Arial" w:cs="Arial" w:eastAsia="Arial" w:hAnsi="Arial"/>
                <w:sz w:val="14"/>
                <w:szCs w:val="14"/>
                <w:b w:val="1"/>
                <w:bCs w:val="1"/>
                <w:color w:val="auto"/>
              </w:rPr>
              <w:t>U.S. Defined Benefit</w:t>
            </w:r>
          </w:p>
        </w:tc>
        <w:tc>
          <w:tcPr>
            <w:tcW w:w="2340" w:type="dxa"/>
            <w:vAlign w:val="bottom"/>
            <w:gridSpan w:val="4"/>
          </w:tcPr>
          <w:p>
            <w:pPr>
              <w:ind w:left="300"/>
              <w:spacing w:after="0"/>
              <w:rPr>
                <w:sz w:val="20"/>
                <w:szCs w:val="20"/>
                <w:color w:val="auto"/>
              </w:rPr>
            </w:pPr>
            <w:r>
              <w:rPr>
                <w:rFonts w:ascii="Arial" w:cs="Arial" w:eastAsia="Arial" w:hAnsi="Arial"/>
                <w:sz w:val="14"/>
                <w:szCs w:val="14"/>
                <w:b w:val="1"/>
                <w:bCs w:val="1"/>
                <w:color w:val="auto"/>
              </w:rPr>
              <w:t>U.S. Retiree Health Care</w:t>
            </w:r>
          </w:p>
        </w:tc>
        <w:tc>
          <w:tcPr>
            <w:tcW w:w="2240" w:type="dxa"/>
            <w:vAlign w:val="bottom"/>
            <w:gridSpan w:val="3"/>
          </w:tcPr>
          <w:p>
            <w:pPr>
              <w:ind w:left="260"/>
              <w:spacing w:after="0"/>
              <w:rPr>
                <w:sz w:val="20"/>
                <w:szCs w:val="20"/>
                <w:color w:val="auto"/>
              </w:rPr>
            </w:pPr>
            <w:r>
              <w:rPr>
                <w:rFonts w:ascii="Arial" w:cs="Arial" w:eastAsia="Arial" w:hAnsi="Arial"/>
                <w:sz w:val="14"/>
                <w:szCs w:val="14"/>
                <w:b w:val="1"/>
                <w:bCs w:val="1"/>
                <w:color w:val="auto"/>
              </w:rPr>
              <w:t>Non-U.S. Defined Benefit</w:t>
            </w:r>
          </w:p>
        </w:tc>
      </w:tr>
      <w:tr>
        <w:trPr>
          <w:trHeight w:val="196"/>
        </w:trPr>
        <w:tc>
          <w:tcPr>
            <w:tcW w:w="4300" w:type="dxa"/>
            <w:vAlign w:val="bottom"/>
            <w:tcBorders>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BDBDB"/>
            </w:tcBorders>
          </w:tcPr>
          <w:p>
            <w:pPr>
              <w:spacing w:after="0"/>
              <w:rPr>
                <w:sz w:val="17"/>
                <w:szCs w:val="17"/>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r>
      <w:tr>
        <w:trPr>
          <w:trHeight w:val="156"/>
        </w:trPr>
        <w:tc>
          <w:tcPr>
            <w:tcW w:w="4300" w:type="dxa"/>
            <w:vAlign w:val="bottom"/>
            <w:shd w:val="clear" w:color="auto" w:fill="DBDBDB"/>
          </w:tcPr>
          <w:p>
            <w:pPr>
              <w:ind w:left="20"/>
              <w:spacing w:after="0" w:line="157" w:lineRule="exact"/>
              <w:rPr>
                <w:sz w:val="20"/>
                <w:szCs w:val="20"/>
                <w:color w:val="auto"/>
              </w:rPr>
            </w:pPr>
            <w:r>
              <w:rPr>
                <w:rFonts w:ascii="Arial" w:cs="Arial" w:eastAsia="Arial" w:hAnsi="Arial"/>
                <w:sz w:val="18"/>
                <w:szCs w:val="18"/>
                <w:b w:val="1"/>
                <w:bCs w:val="1"/>
                <w:color w:val="auto"/>
              </w:rPr>
              <w:t>Weighted average assumptions used to</w:t>
            </w: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r>
      <w:tr>
        <w:trPr>
          <w:trHeight w:val="243"/>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determine benefit obligations:</w:t>
            </w: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5.20%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5.67%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5.17%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3.28%</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3.45%</w:t>
            </w:r>
          </w:p>
        </w:tc>
      </w:tr>
      <w:tr>
        <w:trPr>
          <w:trHeight w:val="230"/>
        </w:trPr>
        <w:tc>
          <w:tcPr>
            <w:tcW w:w="43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Long-term pay progression</w:t>
            </w: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3.00%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3.75%</w:t>
            </w:r>
          </w:p>
        </w:tc>
        <w:tc>
          <w:tcPr>
            <w:tcW w:w="10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ind w:left="400"/>
              <w:spacing w:after="0"/>
              <w:rPr>
                <w:sz w:val="20"/>
                <w:szCs w:val="20"/>
                <w:color w:val="auto"/>
              </w:rPr>
            </w:pPr>
            <w:r>
              <w:rPr>
                <w:rFonts w:ascii="Arial" w:cs="Arial" w:eastAsia="Arial" w:hAnsi="Arial"/>
                <w:sz w:val="18"/>
                <w:szCs w:val="18"/>
                <w:b w:val="1"/>
                <w:bCs w:val="1"/>
                <w:color w:val="auto"/>
              </w:rPr>
              <w:t>n/a</w:t>
            </w:r>
          </w:p>
        </w:tc>
        <w:tc>
          <w:tcPr>
            <w:tcW w:w="1180" w:type="dxa"/>
            <w:vAlign w:val="bottom"/>
            <w:gridSpan w:val="2"/>
            <w:shd w:val="clear" w:color="auto" w:fill="DBDBDB"/>
          </w:tcPr>
          <w:p>
            <w:pPr>
              <w:ind w:left="42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3.12%</w:t>
            </w: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3.03%</w:t>
            </w:r>
          </w:p>
        </w:tc>
      </w:tr>
      <w:tr>
        <w:trPr>
          <w:trHeight w:val="257"/>
        </w:trPr>
        <w:tc>
          <w:tcPr>
            <w:tcW w:w="4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75"/>
        </w:trPr>
        <w:tc>
          <w:tcPr>
            <w:tcW w:w="43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b w:val="1"/>
                <w:bCs w:val="1"/>
                <w:color w:val="auto"/>
              </w:rPr>
              <w:t>Weighted average assumptions used to</w:t>
            </w: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r>
      <w:tr>
        <w:trPr>
          <w:trHeight w:val="243"/>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determine net periodic benefit cost:</w:t>
            </w: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5.67%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3.82%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5.68%</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3.45%</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1.57%</w:t>
            </w:r>
          </w:p>
        </w:tc>
      </w:tr>
      <w:tr>
        <w:trPr>
          <w:trHeight w:val="229"/>
        </w:trPr>
        <w:tc>
          <w:tcPr>
            <w:tcW w:w="43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Long-term rate of return on plan assets</w:t>
            </w: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5.70%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3.80%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5.70%</w:t>
            </w:r>
          </w:p>
        </w:tc>
        <w:tc>
          <w:tcPr>
            <w:tcW w:w="100" w:type="dxa"/>
            <w:vAlign w:val="bottom"/>
            <w:shd w:val="clear" w:color="auto" w:fill="DBDBDB"/>
          </w:tcPr>
          <w:p>
            <w:pPr>
              <w:spacing w:after="0"/>
              <w:rPr>
                <w:sz w:val="19"/>
                <w:szCs w:val="19"/>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2.73%</w:t>
            </w:r>
          </w:p>
        </w:tc>
      </w:tr>
      <w:tr>
        <w:trPr>
          <w:trHeight w:val="247"/>
        </w:trPr>
        <w:tc>
          <w:tcPr>
            <w:tcW w:w="4300" w:type="dxa"/>
            <w:vAlign w:val="bottom"/>
          </w:tcPr>
          <w:p>
            <w:pPr>
              <w:ind w:left="140"/>
              <w:spacing w:after="0"/>
              <w:rPr>
                <w:sz w:val="20"/>
                <w:szCs w:val="20"/>
                <w:color w:val="auto"/>
              </w:rPr>
            </w:pPr>
            <w:r>
              <w:rPr>
                <w:rFonts w:ascii="Arial" w:cs="Arial" w:eastAsia="Arial" w:hAnsi="Arial"/>
                <w:sz w:val="18"/>
                <w:szCs w:val="18"/>
                <w:color w:val="auto"/>
              </w:rPr>
              <w:t>Long-term pay progression</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3.75%</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3.70%</w:t>
            </w:r>
          </w:p>
        </w:tc>
        <w:tc>
          <w:tcPr>
            <w:tcW w:w="100" w:type="dxa"/>
            <w:vAlign w:val="bottom"/>
          </w:tcPr>
          <w:p>
            <w:pPr>
              <w:spacing w:after="0"/>
              <w:rPr>
                <w:sz w:val="21"/>
                <w:szCs w:val="21"/>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b w:val="1"/>
                <w:bCs w:val="1"/>
                <w:color w:val="auto"/>
              </w:rPr>
              <w:t>n/a</w:t>
            </w: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3.03%</w:t>
            </w:r>
          </w:p>
        </w:tc>
        <w:tc>
          <w:tcPr>
            <w:tcW w:w="1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3.15%</w:t>
            </w:r>
          </w:p>
        </w:tc>
      </w:tr>
    </w:tbl>
    <w:p>
      <w:pPr>
        <w:spacing w:after="0" w:line="2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simulate a portfolio that would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is used to establish the discount 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8" w:name="page49"/>
    <w:bookmarkEnd w:id="48"/>
    <w:p>
      <w:pPr>
        <w:ind w:right="100"/>
        <w:spacing w:after="0" w:line="262"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target allocation ranges for the plans that hold a substantial majority of the defined benefit assets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U.S. Defined Benefit</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U.S. Retiree Health</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Non-U.S. Defined</w:t>
            </w: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Care</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223"/>
        </w:trPr>
        <w:tc>
          <w:tcPr>
            <w:tcW w:w="6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Fixed income securities and cash equivalents</w:t>
            </w:r>
          </w:p>
        </w:tc>
        <w:tc>
          <w:tcPr>
            <w:tcW w:w="14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65% – 80%</w:t>
            </w:r>
          </w:p>
        </w:tc>
        <w:tc>
          <w:tcPr>
            <w:tcW w:w="100" w:type="dxa"/>
            <w:vAlign w:val="bottom"/>
            <w:tcBorders>
              <w:top w:val="single" w:sz="8" w:color="DBDBDB"/>
            </w:tcBorders>
            <w:shd w:val="clear" w:color="auto" w:fill="DBDBDB"/>
          </w:tcPr>
          <w:p>
            <w:pPr>
              <w:spacing w:after="0"/>
              <w:rPr>
                <w:sz w:val="19"/>
                <w:szCs w:val="19"/>
                <w:color w:val="auto"/>
              </w:rPr>
            </w:pPr>
          </w:p>
        </w:tc>
        <w:tc>
          <w:tcPr>
            <w:tcW w:w="14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75% – 85%</w:t>
            </w:r>
          </w:p>
        </w:tc>
        <w:tc>
          <w:tcPr>
            <w:tcW w:w="100" w:type="dxa"/>
            <w:vAlign w:val="bottom"/>
            <w:tcBorders>
              <w:top w:val="single" w:sz="8" w:color="DBDBDB"/>
            </w:tcBorders>
            <w:shd w:val="clear" w:color="auto" w:fill="DBDBDB"/>
          </w:tcPr>
          <w:p>
            <w:pPr>
              <w:spacing w:after="0"/>
              <w:rPr>
                <w:sz w:val="19"/>
                <w:szCs w:val="19"/>
                <w:color w:val="auto"/>
              </w:rPr>
            </w:pPr>
          </w:p>
        </w:tc>
        <w:tc>
          <w:tcPr>
            <w:tcW w:w="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8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 100%</w:t>
            </w:r>
          </w:p>
        </w:tc>
        <w:tc>
          <w:tcPr>
            <w:tcW w:w="0" w:type="dxa"/>
            <w:vAlign w:val="bottom"/>
          </w:tcPr>
          <w:p>
            <w:pPr>
              <w:spacing w:after="0"/>
              <w:rPr>
                <w:sz w:val="1"/>
                <w:szCs w:val="1"/>
                <w:color w:val="auto"/>
              </w:rPr>
            </w:pPr>
          </w:p>
        </w:tc>
      </w:tr>
      <w:tr>
        <w:trPr>
          <w:trHeight w:val="239"/>
        </w:trPr>
        <w:tc>
          <w:tcPr>
            <w:tcW w:w="67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20% – 35%</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15% – 25%</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ind w:left="20"/>
              <w:spacing w:after="0"/>
              <w:rPr>
                <w:sz w:val="20"/>
                <w:szCs w:val="20"/>
                <w:color w:val="auto"/>
              </w:rPr>
            </w:pPr>
            <w:r>
              <w:rPr>
                <w:rFonts w:ascii="Arial" w:cs="Arial" w:eastAsia="Arial" w:hAnsi="Arial"/>
                <w:sz w:val="18"/>
                <w:szCs w:val="18"/>
                <w:color w:val="auto"/>
              </w:rPr>
              <w:t>– 40%</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We rebalance the plans’ investments when they are outside the target allocation ranges.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as of December 31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7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U.S. Defined Benefit</w:t>
            </w:r>
          </w:p>
        </w:tc>
        <w:tc>
          <w:tcPr>
            <w:tcW w:w="1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U.S. Retiree Health</w:t>
            </w: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rPr>
              <w:t>Non-U.S. Defined</w:t>
            </w:r>
          </w:p>
        </w:tc>
        <w:tc>
          <w:tcPr>
            <w:tcW w:w="0" w:type="dxa"/>
            <w:vAlign w:val="bottom"/>
          </w:tcPr>
          <w:p>
            <w:pPr>
              <w:spacing w:after="0"/>
              <w:rPr>
                <w:sz w:val="1"/>
                <w:szCs w:val="1"/>
                <w:color w:val="auto"/>
              </w:rPr>
            </w:pPr>
          </w:p>
        </w:tc>
      </w:tr>
      <w:tr>
        <w:trPr>
          <w:trHeight w:val="189"/>
        </w:trPr>
        <w:tc>
          <w:tcPr>
            <w:tcW w:w="6040" w:type="dxa"/>
            <w:vAlign w:val="bottom"/>
          </w:tcPr>
          <w:p>
            <w:pPr>
              <w:spacing w:after="0"/>
              <w:rPr>
                <w:sz w:val="16"/>
                <w:szCs w:val="16"/>
                <w:color w:val="auto"/>
              </w:rPr>
            </w:pPr>
          </w:p>
        </w:tc>
        <w:tc>
          <w:tcPr>
            <w:tcW w:w="176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Care</w:t>
            </w:r>
          </w:p>
        </w:tc>
        <w:tc>
          <w:tcPr>
            <w:tcW w:w="560" w:type="dxa"/>
            <w:vAlign w:val="bottom"/>
          </w:tcPr>
          <w:p>
            <w:pPr>
              <w:spacing w:after="0"/>
              <w:rPr>
                <w:sz w:val="16"/>
                <w:szCs w:val="16"/>
                <w:color w:val="auto"/>
              </w:rPr>
            </w:pPr>
          </w:p>
        </w:tc>
        <w:tc>
          <w:tcPr>
            <w:tcW w:w="108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195"/>
        </w:trPr>
        <w:tc>
          <w:tcPr>
            <w:tcW w:w="604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620" w:type="dxa"/>
            <w:vAlign w:val="bottom"/>
            <w:tcBorders>
              <w:top w:val="single" w:sz="8" w:color="auto"/>
            </w:tcBorders>
          </w:tcPr>
          <w:p>
            <w:pPr>
              <w:jc w:val="center"/>
              <w:ind w:left="59"/>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top w:val="single" w:sz="8" w:color="auto"/>
            </w:tcBorders>
            <w:gridSpan w:val="3"/>
          </w:tcPr>
          <w:p>
            <w:pPr>
              <w:jc w:val="center"/>
              <w:ind w:left="18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560" w:type="dxa"/>
            <w:vAlign w:val="bottom"/>
            <w:tcBorders>
              <w:top w:val="single" w:sz="8" w:color="auto"/>
            </w:tcBorders>
          </w:tcPr>
          <w:p>
            <w:pPr>
              <w:jc w:val="center"/>
              <w:ind w:left="119"/>
              <w:spacing w:after="0"/>
              <w:rPr>
                <w:sz w:val="20"/>
                <w:szCs w:val="20"/>
                <w:color w:val="auto"/>
              </w:rPr>
            </w:pPr>
            <w:r>
              <w:rPr>
                <w:rFonts w:ascii="Arial" w:cs="Arial" w:eastAsia="Arial" w:hAnsi="Arial"/>
                <w:sz w:val="14"/>
                <w:szCs w:val="14"/>
                <w:b w:val="1"/>
                <w:bCs w:val="1"/>
                <w:color w:val="auto"/>
              </w:rPr>
              <w:t>2023</w:t>
            </w:r>
          </w:p>
        </w:tc>
        <w:tc>
          <w:tcPr>
            <w:tcW w:w="1080" w:type="dxa"/>
            <w:vAlign w:val="bottom"/>
            <w:tcBorders>
              <w:top w:val="single" w:sz="8" w:color="auto"/>
            </w:tcBorders>
            <w:gridSpan w:val="3"/>
          </w:tcPr>
          <w:p>
            <w:pPr>
              <w:jc w:val="center"/>
              <w:ind w:left="24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6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Fixed income securities and cash equivalents</w:t>
            </w:r>
          </w:p>
        </w:tc>
        <w:tc>
          <w:tcPr>
            <w:tcW w:w="78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65%</w:t>
            </w:r>
          </w:p>
        </w:tc>
        <w:tc>
          <w:tcPr>
            <w:tcW w:w="10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65%</w:t>
            </w:r>
          </w:p>
        </w:tc>
        <w:tc>
          <w:tcPr>
            <w:tcW w:w="120" w:type="dxa"/>
            <w:vAlign w:val="bottom"/>
            <w:tcBorders>
              <w:top w:val="single" w:sz="8" w:color="DBDBDB"/>
            </w:tcBorders>
            <w:shd w:val="clear" w:color="auto" w:fill="DBDBDB"/>
          </w:tcPr>
          <w:p>
            <w:pPr>
              <w:spacing w:after="0"/>
              <w:rPr>
                <w:sz w:val="19"/>
                <w:szCs w:val="19"/>
                <w:color w:val="auto"/>
              </w:rPr>
            </w:pPr>
          </w:p>
        </w:tc>
        <w:tc>
          <w:tcPr>
            <w:tcW w:w="620" w:type="dxa"/>
            <w:vAlign w:val="bottom"/>
            <w:tcBorders>
              <w:top w:val="single" w:sz="8" w:color="auto"/>
            </w:tcBorders>
            <w:shd w:val="clear" w:color="auto" w:fill="DBDBDB"/>
          </w:tcPr>
          <w:p>
            <w:pPr>
              <w:jc w:val="center"/>
              <w:ind w:left="59"/>
              <w:spacing w:after="0"/>
              <w:rPr>
                <w:sz w:val="20"/>
                <w:szCs w:val="20"/>
                <w:color w:val="auto"/>
              </w:rPr>
            </w:pPr>
            <w:r>
              <w:rPr>
                <w:rFonts w:ascii="Arial" w:cs="Arial" w:eastAsia="Arial" w:hAnsi="Arial"/>
                <w:sz w:val="18"/>
                <w:szCs w:val="18"/>
                <w:b w:val="1"/>
                <w:bCs w:val="1"/>
                <w:color w:val="auto"/>
                <w:w w:val="99"/>
              </w:rPr>
              <w:t>80%</w:t>
            </w:r>
          </w:p>
        </w:tc>
        <w:tc>
          <w:tcPr>
            <w:tcW w:w="1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65%</w:t>
            </w:r>
          </w:p>
        </w:tc>
        <w:tc>
          <w:tcPr>
            <w:tcW w:w="120" w:type="dxa"/>
            <w:vAlign w:val="bottom"/>
            <w:tcBorders>
              <w:top w:val="single" w:sz="8" w:color="DBDBDB"/>
            </w:tcBorders>
            <w:shd w:val="clear" w:color="auto" w:fill="DBDBDB"/>
          </w:tcPr>
          <w:p>
            <w:pPr>
              <w:spacing w:after="0"/>
              <w:rPr>
                <w:sz w:val="19"/>
                <w:szCs w:val="19"/>
                <w:color w:val="auto"/>
              </w:rPr>
            </w:pPr>
          </w:p>
        </w:tc>
        <w:tc>
          <w:tcPr>
            <w:tcW w:w="560" w:type="dxa"/>
            <w:vAlign w:val="bottom"/>
            <w:tcBorders>
              <w:top w:val="single" w:sz="8" w:color="auto"/>
            </w:tcBorders>
            <w:shd w:val="clear" w:color="auto" w:fill="DBDBDB"/>
          </w:tcPr>
          <w:p>
            <w:pPr>
              <w:jc w:val="center"/>
              <w:ind w:left="119"/>
              <w:spacing w:after="0"/>
              <w:rPr>
                <w:sz w:val="20"/>
                <w:szCs w:val="20"/>
                <w:color w:val="auto"/>
              </w:rPr>
            </w:pPr>
            <w:r>
              <w:rPr>
                <w:rFonts w:ascii="Arial" w:cs="Arial" w:eastAsia="Arial" w:hAnsi="Arial"/>
                <w:sz w:val="18"/>
                <w:szCs w:val="18"/>
                <w:b w:val="1"/>
                <w:bCs w:val="1"/>
                <w:color w:val="auto"/>
                <w:w w:val="99"/>
              </w:rPr>
              <w:t>77%</w:t>
            </w:r>
          </w:p>
        </w:tc>
        <w:tc>
          <w:tcPr>
            <w:tcW w:w="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76%</w:t>
            </w:r>
          </w:p>
        </w:tc>
        <w:tc>
          <w:tcPr>
            <w:tcW w:w="0" w:type="dxa"/>
            <w:vAlign w:val="bottom"/>
          </w:tcPr>
          <w:p>
            <w:pPr>
              <w:spacing w:after="0"/>
              <w:rPr>
                <w:sz w:val="1"/>
                <w:szCs w:val="1"/>
                <w:color w:val="auto"/>
              </w:rPr>
            </w:pPr>
          </w:p>
        </w:tc>
      </w:tr>
      <w:tr>
        <w:trPr>
          <w:trHeight w:val="247"/>
        </w:trPr>
        <w:tc>
          <w:tcPr>
            <w:tcW w:w="60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35%</w:t>
            </w:r>
          </w:p>
        </w:tc>
        <w:tc>
          <w:tcPr>
            <w:tcW w:w="10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20" w:type="dxa"/>
            <w:vAlign w:val="bottom"/>
          </w:tcPr>
          <w:p>
            <w:pPr>
              <w:spacing w:after="0"/>
              <w:rPr>
                <w:sz w:val="21"/>
                <w:szCs w:val="21"/>
                <w:color w:val="auto"/>
              </w:rPr>
            </w:pPr>
          </w:p>
        </w:tc>
        <w:tc>
          <w:tcPr>
            <w:tcW w:w="620" w:type="dxa"/>
            <w:vAlign w:val="bottom"/>
          </w:tcPr>
          <w:p>
            <w:pPr>
              <w:jc w:val="center"/>
              <w:ind w:left="59"/>
              <w:spacing w:after="0"/>
              <w:rPr>
                <w:sz w:val="20"/>
                <w:szCs w:val="20"/>
                <w:color w:val="auto"/>
              </w:rPr>
            </w:pPr>
            <w:r>
              <w:rPr>
                <w:rFonts w:ascii="Arial" w:cs="Arial" w:eastAsia="Arial" w:hAnsi="Arial"/>
                <w:sz w:val="18"/>
                <w:szCs w:val="18"/>
                <w:b w:val="1"/>
                <w:bCs w:val="1"/>
                <w:color w:val="auto"/>
                <w:w w:val="99"/>
              </w:rPr>
              <w:t>20%</w:t>
            </w:r>
          </w:p>
        </w:tc>
        <w:tc>
          <w:tcPr>
            <w:tcW w:w="1020" w:type="dxa"/>
            <w:vAlign w:val="bottom"/>
            <w:gridSpan w:val="3"/>
          </w:tcPr>
          <w:p>
            <w:pPr>
              <w:jc w:val="center"/>
              <w:ind w:left="182"/>
              <w:spacing w:after="0"/>
              <w:rPr>
                <w:sz w:val="20"/>
                <w:szCs w:val="20"/>
                <w:color w:val="auto"/>
              </w:rPr>
            </w:pPr>
            <w:r>
              <w:rPr>
                <w:rFonts w:ascii="Arial" w:cs="Arial" w:eastAsia="Arial" w:hAnsi="Arial"/>
                <w:sz w:val="18"/>
                <w:szCs w:val="18"/>
                <w:color w:val="auto"/>
                <w:w w:val="99"/>
              </w:rPr>
              <w:t>35%</w:t>
            </w:r>
          </w:p>
        </w:tc>
        <w:tc>
          <w:tcPr>
            <w:tcW w:w="120" w:type="dxa"/>
            <w:vAlign w:val="bottom"/>
          </w:tcPr>
          <w:p>
            <w:pPr>
              <w:spacing w:after="0"/>
              <w:rPr>
                <w:sz w:val="21"/>
                <w:szCs w:val="21"/>
                <w:color w:val="auto"/>
              </w:rPr>
            </w:pPr>
          </w:p>
        </w:tc>
        <w:tc>
          <w:tcPr>
            <w:tcW w:w="560" w:type="dxa"/>
            <w:vAlign w:val="bottom"/>
          </w:tcPr>
          <w:p>
            <w:pPr>
              <w:jc w:val="center"/>
              <w:ind w:left="119"/>
              <w:spacing w:after="0"/>
              <w:rPr>
                <w:sz w:val="20"/>
                <w:szCs w:val="20"/>
                <w:color w:val="auto"/>
              </w:rPr>
            </w:pPr>
            <w:r>
              <w:rPr>
                <w:rFonts w:ascii="Arial" w:cs="Arial" w:eastAsia="Arial" w:hAnsi="Arial"/>
                <w:sz w:val="18"/>
                <w:szCs w:val="18"/>
                <w:b w:val="1"/>
                <w:bCs w:val="1"/>
                <w:color w:val="auto"/>
                <w:w w:val="99"/>
              </w:rPr>
              <w:t>23%</w:t>
            </w:r>
          </w:p>
        </w:tc>
        <w:tc>
          <w:tcPr>
            <w:tcW w:w="1080" w:type="dxa"/>
            <w:vAlign w:val="bottom"/>
            <w:gridSpan w:val="3"/>
          </w:tcPr>
          <w:p>
            <w:pPr>
              <w:jc w:val="center"/>
              <w:ind w:left="242"/>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ind w:right="220"/>
        <w:spacing w:after="0" w:line="287" w:lineRule="auto"/>
        <w:rPr>
          <w:sz w:val="20"/>
          <w:szCs w:val="20"/>
          <w:color w:val="auto"/>
        </w:rPr>
      </w:pPr>
      <w:r>
        <w:rPr>
          <w:rFonts w:ascii="Arial" w:cs="Arial" w:eastAsia="Arial" w:hAnsi="Arial"/>
          <w:sz w:val="18"/>
          <w:szCs w:val="18"/>
          <w:color w:val="auto"/>
        </w:rPr>
        <w:t>None of the plan assets related to the defined benefit pension plans and retiree health care benefit plan are directly invested in TI common stock.</w:t>
      </w:r>
    </w:p>
    <w:p>
      <w:pPr>
        <w:spacing w:after="0" w:line="153"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assumed future benefit payments to plan participants in the next 10 years are used to measure our benefit obligations. Almost all of the payments, which may vary significantly from these assumptions, will be made from plan assets and not from company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Borders>
              <w:bottom w:val="single" w:sz="8" w:color="DBDBDB"/>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DBDBDB"/>
            </w:tcBorders>
          </w:tcPr>
          <w:p>
            <w:pPr>
              <w:spacing w:after="0"/>
              <w:rPr>
                <w:sz w:val="17"/>
                <w:szCs w:val="17"/>
                <w:color w:val="auto"/>
              </w:rPr>
            </w:pPr>
          </w:p>
        </w:tc>
        <w:tc>
          <w:tcPr>
            <w:tcW w:w="9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2028</w:t>
            </w: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2029 – 2033</w:t>
            </w:r>
          </w:p>
        </w:tc>
        <w:tc>
          <w:tcPr>
            <w:tcW w:w="20" w:type="dxa"/>
            <w:vAlign w:val="bottom"/>
          </w:tcPr>
          <w:p>
            <w:pPr>
              <w:spacing w:after="0"/>
              <w:rPr>
                <w:sz w:val="17"/>
                <w:szCs w:val="17"/>
                <w:color w:val="auto"/>
              </w:rPr>
            </w:pPr>
          </w:p>
        </w:tc>
      </w:tr>
      <w:tr>
        <w:trPr>
          <w:trHeight w:val="224"/>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Defined Benefit</w:t>
            </w:r>
          </w:p>
        </w:tc>
        <w:tc>
          <w:tcPr>
            <w:tcW w:w="840" w:type="dxa"/>
            <w:vAlign w:val="bottom"/>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U.S. Retiree Health Care</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Non-U.S. Defined Benefit</w:t>
            </w:r>
          </w:p>
        </w:tc>
        <w:tc>
          <w:tcPr>
            <w:tcW w:w="8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9"/>
                <w:szCs w:val="19"/>
                <w:color w:val="auto"/>
              </w:rPr>
            </w:pPr>
          </w:p>
        </w:tc>
      </w:tr>
      <w:tr>
        <w:trPr>
          <w:trHeight w:val="530"/>
        </w:trPr>
        <w:tc>
          <w:tcPr>
            <w:tcW w:w="9580" w:type="dxa"/>
            <w:vAlign w:val="bottom"/>
            <w:gridSpan w:val="15"/>
          </w:tcPr>
          <w:p>
            <w:pPr>
              <w:spacing w:after="0"/>
              <w:rPr>
                <w:sz w:val="20"/>
                <w:szCs w:val="20"/>
                <w:color w:val="auto"/>
              </w:rPr>
            </w:pPr>
            <w:r>
              <w:rPr>
                <w:rFonts w:ascii="Arial" w:cs="Arial" w:eastAsia="Arial" w:hAnsi="Arial"/>
                <w:sz w:val="18"/>
                <w:szCs w:val="18"/>
                <w:color w:val="auto"/>
              </w:rPr>
              <w:t>Assumed health care cost trend rates for the U.S. retiree health care benefit plan as of December 31 are as follows: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3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left="25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3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9"/>
                <w:szCs w:val="19"/>
                <w:color w:val="auto"/>
              </w:rPr>
            </w:pPr>
          </w:p>
        </w:tc>
      </w:tr>
      <w:tr>
        <w:trPr>
          <w:trHeight w:val="224"/>
        </w:trPr>
        <w:tc>
          <w:tcPr>
            <w:tcW w:w="434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Assumed health care cost trend rate for next year</w:t>
            </w:r>
          </w:p>
        </w:tc>
        <w:tc>
          <w:tcPr>
            <w:tcW w:w="3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DBDBDB"/>
            </w:tcBorders>
            <w:shd w:val="clear" w:color="auto" w:fill="DBDBDB"/>
          </w:tcPr>
          <w:p>
            <w:pPr>
              <w:spacing w:after="0"/>
              <w:rPr>
                <w:sz w:val="19"/>
                <w:szCs w:val="19"/>
                <w:color w:val="auto"/>
              </w:rPr>
            </w:pPr>
          </w:p>
        </w:tc>
        <w:tc>
          <w:tcPr>
            <w:tcW w:w="9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center"/>
              <w:ind w:left="230"/>
              <w:spacing w:after="0"/>
              <w:rPr>
                <w:sz w:val="20"/>
                <w:szCs w:val="20"/>
                <w:color w:val="auto"/>
              </w:rPr>
            </w:pPr>
            <w:r>
              <w:rPr>
                <w:rFonts w:ascii="Arial" w:cs="Arial" w:eastAsia="Arial" w:hAnsi="Arial"/>
                <w:sz w:val="18"/>
                <w:szCs w:val="18"/>
                <w:b w:val="1"/>
                <w:bCs w:val="1"/>
                <w:color w:val="auto"/>
              </w:rPr>
              <w:t>7.00%</w:t>
            </w:r>
          </w:p>
        </w:tc>
        <w:tc>
          <w:tcPr>
            <w:tcW w:w="30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center"/>
              <w:ind w:right="55"/>
              <w:spacing w:after="0"/>
              <w:rPr>
                <w:sz w:val="20"/>
                <w:szCs w:val="20"/>
                <w:color w:val="auto"/>
              </w:rPr>
            </w:pPr>
            <w:r>
              <w:rPr>
                <w:rFonts w:ascii="Arial" w:cs="Arial" w:eastAsia="Arial" w:hAnsi="Arial"/>
                <w:sz w:val="18"/>
                <w:szCs w:val="18"/>
                <w:color w:val="auto"/>
                <w:w w:val="97"/>
              </w:rPr>
              <w:t>7.00%</w:t>
            </w:r>
          </w:p>
        </w:tc>
        <w:tc>
          <w:tcPr>
            <w:tcW w:w="20" w:type="dxa"/>
            <w:vAlign w:val="bottom"/>
            <w:tcBorders>
              <w:top w:val="single" w:sz="8" w:color="auto"/>
            </w:tcBorders>
            <w:shd w:val="clear" w:color="auto" w:fill="DBDBDB"/>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Ultimate trend rate</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left="257"/>
              <w:spacing w:after="0"/>
              <w:rPr>
                <w:sz w:val="20"/>
                <w:szCs w:val="20"/>
                <w:color w:val="auto"/>
              </w:rPr>
            </w:pPr>
            <w:r>
              <w:rPr>
                <w:rFonts w:ascii="Arial" w:cs="Arial" w:eastAsia="Arial" w:hAnsi="Arial"/>
                <w:sz w:val="18"/>
                <w:szCs w:val="18"/>
                <w:b w:val="1"/>
                <w:bCs w:val="1"/>
                <w:color w:val="auto"/>
              </w:rPr>
              <w:t>5.00%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55"/>
              <w:spacing w:after="0"/>
              <w:rPr>
                <w:sz w:val="20"/>
                <w:szCs w:val="20"/>
                <w:color w:val="auto"/>
              </w:rPr>
            </w:pPr>
            <w:r>
              <w:rPr>
                <w:rFonts w:ascii="Arial" w:cs="Arial" w:eastAsia="Arial" w:hAnsi="Arial"/>
                <w:sz w:val="18"/>
                <w:szCs w:val="18"/>
                <w:color w:val="auto"/>
                <w:w w:val="97"/>
              </w:rPr>
              <w:t>5.00%</w:t>
            </w:r>
          </w:p>
        </w:tc>
        <w:tc>
          <w:tcPr>
            <w:tcW w:w="20" w:type="dxa"/>
            <w:vAlign w:val="bottom"/>
          </w:tcPr>
          <w:p>
            <w:pPr>
              <w:spacing w:after="0"/>
              <w:rPr>
                <w:sz w:val="19"/>
                <w:szCs w:val="19"/>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w w:val="99"/>
              </w:rPr>
              <w:t>Year in which ultimate trend rate is reached</w:t>
            </w:r>
          </w:p>
        </w:tc>
        <w:tc>
          <w:tcPr>
            <w:tcW w:w="8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center"/>
              <w:ind w:left="257"/>
              <w:spacing w:after="0"/>
              <w:rPr>
                <w:sz w:val="20"/>
                <w:szCs w:val="20"/>
                <w:color w:val="auto"/>
              </w:rPr>
            </w:pPr>
            <w:r>
              <w:rPr>
                <w:rFonts w:ascii="Arial" w:cs="Arial" w:eastAsia="Arial" w:hAnsi="Arial"/>
                <w:sz w:val="18"/>
                <w:szCs w:val="18"/>
                <w:b w:val="1"/>
                <w:bCs w:val="1"/>
                <w:color w:val="auto"/>
                <w:w w:val="99"/>
              </w:rPr>
              <w:t>2032</w:t>
            </w:r>
          </w:p>
        </w:tc>
        <w:tc>
          <w:tcPr>
            <w:tcW w:w="3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center"/>
              <w:ind w:right="35"/>
              <w:spacing w:after="0"/>
              <w:rPr>
                <w:sz w:val="20"/>
                <w:szCs w:val="20"/>
                <w:color w:val="auto"/>
              </w:rPr>
            </w:pPr>
            <w:r>
              <w:rPr>
                <w:rFonts w:ascii="Arial" w:cs="Arial" w:eastAsia="Arial" w:hAnsi="Arial"/>
                <w:sz w:val="18"/>
                <w:szCs w:val="18"/>
                <w:color w:val="auto"/>
                <w:w w:val="99"/>
              </w:rPr>
              <w:t>2031</w:t>
            </w:r>
          </w:p>
        </w:tc>
        <w:tc>
          <w:tcPr>
            <w:tcW w:w="20" w:type="dxa"/>
            <w:vAlign w:val="bottom"/>
            <w:shd w:val="clear" w:color="auto" w:fill="DBDBDB"/>
          </w:tcPr>
          <w:p>
            <w:pPr>
              <w:spacing w:after="0"/>
              <w:rPr>
                <w:sz w:val="19"/>
                <w:szCs w:val="19"/>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plans</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deferred compensation plans that allow U.S. employees whose base salary and management responsibility exceed a certain level to defer receipt of a portion of their cash compensation. Payments under these plans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December 31, 2023, our liability to participants of the deferred compensation plans was $393 million and is recorded in other long-term liabilities on our Consolidated Balance Sheets. This amount reflects the accumulated participant deferrals and earnings thereon as of that date. We utilize total return swaps and investments in mutual funds that serve as economic hedges of our exposure to changes in the fair value of these liabilities. We record changes in the fair value of the liability and the related total return swaps and mutual funds in SG&amp;A, as discussed in Note 6. As of December 31, 2023, we held $12 million in mutual funds related to these plans that are recorded in long-term investments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maintain a line of credit to provide additional liquidity through bank loans and, if necessary, to support commercial paper borrowings. As of December 31, 2023, the aforementioned line of credit was a variable-rate, revolving credit facility from a consortium of investment-grade banks that allows us to borrow up to $1 billion until March 2024. The interest rate on borrowings under this credit facility, if drawn, is indexed to the applicable Term Secured Overnight Financing Rate (Term SOFR). As of December 31, 2023, our credit facility was undrawn, and we had no commercial paper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March 2023, we issued two series of senior unsecured notes for an aggregate principal amount of $1.4 billion, consisting of $750 million of 4.90% notes due in 2033 and $650 million of 5.00% notes due in 2053. We incurred $11 million of issuance and other related costs. The proceeds of the offering were $1.4 billion, net of the original issuance discounts, which will be used for general corporate purposes.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May 2023, we issued three series of senior unsecured notes for an aggregate principal amount of $1.6 billion, consisting of $200 million of 4.60% notes due in 2028, $200 million of 4.90% notes due in 2033 and $1.2 billion of 5.05% notes due in 2063. We incurred $7 million of issuance and other related costs. The proceeds of the offering were $1.6 billion, net of the original issuance discounts and premiums, which will be used for general corporate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May 2023, we retired $500 million of maturing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April 2022, we retired $500 million of maturing debt.</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August 2022, we issued two series of senior unsecured notes for an aggregate principal amount of $700 million, consisting of $400 million of 3.65% notes due in 2032 and $300 million of 4.10% notes due in 2052. We incurred $3 million of issuance and other related costs. The proceeds of the offering were $695 million, net of the original issuance discounts, which will be used for general corporate purposes.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In November 2022, we issued two series of senior unsecured notes for an aggregate principal amount of $ 800 million, consisting of $300 million of 4.70% notes due in 2024 and $500 million of 4.60% notes due in 2028. We incurred $3 million of issuance and other related costs. The proceeds of the offering were $799 million, net of the original issuance discounts, which will be used for general corporate purposes.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we retired $550 million of maturing debt.</w:t>
      </w:r>
    </w:p>
    <w:p>
      <w:pPr>
        <w:spacing w:after="0" w:line="22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September 2021, we issued three series of senior unsecured notes for an aggregate principal amount of $1.5 billion, consisting of $500 million of 1.125% notes due in 2026, $500 million of 1.90% notes due in 2031 and $500 million of 2.70% notes due in 2051. We incurred $10 million of issuance costs. The proceeds of the offering were $1.5 billion, net of the original issuance discounts, which will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224"/>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2023 at 2.25%</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2024 at 2.625%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2024 at 4.70%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2025 at 1.375%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2026 at 1.125%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2028 at 4.60%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2029 at 2.25%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2030 at 1.75%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2031 at 1.90%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2032 at 3.65%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Notes due 2033 at 4.90%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2052 at 4.10%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2053 at 5.00%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Notes due 2063 at 5.05%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11,300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8,800</w:t>
            </w:r>
          </w:p>
        </w:tc>
      </w:tr>
      <w:tr>
        <w:trPr>
          <w:trHeight w:val="229"/>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11,223</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8,735</w:t>
            </w:r>
          </w:p>
        </w:tc>
      </w:tr>
      <w:tr>
        <w:trPr>
          <w:trHeight w:val="229"/>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8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10,624</w:t>
            </w:r>
          </w:p>
        </w:tc>
        <w:tc>
          <w:tcPr>
            <w:tcW w:w="12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8,235</w:t>
            </w:r>
          </w:p>
        </w:tc>
      </w:tr>
      <w:tr>
        <w:trPr>
          <w:trHeight w:val="20"/>
        </w:trPr>
        <w:tc>
          <w:tcPr>
            <w:tcW w:w="86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was $353 million, $214 million and $184 million in 2023, 2022 and 2021, respectively. This was net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amortized discounts, premiums and issuance and other related costs. Cash payments for interest on long-term debt were $321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$198 million and $181 million in 2023, 2022 and 2021, respectively. Capitalized interest was $11 million, $6 million and $8 million in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 and 2021, respectively.</w:t>
      </w:r>
    </w:p>
    <w:p>
      <w:pPr>
        <w:spacing w:after="0" w:line="207"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renewal provisions and require us to pay real estate taxes, insurance and maintenance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leases are included as a component of the following balance sheet lines: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DBDBDB"/>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r>
      <w:tr>
        <w:trPr>
          <w:trHeight w:val="224"/>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579</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431</w:t>
            </w:r>
          </w:p>
        </w:tc>
      </w:tr>
      <w:tr>
        <w:trPr>
          <w:trHeight w:val="243"/>
        </w:trPr>
        <w:tc>
          <w:tcPr>
            <w:tcW w:w="8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expenses and other liabilities</w:t>
            </w: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r>
      <w:tr>
        <w:trPr>
          <w:trHeight w:val="247"/>
        </w:trPr>
        <w:tc>
          <w:tcPr>
            <w:tcW w:w="86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Details of our operating leases are as follows:</w:t>
      </w:r>
    </w:p>
    <w:p>
      <w:pPr>
        <w:spacing w:after="0" w:line="59"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For Years Ended</w:t>
      </w:r>
    </w:p>
    <w:p>
      <w:pPr>
        <w:spacing w:after="0" w:line="2"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40" w:type="dxa"/>
            <w:vAlign w:val="bottom"/>
            <w:tcBorders>
              <w:bottom w:val="single" w:sz="8" w:color="DBDBDB"/>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DBDBDB"/>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DBDBDB"/>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r>
      <w:tr>
        <w:trPr>
          <w:trHeight w:val="223"/>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 cost related to lease liabilities</w:t>
            </w:r>
          </w:p>
        </w:tc>
        <w:tc>
          <w:tcPr>
            <w:tcW w:w="800" w:type="dxa"/>
            <w:vAlign w:val="bottom"/>
            <w:shd w:val="clear" w:color="auto" w:fill="DBDBDB"/>
          </w:tcPr>
          <w:p>
            <w:pPr>
              <w:jc w:val="right"/>
              <w:ind w:right="595"/>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65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7340" w:type="dxa"/>
            <w:vAlign w:val="bottom"/>
            <w:shd w:val="clear" w:color="auto" w:fill="DBDBDB"/>
          </w:tcPr>
          <w:p>
            <w:pPr>
              <w:spacing w:after="0"/>
              <w:rPr>
                <w:sz w:val="23"/>
                <w:szCs w:val="23"/>
                <w:color w:val="auto"/>
              </w:rPr>
            </w:pPr>
          </w:p>
        </w:tc>
        <w:tc>
          <w:tcPr>
            <w:tcW w:w="800" w:type="dxa"/>
            <w:vAlign w:val="bottom"/>
            <w:shd w:val="clear" w:color="auto" w:fill="DBDBDB"/>
          </w:tcPr>
          <w:p>
            <w:pPr>
              <w:spacing w:after="0"/>
              <w:rPr>
                <w:sz w:val="23"/>
                <w:szCs w:val="23"/>
                <w:color w:val="auto"/>
              </w:rPr>
            </w:pPr>
          </w:p>
        </w:tc>
        <w:tc>
          <w:tcPr>
            <w:tcW w:w="4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860" w:type="dxa"/>
            <w:vAlign w:val="bottom"/>
            <w:shd w:val="clear" w:color="auto" w:fill="DBDBDB"/>
          </w:tcPr>
          <w:p>
            <w:pPr>
              <w:spacing w:after="0"/>
              <w:rPr>
                <w:sz w:val="23"/>
                <w:szCs w:val="23"/>
                <w:color w:val="auto"/>
              </w:rPr>
            </w:pPr>
          </w:p>
        </w:tc>
        <w:tc>
          <w:tcPr>
            <w:tcW w:w="3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940" w:type="dxa"/>
            <w:vAlign w:val="bottom"/>
            <w:shd w:val="clear" w:color="auto" w:fill="DBDBDB"/>
          </w:tcPr>
          <w:p>
            <w:pPr>
              <w:spacing w:after="0"/>
              <w:rPr>
                <w:sz w:val="23"/>
                <w:szCs w:val="23"/>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3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Operating cash flows for lease cost</w:t>
            </w:r>
          </w:p>
        </w:tc>
        <w:tc>
          <w:tcPr>
            <w:tcW w:w="800" w:type="dxa"/>
            <w:vAlign w:val="bottom"/>
            <w:shd w:val="clear" w:color="auto" w:fill="DBDBDB"/>
          </w:tcPr>
          <w:p>
            <w:pPr>
              <w:jc w:val="right"/>
              <w:ind w:right="595"/>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65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7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 assets obtained in exchange for new lease liabilities</w:t>
            </w:r>
          </w:p>
        </w:tc>
        <w:tc>
          <w:tcPr>
            <w:tcW w:w="800" w:type="dxa"/>
            <w:vAlign w:val="bottom"/>
            <w:shd w:val="clear" w:color="auto" w:fill="DBDBDB"/>
          </w:tcPr>
          <w:p>
            <w:pPr>
              <w:jc w:val="right"/>
              <w:ind w:right="595"/>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65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we had committed to make the following minimum payments under our noncancelable operating leases: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7"/>
                <w:szCs w:val="17"/>
                <w:color w:val="auto"/>
              </w:rPr>
            </w:pPr>
          </w:p>
        </w:tc>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4"/>
        </w:trPr>
        <w:tc>
          <w:tcPr>
            <w:tcW w:w="2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Lease payments</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center"/>
              <w:ind w:left="375"/>
              <w:spacing w:after="0"/>
              <w:rPr>
                <w:sz w:val="20"/>
                <w:szCs w:val="20"/>
                <w:color w:val="auto"/>
              </w:rPr>
            </w:pPr>
            <w:r>
              <w:rPr>
                <w:rFonts w:ascii="Arial" w:cs="Arial" w:eastAsia="Arial" w:hAnsi="Arial"/>
                <w:sz w:val="18"/>
                <w:szCs w:val="18"/>
                <w:color w:val="auto"/>
                <w:w w:val="99"/>
              </w:rPr>
              <w:t>730</w:t>
            </w:r>
          </w:p>
        </w:tc>
      </w:tr>
      <w:tr>
        <w:trPr>
          <w:trHeight w:val="229"/>
        </w:trPr>
        <w:tc>
          <w:tcPr>
            <w:tcW w:w="2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Imputed lease interest</w:t>
            </w:r>
          </w:p>
        </w:tc>
        <w:tc>
          <w:tcPr>
            <w:tcW w:w="26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9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9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spacing w:after="0"/>
              <w:rPr>
                <w:sz w:val="19"/>
                <w:szCs w:val="19"/>
                <w:color w:val="auto"/>
              </w:rPr>
            </w:pPr>
          </w:p>
        </w:tc>
        <w:tc>
          <w:tcPr>
            <w:tcW w:w="3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spacing w:after="0"/>
              <w:rPr>
                <w:sz w:val="19"/>
                <w:szCs w:val="19"/>
                <w:color w:val="auto"/>
              </w:rPr>
            </w:pPr>
          </w:p>
        </w:tc>
        <w:tc>
          <w:tcPr>
            <w:tcW w:w="3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9"/>
              </w:rPr>
              <w:t>(164)</w:t>
            </w:r>
          </w:p>
        </w:tc>
      </w:tr>
      <w:tr>
        <w:trPr>
          <w:trHeight w:val="248"/>
        </w:trPr>
        <w:tc>
          <w:tcPr>
            <w:tcW w:w="2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center"/>
              <w:ind w:left="375"/>
              <w:spacing w:after="0"/>
              <w:rPr>
                <w:sz w:val="20"/>
                <w:szCs w:val="20"/>
                <w:color w:val="auto"/>
              </w:rPr>
            </w:pPr>
            <w:r>
              <w:rPr>
                <w:rFonts w:ascii="Arial" w:cs="Arial" w:eastAsia="Arial" w:hAnsi="Arial"/>
                <w:sz w:val="18"/>
                <w:szCs w:val="18"/>
                <w:color w:val="auto"/>
                <w:w w:val="99"/>
              </w:rPr>
              <w:t>566</w:t>
            </w:r>
          </w:p>
        </w:tc>
      </w:tr>
      <w:tr>
        <w:trPr>
          <w:trHeight w:val="20"/>
        </w:trPr>
        <w:tc>
          <w:tcPr>
            <w:tcW w:w="22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weighted average remaining lease term was 11.7 years and 8.8 years as of December 31, 2023 and 2022, respectively. The weighted average discount rate was 4.22% and 2.71% as of December 31, 2023 and 2022, respectively.</w:t>
      </w:r>
    </w:p>
    <w:p>
      <w:pPr>
        <w:spacing w:after="0" w:line="153"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Our purchase commitments include payments for software licenses and contractual arrangements with suppliers when there is a fixed, noncancelable payment schedule or when minimum payments are due with a reduced delivery schedule.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we had committed to make the following minimum payments under our purchase commitments: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2027</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Total</w:t>
            </w:r>
          </w:p>
        </w:tc>
      </w:tr>
      <w:tr>
        <w:trPr>
          <w:trHeight w:val="224"/>
        </w:trPr>
        <w:tc>
          <w:tcPr>
            <w:tcW w:w="2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Purchase commitments</w:t>
            </w:r>
          </w:p>
        </w:tc>
        <w:tc>
          <w:tcPr>
            <w:tcW w:w="760" w:type="dxa"/>
            <w:vAlign w:val="bottom"/>
            <w:tcBorders>
              <w:top w:val="single" w:sz="8" w:color="auto"/>
            </w:tcBorders>
            <w:shd w:val="clear" w:color="auto" w:fill="DBDBDB"/>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right"/>
              <w:ind w:right="57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337</w:t>
            </w: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right"/>
              <w:ind w:right="57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312</w:t>
            </w: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right"/>
              <w:ind w:right="57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1,868</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153"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included in Other for segment reporting purposes and are comprised of the following components: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340" w:type="dxa"/>
            <w:vAlign w:val="bottom"/>
            <w:tcBorders>
              <w:bottom w:val="single" w:sz="8" w:color="DBDBDB"/>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24"/>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Integration charges (a)</w:t>
            </w:r>
          </w:p>
        </w:tc>
        <w:tc>
          <w:tcPr>
            <w:tcW w:w="820" w:type="dxa"/>
            <w:vAlign w:val="bottom"/>
            <w:shd w:val="clear" w:color="auto" w:fill="DBDBDB"/>
          </w:tcPr>
          <w:p>
            <w:pPr>
              <w:jc w:val="right"/>
              <w:ind w:right="61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Gains on sales of assets (b)</w:t>
            </w:r>
          </w:p>
        </w:tc>
        <w:tc>
          <w:tcPr>
            <w:tcW w:w="82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73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Restructuring charges/other</w:t>
            </w:r>
          </w:p>
        </w:tc>
        <w:tc>
          <w:tcPr>
            <w:tcW w:w="820" w:type="dxa"/>
            <w:vAlign w:val="bottom"/>
            <w:tcBorders>
              <w:top w:val="single" w:sz="8" w:color="auto"/>
              <w:bottom w:val="single" w:sz="8" w:color="auto"/>
            </w:tcBorders>
            <w:shd w:val="clear" w:color="auto" w:fill="DBDBDB"/>
          </w:tcPr>
          <w:p>
            <w:pPr>
              <w:jc w:val="right"/>
              <w:ind w:right="61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shd w:val="clear" w:color="auto" w:fill="DBDBDB"/>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400" w:type="dxa"/>
            <w:vAlign w:val="bottom"/>
            <w:tcBorders>
              <w:top w:val="single" w:sz="8" w:color="auto"/>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734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costs related to our purchase of the Lehi, Utah, manufacturing facility, as well as preproduction costs before December 2022.</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 $50 million gain from the sale of property in October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 (OI&amp;E)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7"/>
                <w:szCs w:val="17"/>
                <w:color w:val="auto"/>
              </w:rPr>
            </w:pPr>
          </w:p>
        </w:tc>
      </w:tr>
      <w:tr>
        <w:trPr>
          <w:trHeight w:val="196"/>
        </w:trPr>
        <w:tc>
          <w:tcPr>
            <w:tcW w:w="736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(a)</w:t>
            </w: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expense (b)</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(43)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440</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income includes interest, royalty and lease income, as well as investment gains and losses.</w:t>
      </w:r>
    </w:p>
    <w:p>
      <w:pPr>
        <w:spacing w:after="0" w:line="117" w:lineRule="exact"/>
        <w:rPr>
          <w:rFonts w:ascii="Arial" w:cs="Arial" w:eastAsia="Arial" w:hAnsi="Arial"/>
          <w:sz w:val="18"/>
          <w:szCs w:val="18"/>
          <w:color w:val="auto"/>
        </w:rPr>
      </w:pPr>
    </w:p>
    <w:p>
      <w:pPr>
        <w:ind w:left="500" w:right="20" w:hanging="492"/>
        <w:spacing w:after="0" w:line="287" w:lineRule="auto"/>
        <w:tabs>
          <w:tab w:leader="none" w:pos="4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expense includes a portion of pension and other retiree benefit costs, lease expense, tax interest, currency gains and losses and miscellaneous items.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DBDBDB"/>
            </w:tcBorders>
          </w:tcPr>
          <w:p>
            <w:pPr>
              <w:spacing w:after="0"/>
              <w:rPr>
                <w:sz w:val="17"/>
                <w:szCs w:val="17"/>
                <w:color w:val="auto"/>
              </w:rPr>
            </w:pPr>
          </w:p>
        </w:tc>
        <w:tc>
          <w:tcPr>
            <w:tcW w:w="120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CHIPS and Science Act investment tax credit</w:t>
            </w: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497</w:t>
            </w:r>
          </w:p>
        </w:tc>
        <w:tc>
          <w:tcPr>
            <w:tcW w:w="100" w:type="dxa"/>
            <w:vAlign w:val="bottom"/>
            <w:shd w:val="clear" w:color="auto" w:fill="DBDBDB"/>
          </w:tcPr>
          <w:p>
            <w:pPr>
              <w:spacing w:after="0"/>
              <w:rPr>
                <w:sz w:val="19"/>
                <w:szCs w:val="19"/>
                <w:color w:val="auto"/>
              </w:rPr>
            </w:pPr>
          </w:p>
        </w:tc>
        <w:tc>
          <w:tcPr>
            <w:tcW w:w="440" w:type="dxa"/>
            <w:vAlign w:val="bottom"/>
            <w:gridSpan w:val="2"/>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761</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gridSpan w:val="2"/>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i w:val="1"/>
                <w:iCs w:val="1"/>
                <w:color w:val="auto"/>
              </w:rPr>
              <w:t>Property, plant and equipment at cost</w:t>
            </w:r>
          </w:p>
        </w:tc>
        <w:tc>
          <w:tcPr>
            <w:tcW w:w="12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3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360" w:type="dxa"/>
            <w:vAlign w:val="bottom"/>
          </w:tcPr>
          <w:p>
            <w:pPr>
              <w:spacing w:after="0"/>
              <w:rPr>
                <w:sz w:val="24"/>
                <w:szCs w:val="24"/>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Depreciable</w:t>
            </w: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3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36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Lives (Years)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Land</w:t>
            </w:r>
          </w:p>
        </w:tc>
        <w:tc>
          <w:tcPr>
            <w:tcW w:w="120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420" w:type="dxa"/>
            <w:vAlign w:val="bottom"/>
            <w:tcBorders>
              <w:top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132</w:t>
            </w:r>
          </w:p>
        </w:tc>
        <w:tc>
          <w:tcPr>
            <w:tcW w:w="2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5 – 40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Machinery and equipment</w:t>
            </w:r>
          </w:p>
        </w:tc>
        <w:tc>
          <w:tcPr>
            <w:tcW w:w="1300" w:type="dxa"/>
            <w:vAlign w:val="bottom"/>
            <w:gridSpan w:val="2"/>
            <w:shd w:val="clear" w:color="auto" w:fill="DBDBDB"/>
          </w:tcPr>
          <w:p>
            <w:pPr>
              <w:jc w:val="center"/>
              <w:ind w:right="80"/>
              <w:spacing w:after="0"/>
              <w:rPr>
                <w:sz w:val="20"/>
                <w:szCs w:val="20"/>
                <w:color w:val="auto"/>
              </w:rPr>
            </w:pPr>
            <w:r>
              <w:rPr>
                <w:rFonts w:ascii="Arial" w:cs="Arial" w:eastAsia="Arial" w:hAnsi="Arial"/>
                <w:sz w:val="18"/>
                <w:szCs w:val="18"/>
                <w:color w:val="auto"/>
                <w:w w:val="99"/>
              </w:rPr>
              <w:t>5 – 10</w:t>
            </w:r>
          </w:p>
        </w:tc>
        <w:tc>
          <w:tcPr>
            <w:tcW w:w="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7,569</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5,664</w:t>
            </w:r>
          </w:p>
        </w:tc>
        <w:tc>
          <w:tcPr>
            <w:tcW w:w="2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Goodwill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as of December 31, 2023 and 2022,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Goodwill</w:t>
            </w:r>
          </w:p>
        </w:tc>
      </w:tr>
      <w:tr>
        <w:trPr>
          <w:trHeight w:val="224"/>
        </w:trPr>
        <w:tc>
          <w:tcPr>
            <w:tcW w:w="10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4,158</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Embedded Processing</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10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100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r>
      <w:tr>
        <w:trPr>
          <w:trHeight w:val="21"/>
        </w:trPr>
        <w:tc>
          <w:tcPr>
            <w:tcW w:w="10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We perform our annual goodwill impairment test in the fourth quarter and determine whether the fair value of each of our reporting units is in excess of its carrying value. In 2023, 2022 and 2021, we determined no impairment was indicated.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assets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6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CHIPS and Science Act investment tax credit</w:t>
            </w:r>
          </w:p>
        </w:tc>
        <w:tc>
          <w:tcPr>
            <w:tcW w:w="300" w:type="dxa"/>
            <w:vAlign w:val="bottom"/>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859</w:t>
            </w:r>
          </w:p>
        </w:tc>
        <w:tc>
          <w:tcPr>
            <w:tcW w:w="100" w:type="dxa"/>
            <w:vAlign w:val="bottom"/>
            <w:shd w:val="clear" w:color="auto" w:fill="DBDBDB"/>
          </w:tcPr>
          <w:p>
            <w:pPr>
              <w:spacing w:after="0"/>
              <w:rPr>
                <w:sz w:val="19"/>
                <w:szCs w:val="19"/>
                <w:color w:val="auto"/>
              </w:rPr>
            </w:pPr>
          </w:p>
        </w:tc>
        <w:tc>
          <w:tcPr>
            <w:tcW w:w="440" w:type="dxa"/>
            <w:vAlign w:val="bottom"/>
            <w:gridSpan w:val="2"/>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1,712</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gridSpan w:val="2"/>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i w:val="1"/>
                <w:iCs w:val="1"/>
                <w:color w:val="auto"/>
              </w:rPr>
              <w:t>Accrued expenses and other liabilities</w:t>
            </w: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6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capital-related expenditures</w:t>
            </w:r>
          </w:p>
        </w:tc>
        <w:tc>
          <w:tcPr>
            <w:tcW w:w="300" w:type="dxa"/>
            <w:vAlign w:val="bottom"/>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341</w:t>
            </w:r>
          </w:p>
        </w:tc>
        <w:tc>
          <w:tcPr>
            <w:tcW w:w="100" w:type="dxa"/>
            <w:vAlign w:val="bottom"/>
            <w:shd w:val="clear" w:color="auto" w:fill="DBDBDB"/>
          </w:tcPr>
          <w:p>
            <w:pPr>
              <w:spacing w:after="0"/>
              <w:rPr>
                <w:sz w:val="19"/>
                <w:szCs w:val="19"/>
                <w:color w:val="auto"/>
              </w:rPr>
            </w:pPr>
          </w:p>
        </w:tc>
        <w:tc>
          <w:tcPr>
            <w:tcW w:w="440" w:type="dxa"/>
            <w:vAlign w:val="bottom"/>
            <w:gridSpan w:val="2"/>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911</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gridSpan w:val="2"/>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i w:val="1"/>
                <w:iCs w:val="1"/>
                <w:color w:val="auto"/>
              </w:rPr>
              <w:t>Accumulated other comprehensive income (loss), net of taxes (AOCI)</w:t>
            </w: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8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6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Postretirement benefit plans:</w:t>
            </w:r>
          </w:p>
        </w:tc>
        <w:tc>
          <w:tcPr>
            <w:tcW w:w="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60" w:type="dxa"/>
            <w:vAlign w:val="bottom"/>
          </w:tcPr>
          <w:p>
            <w:pPr>
              <w:ind w:left="140"/>
              <w:spacing w:after="0"/>
              <w:rPr>
                <w:sz w:val="20"/>
                <w:szCs w:val="20"/>
                <w:color w:val="auto"/>
              </w:rPr>
            </w:pPr>
            <w:r>
              <w:rPr>
                <w:rFonts w:ascii="Arial" w:cs="Arial" w:eastAsia="Arial" w:hAnsi="Arial"/>
                <w:sz w:val="18"/>
                <w:szCs w:val="18"/>
                <w:color w:val="auto"/>
              </w:rPr>
              <w:t>Net actuarial loss</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19"/>
                <w:szCs w:val="19"/>
                <w:color w:val="auto"/>
              </w:rPr>
            </w:pP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Prior service cost</w:t>
            </w: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Unrealized gains (losses) on available-for-sale investments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hedge derivative instruments</w:t>
            </w: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Statements of Comprehensive Income include items that have been recognized within net income in 2023, 2022 and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where these transactions are recorded in our Consolidated Statements of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2580" w:type="dxa"/>
            <w:vAlign w:val="bottom"/>
            <w:tcBorders>
              <w:bottom w:val="single" w:sz="8" w:color="auto"/>
            </w:tcBorders>
            <w:gridSpan w:val="7"/>
          </w:tcPr>
          <w:p>
            <w:pPr>
              <w:jc w:val="right"/>
              <w:ind w:right="14"/>
              <w:spacing w:after="0"/>
              <w:rPr>
                <w:sz w:val="20"/>
                <w:szCs w:val="20"/>
                <w:color w:val="auto"/>
              </w:rPr>
            </w:pPr>
            <w:r>
              <w:rPr>
                <w:rFonts w:ascii="Arial" w:cs="Arial" w:eastAsia="Arial" w:hAnsi="Arial"/>
                <w:sz w:val="14"/>
                <w:szCs w:val="14"/>
                <w:b w:val="1"/>
                <w:bCs w:val="1"/>
                <w:color w:val="auto"/>
              </w:rPr>
              <w:t>For Years Ended December 31,</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Impact to Related Statement of</w:t>
            </w:r>
          </w:p>
        </w:tc>
        <w:tc>
          <w:tcPr>
            <w:tcW w:w="0" w:type="dxa"/>
            <w:vAlign w:val="bottom"/>
          </w:tcPr>
          <w:p>
            <w:pPr>
              <w:spacing w:after="0"/>
              <w:rPr>
                <w:sz w:val="1"/>
                <w:szCs w:val="1"/>
                <w:color w:val="auto"/>
              </w:rPr>
            </w:pPr>
          </w:p>
        </w:tc>
      </w:tr>
      <w:tr>
        <w:trPr>
          <w:trHeight w:val="53"/>
        </w:trPr>
        <w:tc>
          <w:tcPr>
            <w:tcW w:w="5740" w:type="dxa"/>
            <w:vAlign w:val="bottom"/>
          </w:tcPr>
          <w:p>
            <w:pPr>
              <w:spacing w:after="0"/>
              <w:rPr>
                <w:sz w:val="4"/>
                <w:szCs w:val="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4"/>
                <w:szCs w:val="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740" w:type="dxa"/>
            <w:vAlign w:val="bottom"/>
            <w:tcBorders>
              <w:bottom w:val="single" w:sz="8" w:color="DBDBDB"/>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4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Income Lines</w:t>
            </w:r>
          </w:p>
        </w:tc>
        <w:tc>
          <w:tcPr>
            <w:tcW w:w="0" w:type="dxa"/>
            <w:vAlign w:val="bottom"/>
          </w:tcPr>
          <w:p>
            <w:pPr>
              <w:spacing w:after="0"/>
              <w:rPr>
                <w:sz w:val="1"/>
                <w:szCs w:val="1"/>
                <w:color w:val="auto"/>
              </w:rPr>
            </w:pPr>
          </w:p>
        </w:tc>
      </w:tr>
      <w:tr>
        <w:trPr>
          <w:trHeight w:val="209"/>
        </w:trPr>
        <w:tc>
          <w:tcPr>
            <w:tcW w:w="5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actuarial losses of defined benefit plans:</w:t>
            </w:r>
          </w:p>
        </w:tc>
        <w:tc>
          <w:tcPr>
            <w:tcW w:w="6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4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Recognized net actuarial loss and settlement losses (a)</w:t>
            </w:r>
          </w:p>
        </w:tc>
        <w:tc>
          <w:tcPr>
            <w:tcW w:w="600" w:type="dxa"/>
            <w:vAlign w:val="bottom"/>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9"/>
              </w:rPr>
              <w:t>20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37</w:t>
            </w:r>
          </w:p>
        </w:tc>
        <w:tc>
          <w:tcPr>
            <w:tcW w:w="1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Decrease to OI&amp;E</w:t>
            </w:r>
          </w:p>
        </w:tc>
        <w:tc>
          <w:tcPr>
            <w:tcW w:w="0" w:type="dxa"/>
            <w:vAlign w:val="bottom"/>
          </w:tcPr>
          <w:p>
            <w:pPr>
              <w:spacing w:after="0"/>
              <w:rPr>
                <w:sz w:val="1"/>
                <w:szCs w:val="1"/>
                <w:color w:val="auto"/>
              </w:rPr>
            </w:pPr>
          </w:p>
        </w:tc>
      </w:tr>
      <w:tr>
        <w:trPr>
          <w:trHeight w:val="175"/>
        </w:trPr>
        <w:tc>
          <w:tcPr>
            <w:tcW w:w="5740" w:type="dxa"/>
            <w:vAlign w:val="bottom"/>
            <w:vMerge w:val="restart"/>
            <w:shd w:val="clear" w:color="auto" w:fill="DBDBDB"/>
          </w:tcPr>
          <w:p>
            <w:pPr>
              <w:ind w:left="140"/>
              <w:spacing w:after="0"/>
              <w:rPr>
                <w:sz w:val="20"/>
                <w:szCs w:val="20"/>
                <w:color w:val="auto"/>
              </w:rPr>
            </w:pPr>
            <w:r>
              <w:rPr>
                <w:rFonts w:ascii="Arial" w:cs="Arial" w:eastAsia="Arial" w:hAnsi="Arial"/>
                <w:sz w:val="18"/>
                <w:szCs w:val="18"/>
                <w:color w:val="auto"/>
              </w:rPr>
              <w:t>Tax effect</w:t>
            </w:r>
          </w:p>
        </w:tc>
        <w:tc>
          <w:tcPr>
            <w:tcW w:w="600" w:type="dxa"/>
            <w:vAlign w:val="bottom"/>
            <w:shd w:val="clear" w:color="auto" w:fill="DBDBDB"/>
          </w:tcPr>
          <w:p>
            <w:pPr>
              <w:spacing w:after="0"/>
              <w:rPr>
                <w:sz w:val="15"/>
                <w:szCs w:val="15"/>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(5)</w:t>
            </w:r>
          </w:p>
        </w:tc>
        <w:tc>
          <w:tcPr>
            <w:tcW w:w="1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5"/>
                <w:szCs w:val="15"/>
                <w:color w:val="auto"/>
              </w:rPr>
            </w:pPr>
          </w:p>
        </w:tc>
        <w:tc>
          <w:tcPr>
            <w:tcW w:w="24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Decrease to provision for</w:t>
            </w:r>
          </w:p>
        </w:tc>
        <w:tc>
          <w:tcPr>
            <w:tcW w:w="0" w:type="dxa"/>
            <w:vAlign w:val="bottom"/>
          </w:tcPr>
          <w:p>
            <w:pPr>
              <w:spacing w:after="0"/>
              <w:rPr>
                <w:sz w:val="1"/>
                <w:szCs w:val="1"/>
                <w:color w:val="auto"/>
              </w:rPr>
            </w:pPr>
          </w:p>
        </w:tc>
      </w:tr>
      <w:tr>
        <w:trPr>
          <w:trHeight w:val="243"/>
        </w:trPr>
        <w:tc>
          <w:tcPr>
            <w:tcW w:w="5740" w:type="dxa"/>
            <w:vAlign w:val="bottom"/>
            <w:vMerge w:val="continue"/>
            <w:shd w:val="clear" w:color="auto" w:fill="DBDBDB"/>
          </w:tcPr>
          <w:p>
            <w:pPr>
              <w:spacing w:after="0"/>
              <w:rPr>
                <w:sz w:val="21"/>
                <w:szCs w:val="21"/>
                <w:color w:val="auto"/>
              </w:rPr>
            </w:pPr>
          </w:p>
        </w:tc>
        <w:tc>
          <w:tcPr>
            <w:tcW w:w="600" w:type="dxa"/>
            <w:vAlign w:val="bottom"/>
            <w:tcBorders>
              <w:bottom w:val="single" w:sz="8" w:color="auto"/>
            </w:tcBorders>
            <w:shd w:val="clear" w:color="auto" w:fill="DBDBDB"/>
          </w:tcPr>
          <w:p>
            <w:pPr>
              <w:spacing w:after="0"/>
              <w:rPr>
                <w:sz w:val="21"/>
                <w:szCs w:val="21"/>
                <w:color w:val="auto"/>
              </w:rPr>
            </w:pPr>
          </w:p>
        </w:tc>
        <w:tc>
          <w:tcPr>
            <w:tcW w:w="26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68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600" w:type="dxa"/>
            <w:vAlign w:val="bottom"/>
            <w:tcBorders>
              <w:bottom w:val="single" w:sz="8" w:color="auto"/>
            </w:tcBorders>
            <w:shd w:val="clear" w:color="auto" w:fill="DBDBDB"/>
          </w:tcPr>
          <w:p>
            <w:pPr>
              <w:spacing w:after="0"/>
              <w:rPr>
                <w:sz w:val="21"/>
                <w:szCs w:val="21"/>
                <w:color w:val="auto"/>
              </w:rPr>
            </w:pPr>
          </w:p>
        </w:tc>
        <w:tc>
          <w:tcPr>
            <w:tcW w:w="28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60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w:t>
            </w:r>
          </w:p>
        </w:tc>
        <w:tc>
          <w:tcPr>
            <w:tcW w:w="1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0"/>
        </w:trPr>
        <w:tc>
          <w:tcPr>
            <w:tcW w:w="574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4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Prior service cost (credit) of defined benefit plans: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Amortization of prior service cost (credit) (a)</w:t>
            </w:r>
          </w:p>
        </w:tc>
        <w:tc>
          <w:tcPr>
            <w:tcW w:w="600" w:type="dxa"/>
            <w:vAlign w:val="bottom"/>
            <w:shd w:val="clear" w:color="auto" w:fill="DBDBDB"/>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Decrease (increase) to OI&amp;E</w:t>
            </w:r>
          </w:p>
        </w:tc>
        <w:tc>
          <w:tcPr>
            <w:tcW w:w="0" w:type="dxa"/>
            <w:vAlign w:val="bottom"/>
          </w:tcPr>
          <w:p>
            <w:pPr>
              <w:spacing w:after="0"/>
              <w:rPr>
                <w:sz w:val="1"/>
                <w:szCs w:val="1"/>
                <w:color w:val="auto"/>
              </w:rPr>
            </w:pPr>
          </w:p>
        </w:tc>
      </w:tr>
      <w:tr>
        <w:trPr>
          <w:trHeight w:val="176"/>
        </w:trPr>
        <w:tc>
          <w:tcPr>
            <w:tcW w:w="5740" w:type="dxa"/>
            <w:vAlign w:val="bottom"/>
            <w:vMerge w:val="restart"/>
          </w:tcPr>
          <w:p>
            <w:pPr>
              <w:ind w:left="140"/>
              <w:spacing w:after="0"/>
              <w:rPr>
                <w:sz w:val="20"/>
                <w:szCs w:val="20"/>
                <w:color w:val="auto"/>
              </w:rPr>
            </w:pPr>
            <w:r>
              <w:rPr>
                <w:rFonts w:ascii="Arial" w:cs="Arial" w:eastAsia="Arial" w:hAnsi="Arial"/>
                <w:sz w:val="18"/>
                <w:szCs w:val="18"/>
                <w:color w:val="auto"/>
              </w:rPr>
              <w:t>Tax effect</w:t>
            </w:r>
          </w:p>
        </w:tc>
        <w:tc>
          <w:tcPr>
            <w:tcW w:w="600" w:type="dxa"/>
            <w:vAlign w:val="bottom"/>
          </w:tcPr>
          <w:p>
            <w:pPr>
              <w:spacing w:after="0"/>
              <w:rPr>
                <w:sz w:val="15"/>
                <w:szCs w:val="15"/>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5"/>
                <w:szCs w:val="15"/>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480" w:type="dxa"/>
            <w:vAlign w:val="bottom"/>
          </w:tcPr>
          <w:p>
            <w:pPr>
              <w:ind w:left="20"/>
              <w:spacing w:after="0" w:line="176" w:lineRule="exact"/>
              <w:rPr>
                <w:sz w:val="20"/>
                <w:szCs w:val="20"/>
                <w:color w:val="auto"/>
              </w:rPr>
            </w:pPr>
            <w:r>
              <w:rPr>
                <w:rFonts w:ascii="Arial" w:cs="Arial" w:eastAsia="Arial" w:hAnsi="Arial"/>
                <w:sz w:val="18"/>
                <w:szCs w:val="18"/>
                <w:color w:val="auto"/>
              </w:rPr>
              <w:t>(Decrease) increase to</w:t>
            </w:r>
          </w:p>
        </w:tc>
        <w:tc>
          <w:tcPr>
            <w:tcW w:w="0" w:type="dxa"/>
            <w:vAlign w:val="bottom"/>
          </w:tcPr>
          <w:p>
            <w:pPr>
              <w:spacing w:after="0"/>
              <w:rPr>
                <w:sz w:val="1"/>
                <w:szCs w:val="1"/>
                <w:color w:val="auto"/>
              </w:rPr>
            </w:pPr>
          </w:p>
        </w:tc>
      </w:tr>
      <w:tr>
        <w:trPr>
          <w:trHeight w:val="243"/>
        </w:trPr>
        <w:tc>
          <w:tcPr>
            <w:tcW w:w="57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155"/>
        </w:trPr>
        <w:tc>
          <w:tcPr>
            <w:tcW w:w="5740" w:type="dxa"/>
            <w:vAlign w:val="bottom"/>
            <w:tcBorders>
              <w:top w:val="single" w:sz="8" w:color="DBDBDB"/>
            </w:tcBorders>
            <w:vMerge w:val="restart"/>
            <w:shd w:val="clear" w:color="auto" w:fill="DBDBDB"/>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600" w:type="dxa"/>
            <w:vAlign w:val="bottom"/>
            <w:tcBorders>
              <w:top w:val="single" w:sz="8" w:color="auto"/>
            </w:tcBorders>
            <w:vMerge w:val="restart"/>
            <w:shd w:val="clear" w:color="auto" w:fill="DBDBDB"/>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DBDBDB"/>
            </w:tcBorders>
            <w:shd w:val="clear" w:color="auto" w:fill="DBDBDB"/>
          </w:tcPr>
          <w:p>
            <w:pPr>
              <w:spacing w:after="0"/>
              <w:rPr>
                <w:sz w:val="13"/>
                <w:szCs w:val="13"/>
                <w:color w:val="auto"/>
              </w:rPr>
            </w:pPr>
          </w:p>
        </w:tc>
        <w:tc>
          <w:tcPr>
            <w:tcW w:w="2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tcBorders>
            <w:shd w:val="clear" w:color="auto" w:fill="DBDBDB"/>
          </w:tcPr>
          <w:p>
            <w:pPr>
              <w:spacing w:after="0"/>
              <w:rPr>
                <w:sz w:val="13"/>
                <w:szCs w:val="13"/>
                <w:color w:val="auto"/>
              </w:rPr>
            </w:pPr>
          </w:p>
        </w:tc>
        <w:tc>
          <w:tcPr>
            <w:tcW w:w="600" w:type="dxa"/>
            <w:vAlign w:val="bottom"/>
            <w:tcBorders>
              <w:top w:val="single" w:sz="8" w:color="auto"/>
            </w:tcBorders>
            <w:vMerge w:val="restart"/>
            <w:shd w:val="clear" w:color="auto" w:fill="DBDBDB"/>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tcBorders>
            <w:shd w:val="clear" w:color="auto" w:fill="DBDBDB"/>
          </w:tcPr>
          <w:p>
            <w:pPr>
              <w:spacing w:after="0"/>
              <w:rPr>
                <w:sz w:val="13"/>
                <w:szCs w:val="13"/>
                <w:color w:val="auto"/>
              </w:rPr>
            </w:pPr>
          </w:p>
        </w:tc>
        <w:tc>
          <w:tcPr>
            <w:tcW w:w="2480" w:type="dxa"/>
            <w:vAlign w:val="bottom"/>
            <w:tcBorders>
              <w:top w:val="single" w:sz="8" w:color="DBDBDB"/>
            </w:tcBorders>
            <w:shd w:val="clear" w:color="auto" w:fill="DBDBDB"/>
          </w:tcPr>
          <w:p>
            <w:pPr>
              <w:ind w:left="20"/>
              <w:spacing w:after="0" w:line="156" w:lineRule="exact"/>
              <w:rPr>
                <w:sz w:val="20"/>
                <w:szCs w:val="20"/>
                <w:color w:val="auto"/>
              </w:rPr>
            </w:pPr>
            <w:r>
              <w:rPr>
                <w:rFonts w:ascii="Arial" w:cs="Arial" w:eastAsia="Arial" w:hAnsi="Arial"/>
                <w:sz w:val="18"/>
                <w:szCs w:val="18"/>
                <w:color w:val="auto"/>
              </w:rPr>
              <w:t>Decrease (increase) to net</w:t>
            </w:r>
          </w:p>
        </w:tc>
        <w:tc>
          <w:tcPr>
            <w:tcW w:w="0" w:type="dxa"/>
            <w:vAlign w:val="bottom"/>
          </w:tcPr>
          <w:p>
            <w:pPr>
              <w:spacing w:after="0"/>
              <w:rPr>
                <w:sz w:val="1"/>
                <w:szCs w:val="1"/>
                <w:color w:val="auto"/>
              </w:rPr>
            </w:pPr>
          </w:p>
        </w:tc>
      </w:tr>
      <w:tr>
        <w:trPr>
          <w:trHeight w:val="236"/>
        </w:trPr>
        <w:tc>
          <w:tcPr>
            <w:tcW w:w="5740" w:type="dxa"/>
            <w:vAlign w:val="bottom"/>
            <w:tcBorders>
              <w:bottom w:val="single" w:sz="8" w:color="DBDBDB"/>
            </w:tcBorders>
            <w:vMerge w:val="continue"/>
            <w:shd w:val="clear" w:color="auto" w:fill="DBDBDB"/>
          </w:tcPr>
          <w:p>
            <w:pPr>
              <w:spacing w:after="0"/>
              <w:rPr>
                <w:sz w:val="20"/>
                <w:szCs w:val="20"/>
                <w:color w:val="auto"/>
              </w:rPr>
            </w:pPr>
          </w:p>
        </w:tc>
        <w:tc>
          <w:tcPr>
            <w:tcW w:w="600" w:type="dxa"/>
            <w:vAlign w:val="bottom"/>
            <w:tcBorders>
              <w:bottom w:val="single" w:sz="8" w:color="auto"/>
            </w:tcBorders>
            <w:vMerge w:val="continue"/>
            <w:shd w:val="clear" w:color="auto" w:fill="DBDBDB"/>
          </w:tcPr>
          <w:p>
            <w:pPr>
              <w:spacing w:after="0"/>
              <w:rPr>
                <w:sz w:val="20"/>
                <w:szCs w:val="20"/>
                <w:color w:val="auto"/>
              </w:rPr>
            </w:pPr>
          </w:p>
        </w:tc>
        <w:tc>
          <w:tcPr>
            <w:tcW w:w="26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vMerge w:val="continue"/>
            <w:shd w:val="clear" w:color="auto" w:fill="DBDBDB"/>
          </w:tcPr>
          <w:p>
            <w:pPr>
              <w:spacing w:after="0"/>
              <w:rPr>
                <w:sz w:val="20"/>
                <w:szCs w:val="20"/>
                <w:color w:val="auto"/>
              </w:rPr>
            </w:pPr>
          </w:p>
        </w:tc>
        <w:tc>
          <w:tcPr>
            <w:tcW w:w="68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600" w:type="dxa"/>
            <w:vAlign w:val="bottom"/>
            <w:tcBorders>
              <w:bottom w:val="single" w:sz="8" w:color="auto"/>
            </w:tcBorders>
            <w:vMerge w:val="continue"/>
            <w:shd w:val="clear" w:color="auto" w:fill="DBDBDB"/>
          </w:tcPr>
          <w:p>
            <w:pPr>
              <w:spacing w:after="0"/>
              <w:rPr>
                <w:sz w:val="20"/>
                <w:szCs w:val="20"/>
                <w:color w:val="auto"/>
              </w:rPr>
            </w:pPr>
          </w:p>
        </w:tc>
        <w:tc>
          <w:tcPr>
            <w:tcW w:w="28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2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r>
        <w:trPr>
          <w:trHeight w:val="20"/>
        </w:trPr>
        <w:tc>
          <w:tcPr>
            <w:tcW w:w="574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8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(a)</w:t>
        <w:tab/>
        <w:t>Detailed in Note 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55" w:name="page56"/>
    <w:bookmarkEnd w:id="55"/>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Texas Instruments Incorporated (the Company) as of December 31, 2023 and 2022, the related consolidated statements of income, comprehensive income,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 2024, expressed an unqualified opinion thereon.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Uncertain tax positions</w:t>
      </w:r>
    </w:p>
    <w:p>
      <w:pPr>
        <w:spacing w:after="0" w:line="63" w:lineRule="exact"/>
        <w:rPr>
          <w:sz w:val="20"/>
          <w:szCs w:val="20"/>
          <w:color w:val="auto"/>
        </w:rPr>
      </w:pPr>
    </w:p>
    <w:p>
      <w:pPr>
        <w:ind w:left="2260" w:hanging="2226"/>
        <w:spacing w:after="0" w:line="255" w:lineRule="auto"/>
        <w:tabs>
          <w:tab w:leader="none" w:pos="22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discussed in Note 4 to the consolidated financial statements, the Company operates in the United States and multiple international tax jurisdictions, and its income tax returns are subject to examination by tax authorities in those jurisdictions who may challenge any tax position on these returns. Uncertainty in a tax position may arise because tax laws are subject to interpretation. The Company uses significant judgment to (1) determine whether, based on the technical merits, a tax position is more likely than not to be sustained and (2) measure the amount of tax benefit that qualifies for recognition. Auditing management’s estimate of the amount of tax benefit that qualifies for recognition involved auditor judgment because management’s estimate is complex, requires a high degree of judgment and is based on interpretations of tax laws and legal rulings.</w:t>
      </w:r>
    </w:p>
    <w:p>
      <w:pPr>
        <w:spacing w:after="0" w:line="185"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7"/>
          <w:szCs w:val="17"/>
          <w:color w:val="auto"/>
        </w:rPr>
        <w:t>We obtained an understanding, evaluated the design, and tested the operating effectiveness of controls over the</w:t>
      </w:r>
    </w:p>
    <w:p>
      <w:pPr>
        <w:spacing w:after="0" w:line="27" w:lineRule="exact"/>
        <w:rPr>
          <w:sz w:val="20"/>
          <w:szCs w:val="20"/>
          <w:color w:val="auto"/>
        </w:rPr>
      </w:pPr>
    </w:p>
    <w:p>
      <w:pPr>
        <w:ind w:left="2260" w:right="60" w:hanging="2226"/>
        <w:spacing w:after="0" w:line="252" w:lineRule="auto"/>
        <w:tabs>
          <w:tab w:leader="none" w:pos="22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Company’s accounting process for uncertain tax positions. For example, this included controls over the Company’s assessment of the technical merits of tax positions and management’s process to measure the benefit of those tax positions. Among other procedures performed, we involved our tax professionals to assess the technical merits of the Company’s tax positions. This included assessing the Company’s correspondence with the relevant tax authorities and evaluating income tax opinions or other third-party advice obtained by the Company. We also evaluated the appropriateness of the Company’s accounting for its tax positions taking into consideration relevant international and local income tax laws and legal rulings. We analyzed the Company’s assumptions and data used to determine the amount of tax benefit to recognize and tested the accuracy of the calculations. We also evaluated the adequacy of the Company’s financial statement disclosures in Note 4 to the consolidated financial statements related to these tax matters.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Ernst &amp; Young </w:t>
      </w:r>
      <w:r>
        <w:rPr>
          <w:rFonts w:ascii="Arial" w:cs="Arial" w:eastAsia="Arial" w:hAnsi="Arial"/>
          <w:sz w:val="18"/>
          <w:szCs w:val="18"/>
          <w:color w:val="FFFFFF"/>
        </w:rPr>
        <w:t>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by management on internal control over financial reporting</w:t>
      </w:r>
    </w:p>
    <w:p>
      <w:pPr>
        <w:spacing w:after="0" w:line="2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2023 that has materially affected, or is reasonably likely to materially affect, our internal control over financial reporting.</w:t>
      </w:r>
    </w:p>
    <w:p>
      <w:pPr>
        <w:spacing w:after="0" w:line="182" w:lineRule="exact"/>
        <w:rPr>
          <w:sz w:val="20"/>
          <w:szCs w:val="20"/>
          <w:color w:val="auto"/>
        </w:rPr>
      </w:pPr>
    </w:p>
    <w:p>
      <w:pPr>
        <w:jc w:val="both"/>
        <w:ind w:right="520"/>
        <w:spacing w:after="0" w:line="268"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TI management assessed the effectiveness of internal control over financial reporting as of December 31, 2023. In making this assessment, we used the criteria set forth by the Committee of Sponsoring Organizations of the Treadway Commission (2013 framework) (the COSO criteria) in Internal Control − Integrated Framework. Based on our assessment, we believe that, as of December 31, 2023, our internal control over financial reporting is effective based on the COSO criteria.</w:t>
      </w:r>
    </w:p>
    <w:p>
      <w:pPr>
        <w:spacing w:after="0" w:line="17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audited Texas Instruments Incorporated’s internal control over financial reporting as of December 31, 2023, based on criteria established in Internal Control—Integrated Framework issued by the Committee of Sponsoring Organizations of the Treadway Commission (2013 framework) (the COSO criteria). In our opinion, Texas Instruments Incorporated (the Company) maintained, in all material respects, effective internal control over financial reporting as of December 31, 2023, based on the COSO criteria.</w:t>
      </w:r>
    </w:p>
    <w:p>
      <w:pPr>
        <w:spacing w:after="0" w:line="17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shareholders’ equity and cash flows for each of the three years in the period ended December 31, 2023, and the related notes, and our report dated February 2, 2024, expressed an unqualified opinion thereon.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with respect to directors’ names, ages, positions, term of office, periods of service and business experience, which is contained under the caption “Election of directors” in our proxy statement for the 2024 annual meeting of stockholders, is incorporated herein by reference to such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have adopted the Code of Ethics for TI Chief Executive Officer and Senior Finance Officers. A copy of the Code can be found on our website at www.ti.com/corporategovernance. We intend to satisfy the disclosure requirements of the SEC regarding amendments to, or waivers from, the Code by posting such information on the same website.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2024 annual meeting of stockholders is incorporated herein by reference to such proxy statement.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2024 annual meeting of stockholders is incorporated herein by reference to such proxy statement, provided that the Compensation Committee report shall not be deemed filed with this Form 10-K.</w:t>
      </w:r>
    </w:p>
    <w:p>
      <w:pPr>
        <w:spacing w:after="0" w:line="171" w:lineRule="exact"/>
        <w:rPr>
          <w:sz w:val="20"/>
          <w:szCs w:val="20"/>
          <w:color w:val="auto"/>
        </w:rPr>
      </w:pPr>
    </w:p>
    <w:p>
      <w:pPr>
        <w:jc w:val="both"/>
        <w:ind w:right="320"/>
        <w:spacing w:after="0" w:line="28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2024 annual meeting of stockholders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4"/>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 Average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be Issued Upon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341"/>
              <w:spacing w:after="0" w:line="135" w:lineRule="exact"/>
              <w:rPr>
                <w:sz w:val="20"/>
                <w:szCs w:val="20"/>
                <w:color w:val="auto"/>
              </w:rPr>
            </w:pPr>
            <w:r>
              <w:rPr>
                <w:rFonts w:ascii="Arial" w:cs="Arial" w:eastAsia="Arial" w:hAnsi="Arial"/>
                <w:sz w:val="14"/>
                <w:szCs w:val="14"/>
                <w:b w:val="1"/>
                <w:bCs w:val="1"/>
                <w:color w:val="auto"/>
              </w:rPr>
              <w:t>Exercise of</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Exercise Price of</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Outstanding Options,</w:t>
            </w:r>
          </w:p>
        </w:tc>
        <w:tc>
          <w:tcPr>
            <w:tcW w:w="100" w:type="dxa"/>
            <w:vAlign w:val="bottom"/>
          </w:tcPr>
          <w:p>
            <w:pPr>
              <w:spacing w:after="0"/>
              <w:rPr>
                <w:sz w:val="12"/>
                <w:szCs w:val="12"/>
                <w:color w:val="auto"/>
              </w:rPr>
            </w:pP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Outstanding Options,</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89"/>
        </w:trPr>
        <w:tc>
          <w:tcPr>
            <w:tcW w:w="5920" w:type="dxa"/>
            <w:vAlign w:val="bottom"/>
            <w:gridSpan w:val="2"/>
            <w:vMerge w:val="continue"/>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Warrants and Rights (1)</w:t>
            </w:r>
          </w:p>
        </w:tc>
        <w:tc>
          <w:tcPr>
            <w:tcW w:w="100" w:type="dxa"/>
            <w:vAlign w:val="bottom"/>
          </w:tcPr>
          <w:p>
            <w:pPr>
              <w:spacing w:after="0"/>
              <w:rPr>
                <w:sz w:val="16"/>
                <w:szCs w:val="16"/>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Warrants and Rights (2)</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column (1)) (3)</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00" w:type="dxa"/>
            <w:vAlign w:val="bottom"/>
            <w:tcBorders>
              <w:top w:val="single" w:sz="8" w:color="DBDBDB"/>
            </w:tcBorders>
            <w:shd w:val="clear" w:color="auto" w:fill="DBDBDB"/>
          </w:tcPr>
          <w:p>
            <w:pPr>
              <w:spacing w:after="0"/>
              <w:rPr>
                <w:sz w:val="19"/>
                <w:szCs w:val="19"/>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31,257,621</w:t>
            </w:r>
          </w:p>
        </w:tc>
        <w:tc>
          <w:tcPr>
            <w:tcW w:w="4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DBDBDB"/>
          </w:tcPr>
          <w:p>
            <w:pPr>
              <w:jc w:val="right"/>
              <w:ind w:right="97"/>
              <w:spacing w:after="0"/>
              <w:rPr>
                <w:sz w:val="20"/>
                <w:szCs w:val="20"/>
                <w:color w:val="auto"/>
              </w:rPr>
            </w:pPr>
            <w:r>
              <w:rPr>
                <w:rFonts w:ascii="Arial" w:cs="Arial" w:eastAsia="Arial" w:hAnsi="Arial"/>
                <w:sz w:val="18"/>
                <w:szCs w:val="18"/>
                <w:color w:val="auto"/>
              </w:rPr>
              <w:t>119.76 (b)</w:t>
            </w:r>
          </w:p>
        </w:tc>
        <w:tc>
          <w:tcPr>
            <w:tcW w:w="100" w:type="dxa"/>
            <w:vAlign w:val="bottom"/>
            <w:tcBorders>
              <w:top w:val="single" w:sz="8" w:color="DBDBDB"/>
            </w:tcBorders>
            <w:shd w:val="clear" w:color="auto" w:fill="DBDBDB"/>
          </w:tcPr>
          <w:p>
            <w:pPr>
              <w:spacing w:after="0"/>
              <w:rPr>
                <w:sz w:val="19"/>
                <w:szCs w:val="19"/>
                <w:color w:val="auto"/>
              </w:rPr>
            </w:pPr>
          </w:p>
        </w:tc>
        <w:tc>
          <w:tcPr>
            <w:tcW w:w="1680" w:type="dxa"/>
            <w:vAlign w:val="bottom"/>
            <w:tcBorders>
              <w:top w:val="single" w:sz="8" w:color="auto"/>
            </w:tcBorders>
            <w:shd w:val="clear" w:color="auto" w:fill="DBDBDB"/>
          </w:tcPr>
          <w:p>
            <w:pPr>
              <w:jc w:val="right"/>
              <w:ind w:right="103"/>
              <w:spacing w:after="0"/>
              <w:rPr>
                <w:sz w:val="20"/>
                <w:szCs w:val="20"/>
                <w:color w:val="auto"/>
              </w:rPr>
            </w:pPr>
            <w:r>
              <w:rPr>
                <w:rFonts w:ascii="Arial" w:cs="Arial" w:eastAsia="Arial" w:hAnsi="Arial"/>
                <w:sz w:val="18"/>
                <w:szCs w:val="18"/>
                <w:color w:val="auto"/>
              </w:rPr>
              <w:t>58,452,628 (c)</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gridSpan w:val="2"/>
          </w:tcPr>
          <w:p>
            <w:pPr>
              <w:jc w:val="right"/>
              <w:ind w:right="5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40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31,257,621</w:t>
            </w:r>
          </w:p>
        </w:tc>
        <w:tc>
          <w:tcPr>
            <w:tcW w:w="4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(d)</w:t>
            </w:r>
          </w:p>
        </w:tc>
        <w:tc>
          <w:tcPr>
            <w:tcW w:w="2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397"/>
              <w:spacing w:after="0"/>
              <w:rPr>
                <w:sz w:val="20"/>
                <w:szCs w:val="20"/>
                <w:color w:val="auto"/>
              </w:rPr>
            </w:pPr>
            <w:r>
              <w:rPr>
                <w:rFonts w:ascii="Arial" w:cs="Arial" w:eastAsia="Arial" w:hAnsi="Arial"/>
                <w:sz w:val="18"/>
                <w:szCs w:val="18"/>
                <w:color w:val="auto"/>
              </w:rPr>
              <w:t>119.76</w:t>
            </w:r>
          </w:p>
        </w:tc>
        <w:tc>
          <w:tcPr>
            <w:tcW w:w="100" w:type="dxa"/>
            <w:vAlign w:val="bottom"/>
            <w:tcBorders>
              <w:bottom w:val="single" w:sz="8" w:color="DBDBDB"/>
            </w:tcBorders>
            <w:shd w:val="clear" w:color="auto" w:fill="DBDBDB"/>
          </w:tcPr>
          <w:p>
            <w:pPr>
              <w:spacing w:after="0"/>
              <w:rPr>
                <w:sz w:val="21"/>
                <w:szCs w:val="21"/>
                <w:color w:val="auto"/>
              </w:rPr>
            </w:pPr>
          </w:p>
        </w:tc>
        <w:tc>
          <w:tcPr>
            <w:tcW w:w="1680" w:type="dxa"/>
            <w:vAlign w:val="bottom"/>
            <w:tcBorders>
              <w:bottom w:val="single" w:sz="8" w:color="auto"/>
            </w:tcBorders>
            <w:shd w:val="clear" w:color="auto" w:fill="DBDBDB"/>
          </w:tcPr>
          <w:p>
            <w:pPr>
              <w:jc w:val="right"/>
              <w:ind w:right="403"/>
              <w:spacing w:after="0"/>
              <w:rPr>
                <w:sz w:val="20"/>
                <w:szCs w:val="20"/>
                <w:color w:val="auto"/>
              </w:rPr>
            </w:pPr>
            <w:r>
              <w:rPr>
                <w:rFonts w:ascii="Arial" w:cs="Arial" w:eastAsia="Arial" w:hAnsi="Arial"/>
                <w:sz w:val="18"/>
                <w:szCs w:val="18"/>
                <w:color w:val="auto"/>
              </w:rPr>
              <w:t>58,452,628</w:t>
            </w:r>
          </w:p>
        </w:tc>
        <w:tc>
          <w:tcPr>
            <w:tcW w:w="0" w:type="dxa"/>
            <w:vAlign w:val="bottom"/>
          </w:tcPr>
          <w:p>
            <w:pPr>
              <w:spacing w:after="0"/>
              <w:rPr>
                <w:sz w:val="1"/>
                <w:szCs w:val="1"/>
                <w:color w:val="auto"/>
              </w:rPr>
            </w:pP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right="100" w:hanging="492"/>
        <w:spacing w:after="0" w:line="262" w:lineRule="auto"/>
        <w:tabs>
          <w:tab w:leader="none" w:pos="4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shares of TI common stock to be issued under the Texas Instruments 2003 Director Compensation Plan, the Texas Instruments 2009 Long-Term Incentive Plan (the “2009 LTIP”) and its predecessor stockholder-approved plans, the Texas Instruments 2009 Director Compensation Plan, the TI Employees 2014 Stock Purchase Plan (the “2014 ESPP”) and the Texas Instruments 2018 Director Compensation Plan (the “2018 Director Plan”).</w:t>
      </w:r>
    </w:p>
    <w:p>
      <w:pPr>
        <w:spacing w:after="0" w:line="68" w:lineRule="exact"/>
        <w:rPr>
          <w:rFonts w:ascii="Arial" w:cs="Arial" w:eastAsia="Arial" w:hAnsi="Arial"/>
          <w:sz w:val="18"/>
          <w:szCs w:val="18"/>
          <w:color w:val="auto"/>
        </w:rPr>
      </w:pPr>
    </w:p>
    <w:p>
      <w:pPr>
        <w:ind w:left="500" w:right="160" w:hanging="492"/>
        <w:spacing w:after="0" w:line="318" w:lineRule="auto"/>
        <w:tabs>
          <w:tab w:leader="none" w:pos="49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Restricted stock units and stock units credited to directors’ deferred compensation accounts are settled in shares of TI common stock on a one-for-one basis. Accordingly, such units have been excluded for purposes of computing the weighted average exercise price.</w:t>
      </w:r>
    </w:p>
    <w:p>
      <w:pPr>
        <w:spacing w:after="0" w:line="21" w:lineRule="exact"/>
        <w:rPr>
          <w:rFonts w:ascii="Arial" w:cs="Arial" w:eastAsia="Arial" w:hAnsi="Arial"/>
          <w:sz w:val="17"/>
          <w:szCs w:val="17"/>
          <w:color w:val="auto"/>
        </w:rPr>
      </w:pPr>
    </w:p>
    <w:p>
      <w:pPr>
        <w:ind w:left="500" w:right="80" w:hanging="492"/>
        <w:spacing w:after="0" w:line="262" w:lineRule="auto"/>
        <w:tabs>
          <w:tab w:leader="none" w:pos="4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of TI common stock available for future issuance under the 2009 LTIP, the 2014 ESPP and the 2018 Director Plan. 25,296,767 shares remain available for future issuance under the 2009 LTIP and 1,786,785 shares remain available for future issuance under the 2018 Director Plan. Under the 2009 LTIP and the 2018 Director Plan, awards may be granted in the form of restricted stock units, options or other stock-based awards such as restricted stock.</w:t>
      </w:r>
    </w:p>
    <w:p>
      <w:pPr>
        <w:spacing w:after="0" w:line="68" w:lineRule="exact"/>
        <w:rPr>
          <w:rFonts w:ascii="Arial" w:cs="Arial" w:eastAsia="Arial" w:hAnsi="Arial"/>
          <w:sz w:val="18"/>
          <w:szCs w:val="18"/>
          <w:color w:val="auto"/>
        </w:rPr>
      </w:pPr>
    </w:p>
    <w:p>
      <w:pPr>
        <w:ind w:left="500" w:hanging="492"/>
        <w:spacing w:after="0" w:line="268" w:lineRule="auto"/>
        <w:tabs>
          <w:tab w:leader="none" w:pos="4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25,771,272 shares for issuance upon exercise of outstanding grants of options, 5,220,883 shares for issuance upon vesting of outstanding grants of restricted stock units, 166,526 shares for issuance under the 2014 ESPP and 98,940 shares for issuance in settlement of directors’ deferred compensation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information that is contained under the captions “Security ownership of certain beneficial owners” and “Security ownership of directors and management” in our proxy statement for the 2024 annual meeting of stockholders is incorporated herein by reference to such proxy statement.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contained under the captions “Related person transactions” and “Director independence” in our proxy statement for the 2024 annual meeting of stockholders is incorporated herein by reference to such proxy statement.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information with respect to principal accountant fees and services contained under the caption “Proposal to ratify appointment of independent registered public accounting firm” in our proxy statement for the 2024 annual meeting of stockholders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listed in the index included in Item 8, “Financial statements and supplementary data.”</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140" w:type="dxa"/>
            <w:vAlign w:val="bottom"/>
            <w:tcBorders>
              <w:top w:val="single" w:sz="8" w:color="auto"/>
              <w:left w:val="single" w:sz="8" w:color="auto"/>
              <w:right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2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1720" w:type="dxa"/>
            <w:vAlign w:val="bottom"/>
            <w:tcBorders>
              <w:top w:val="single" w:sz="8" w:color="auto"/>
              <w:bottom w:val="single" w:sz="8" w:color="auto"/>
              <w:right w:val="single" w:sz="8" w:color="auto"/>
            </w:tcBorders>
          </w:tcPr>
          <w:p>
            <w:pPr>
              <w:spacing w:after="0"/>
              <w:rPr>
                <w:sz w:val="22"/>
                <w:szCs w:val="22"/>
                <w:color w:val="auto"/>
              </w:rPr>
            </w:pPr>
          </w:p>
        </w:tc>
        <w:tc>
          <w:tcPr>
            <w:tcW w:w="9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Designation of</w:t>
            </w: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140" w:type="dxa"/>
            <w:vAlign w:val="bottom"/>
            <w:tcBorders>
              <w:left w:val="single" w:sz="8" w:color="auto"/>
              <w:right w:val="single" w:sz="8" w:color="auto"/>
            </w:tcBorders>
            <w:vMerge w:val="continue"/>
          </w:tcPr>
          <w:p>
            <w:pPr>
              <w:spacing w:after="0"/>
              <w:rPr>
                <w:sz w:val="12"/>
                <w:szCs w:val="12"/>
                <w:color w:val="auto"/>
              </w:rPr>
            </w:pPr>
          </w:p>
        </w:tc>
        <w:tc>
          <w:tcPr>
            <w:tcW w:w="3380" w:type="dxa"/>
            <w:vAlign w:val="bottom"/>
            <w:tcBorders>
              <w:right w:val="single" w:sz="8" w:color="auto"/>
            </w:tcBorders>
            <w:gridSpan w:val="24"/>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22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 of Filing</w:t>
            </w:r>
          </w:p>
        </w:tc>
        <w:tc>
          <w:tcPr>
            <w:tcW w:w="172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Exhibit Number</w:t>
            </w:r>
          </w:p>
        </w:tc>
        <w:tc>
          <w:tcPr>
            <w:tcW w:w="9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Exhibit</w:t>
            </w:r>
          </w:p>
        </w:tc>
        <w:tc>
          <w:tcPr>
            <w:tcW w:w="3380" w:type="dxa"/>
            <w:vAlign w:val="bottom"/>
            <w:tcBorders>
              <w:bottom w:val="single" w:sz="8" w:color="auto"/>
              <w:right w:val="single" w:sz="8" w:color="auto"/>
            </w:tcBorders>
            <w:gridSpan w:val="24"/>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3(a)</w:t>
            </w:r>
          </w:p>
        </w:tc>
        <w:tc>
          <w:tcPr>
            <w:tcW w:w="33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Restated Certificate of Incorporation of</w:t>
              </w:r>
            </w:hyperlink>
          </w:p>
        </w:tc>
        <w:tc>
          <w:tcPr>
            <w:tcW w:w="82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24, 2015</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3(a)</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DBDBDB"/>
              <w:left w:val="single" w:sz="8" w:color="auto"/>
              <w:bottom w:val="single" w:sz="8" w:color="DBDBDB"/>
              <w:right w:val="single" w:sz="8" w:color="auto"/>
            </w:tcBorders>
            <w:shd w:val="clear" w:color="auto" w:fill="DBDBDB"/>
          </w:tcPr>
          <w:p>
            <w:pPr>
              <w:spacing w:after="0"/>
              <w:rPr>
                <w:sz w:val="13"/>
                <w:szCs w:val="13"/>
                <w:color w:val="auto"/>
              </w:rPr>
            </w:pPr>
          </w:p>
        </w:tc>
        <w:tc>
          <w:tcPr>
            <w:tcW w:w="3080" w:type="dxa"/>
            <w:vAlign w:val="bottom"/>
            <w:tcBorders>
              <w:top w:val="single" w:sz="8" w:color="0000FF"/>
              <w:bottom w:val="single" w:sz="8" w:color="0000FF"/>
            </w:tcBorders>
            <w:gridSpan w:val="19"/>
            <w:shd w:val="clear" w:color="auto" w:fill="DBDBDB"/>
          </w:tcPr>
          <w:p>
            <w:pPr>
              <w:spacing w:after="0" w:line="156" w:lineRule="exact"/>
              <w:rPr>
                <w:rFonts w:ascii="Arial" w:cs="Arial" w:eastAsia="Arial" w:hAnsi="Arial"/>
                <w:sz w:val="18"/>
                <w:szCs w:val="18"/>
                <w:color w:val="0000FF"/>
                <w:w w:val="98"/>
              </w:rPr>
            </w:pPr>
            <w:hyperlink r:id="rId81">
              <w:r>
                <w:rPr>
                  <w:rFonts w:ascii="Arial" w:cs="Arial" w:eastAsia="Arial" w:hAnsi="Arial"/>
                  <w:sz w:val="18"/>
                  <w:szCs w:val="18"/>
                  <w:color w:val="0000FF"/>
                  <w:w w:val="98"/>
                </w:rPr>
                <w:t>the Registrant, dated April 18, 1985, as</w:t>
              </w:r>
            </w:hyperlink>
          </w:p>
        </w:tc>
        <w:tc>
          <w:tcPr>
            <w:tcW w:w="40" w:type="dxa"/>
            <w:vAlign w:val="bottom"/>
            <w:tcBorders>
              <w:top w:val="single" w:sz="8" w:color="DBDBDB"/>
              <w:bottom w:val="single" w:sz="8" w:color="0000FF"/>
            </w:tcBorders>
            <w:shd w:val="clear" w:color="auto" w:fill="DBDBDB"/>
          </w:tcPr>
          <w:p>
            <w:pPr>
              <w:spacing w:after="0"/>
              <w:rPr>
                <w:sz w:val="13"/>
                <w:szCs w:val="13"/>
                <w:color w:val="auto"/>
              </w:rPr>
            </w:pPr>
          </w:p>
        </w:tc>
        <w:tc>
          <w:tcPr>
            <w:tcW w:w="20" w:type="dxa"/>
            <w:vAlign w:val="bottom"/>
            <w:tcBorders>
              <w:top w:val="single" w:sz="8" w:color="DBDBDB"/>
              <w:bottom w:val="single" w:sz="8" w:color="0000FF"/>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820" w:type="dxa"/>
            <w:vAlign w:val="bottom"/>
            <w:tcBorders>
              <w:top w:val="single" w:sz="8" w:color="DBDBDB"/>
              <w:bottom w:val="single" w:sz="8" w:color="DBDBDB"/>
            </w:tcBorders>
            <w:shd w:val="clear" w:color="auto" w:fill="DBDBDB"/>
          </w:tcPr>
          <w:p>
            <w:pPr>
              <w:spacing w:after="0"/>
              <w:rPr>
                <w:sz w:val="13"/>
                <w:szCs w:val="13"/>
                <w:color w:val="auto"/>
              </w:rPr>
            </w:pPr>
          </w:p>
        </w:tc>
        <w:tc>
          <w:tcPr>
            <w:tcW w:w="1020" w:type="dxa"/>
            <w:vAlign w:val="bottom"/>
            <w:tcBorders>
              <w:top w:val="single" w:sz="8" w:color="DBDBDB"/>
              <w:bottom w:val="single" w:sz="8" w:color="DBDBDB"/>
            </w:tcBorders>
            <w:shd w:val="clear" w:color="auto" w:fill="DBDBDB"/>
          </w:tcPr>
          <w:p>
            <w:pPr>
              <w:spacing w:after="0"/>
              <w:rPr>
                <w:sz w:val="13"/>
                <w:szCs w:val="13"/>
                <w:color w:val="auto"/>
              </w:rPr>
            </w:pPr>
          </w:p>
        </w:tc>
        <w:tc>
          <w:tcPr>
            <w:tcW w:w="2200" w:type="dxa"/>
            <w:vAlign w:val="bottom"/>
            <w:tcBorders>
              <w:top w:val="single" w:sz="8" w:color="DBDBDB"/>
              <w:bottom w:val="single" w:sz="8" w:color="DBDBDB"/>
            </w:tcBorders>
            <w:shd w:val="clear" w:color="auto" w:fill="DBDBDB"/>
          </w:tcPr>
          <w:p>
            <w:pPr>
              <w:spacing w:after="0"/>
              <w:rPr>
                <w:sz w:val="13"/>
                <w:szCs w:val="13"/>
                <w:color w:val="auto"/>
              </w:rPr>
            </w:pPr>
          </w:p>
        </w:tc>
        <w:tc>
          <w:tcPr>
            <w:tcW w:w="172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3140" w:type="dxa"/>
            <w:vAlign w:val="bottom"/>
            <w:tcBorders>
              <w:bottom w:val="single" w:sz="8" w:color="auto"/>
            </w:tcBorders>
            <w:gridSpan w:val="21"/>
            <w:shd w:val="clear" w:color="auto" w:fill="DBDBDB"/>
          </w:tcPr>
          <w:p>
            <w:pPr>
              <w:spacing w:after="0" w:line="169" w:lineRule="exact"/>
              <w:rPr>
                <w:rFonts w:ascii="Arial" w:cs="Arial" w:eastAsia="Arial" w:hAnsi="Arial"/>
                <w:sz w:val="18"/>
                <w:szCs w:val="18"/>
                <w:color w:val="0000FF"/>
              </w:rPr>
            </w:pPr>
            <w:hyperlink r:id="rId81">
              <w:r>
                <w:rPr>
                  <w:rFonts w:ascii="Arial" w:cs="Arial" w:eastAsia="Arial" w:hAnsi="Arial"/>
                  <w:sz w:val="18"/>
                  <w:szCs w:val="18"/>
                  <w:color w:val="0000FF"/>
                </w:rPr>
                <w:t>amended</w:t>
              </w:r>
            </w:hyperlink>
          </w:p>
        </w:tc>
        <w:tc>
          <w:tcPr>
            <w:tcW w:w="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0" w:type="dxa"/>
            <w:vAlign w:val="bottom"/>
            <w:tcBorders>
              <w:bottom w:val="single" w:sz="8" w:color="auto"/>
              <w:right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spacing w:after="0"/>
              <w:rPr>
                <w:sz w:val="18"/>
                <w:szCs w:val="18"/>
                <w:color w:val="auto"/>
              </w:rPr>
            </w:pPr>
          </w:p>
        </w:tc>
        <w:tc>
          <w:tcPr>
            <w:tcW w:w="22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right w:val="single" w:sz="8" w:color="auto"/>
            </w:tcBorders>
            <w:shd w:val="clear" w:color="auto" w:fill="DBDBDB"/>
          </w:tcPr>
          <w:p>
            <w:pPr>
              <w:spacing w:after="0"/>
              <w:rPr>
                <w:sz w:val="18"/>
                <w:szCs w:val="18"/>
                <w:color w:val="auto"/>
              </w:rPr>
            </w:pPr>
          </w:p>
        </w:tc>
        <w:tc>
          <w:tcPr>
            <w:tcW w:w="960" w:type="dxa"/>
            <w:vAlign w:val="bottom"/>
            <w:tcBorders>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3(b)</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2">
              <w:r>
                <w:rPr>
                  <w:rFonts w:ascii="Arial" w:cs="Arial" w:eastAsia="Arial" w:hAnsi="Arial"/>
                  <w:sz w:val="18"/>
                  <w:szCs w:val="18"/>
                  <w:color w:val="0000FF"/>
                </w:rPr>
                <w:t>By-Laws of the Registrant</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January 26, 2022</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3</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4(a)</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Indenture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May 23, 2011</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4.2</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4(b)</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May 4, 2017</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4(c)</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5">
              <w:r>
                <w:rPr>
                  <w:rFonts w:ascii="Arial" w:cs="Arial" w:eastAsia="Arial" w:hAnsi="Arial"/>
                  <w:sz w:val="18"/>
                  <w:szCs w:val="18"/>
                  <w:color w:val="0000FF"/>
                </w:rPr>
                <w:t>Officers’ Certificate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November 3, 2017</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4(d)</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May 7, 2018</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4(e)</w:t>
            </w:r>
          </w:p>
        </w:tc>
        <w:tc>
          <w:tcPr>
            <w:tcW w:w="33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7">
              <w:r>
                <w:rPr>
                  <w:rFonts w:ascii="Arial" w:cs="Arial" w:eastAsia="Arial" w:hAnsi="Arial"/>
                  <w:sz w:val="18"/>
                  <w:szCs w:val="18"/>
                  <w:color w:val="0000FF"/>
                </w:rPr>
                <w:t>Officers’ Certificate</w:t>
              </w:r>
            </w:hyperlink>
          </w:p>
        </w:tc>
        <w:tc>
          <w:tcPr>
            <w:tcW w:w="82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June 8, 2018</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8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4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right w:val="single" w:sz="8" w:color="auto"/>
            </w:tcBorders>
            <w:shd w:val="clear" w:color="auto" w:fill="DBDBDB"/>
          </w:tcPr>
          <w:p>
            <w:pPr>
              <w:spacing w:after="0" w:line="20" w:lineRule="exact"/>
              <w:rPr>
                <w:sz w:val="1"/>
                <w:szCs w:val="1"/>
                <w:color w:val="auto"/>
              </w:rPr>
            </w:pPr>
          </w:p>
        </w:tc>
        <w:tc>
          <w:tcPr>
            <w:tcW w:w="82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DBDBDB"/>
            </w:tcBorders>
            <w:shd w:val="clear" w:color="auto" w:fill="DBDBDB"/>
          </w:tcPr>
          <w:p>
            <w:pPr>
              <w:spacing w:after="0" w:line="20" w:lineRule="exact"/>
              <w:rPr>
                <w:sz w:val="1"/>
                <w:szCs w:val="1"/>
                <w:color w:val="auto"/>
              </w:rPr>
            </w:pPr>
          </w:p>
        </w:tc>
        <w:tc>
          <w:tcPr>
            <w:tcW w:w="2200" w:type="dxa"/>
            <w:vAlign w:val="bottom"/>
            <w:tcBorders>
              <w:top w:val="single" w:sz="8" w:color="DBDBDB"/>
            </w:tcBorders>
            <w:shd w:val="clear" w:color="auto" w:fill="DBDBDB"/>
          </w:tcPr>
          <w:p>
            <w:pPr>
              <w:spacing w:after="0" w:line="20" w:lineRule="exact"/>
              <w:rPr>
                <w:sz w:val="1"/>
                <w:szCs w:val="1"/>
                <w:color w:val="auto"/>
              </w:rPr>
            </w:pPr>
          </w:p>
        </w:tc>
        <w:tc>
          <w:tcPr>
            <w:tcW w:w="1720" w:type="dxa"/>
            <w:vAlign w:val="bottom"/>
            <w:tcBorders>
              <w:top w:val="single" w:sz="8" w:color="DBDBDB"/>
              <w:right w:val="single" w:sz="8" w:color="auto"/>
            </w:tcBorders>
            <w:shd w:val="clear" w:color="auto" w:fill="DBDBDB"/>
          </w:tcPr>
          <w:p>
            <w:pPr>
              <w:spacing w:after="0" w:line="20" w:lineRule="exact"/>
              <w:rPr>
                <w:sz w:val="1"/>
                <w:szCs w:val="1"/>
                <w:color w:val="auto"/>
              </w:rPr>
            </w:pPr>
          </w:p>
        </w:tc>
        <w:tc>
          <w:tcPr>
            <w:tcW w:w="960" w:type="dxa"/>
            <w:vAlign w:val="bottom"/>
            <w:tcBorders>
              <w:top w:val="single" w:sz="8" w:color="DBDBDB"/>
              <w:right w:val="single" w:sz="8" w:color="auto"/>
            </w:tcBorders>
            <w:shd w:val="clear" w:color="auto" w:fill="DBDBDB"/>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b w:val="1"/>
                <w:bCs w:val="1"/>
                <w:color w:val="auto"/>
              </w:rPr>
              <w:t>4(f)</w:t>
            </w:r>
          </w:p>
        </w:tc>
        <w:tc>
          <w:tcPr>
            <w:tcW w:w="3380" w:type="dxa"/>
            <w:vAlign w:val="bottom"/>
            <w:tcBorders>
              <w:right w:val="single" w:sz="8" w:color="auto"/>
            </w:tcBorders>
            <w:gridSpan w:val="24"/>
          </w:tcPr>
          <w:p>
            <w:pPr>
              <w:spacing w:after="0" w:line="149" w:lineRule="exact"/>
              <w:rPr>
                <w:rFonts w:ascii="Arial" w:cs="Arial" w:eastAsia="Arial" w:hAnsi="Arial"/>
                <w:sz w:val="17"/>
                <w:szCs w:val="17"/>
                <w:color w:val="0000FF"/>
              </w:rPr>
            </w:pPr>
            <w:hyperlink r:id="rId88">
              <w:r>
                <w:rPr>
                  <w:rFonts w:ascii="Arial" w:cs="Arial" w:eastAsia="Arial" w:hAnsi="Arial"/>
                  <w:sz w:val="17"/>
                  <w:szCs w:val="17"/>
                  <w:color w:val="0000FF"/>
                </w:rPr>
                <w:t>Officers’ Certificate</w:t>
              </w:r>
            </w:hyperlink>
          </w:p>
        </w:tc>
        <w:tc>
          <w:tcPr>
            <w:tcW w:w="820" w:type="dxa"/>
            <w:vAlign w:val="bottom"/>
          </w:tcPr>
          <w:p>
            <w:pPr>
              <w:ind w:left="20"/>
              <w:spacing w:after="0" w:line="149" w:lineRule="exact"/>
              <w:rPr>
                <w:sz w:val="20"/>
                <w:szCs w:val="20"/>
                <w:color w:val="auto"/>
              </w:rPr>
            </w:pPr>
            <w:r>
              <w:rPr>
                <w:rFonts w:ascii="Arial" w:cs="Arial" w:eastAsia="Arial" w:hAnsi="Arial"/>
                <w:sz w:val="17"/>
                <w:szCs w:val="17"/>
                <w:color w:val="auto"/>
              </w:rPr>
              <w:t>8-K</w:t>
            </w:r>
          </w:p>
        </w:tc>
        <w:tc>
          <w:tcPr>
            <w:tcW w:w="1020" w:type="dxa"/>
            <w:vAlign w:val="bottom"/>
          </w:tcPr>
          <w:p>
            <w:pPr>
              <w:ind w:left="60"/>
              <w:spacing w:after="0" w:line="149" w:lineRule="exact"/>
              <w:rPr>
                <w:sz w:val="20"/>
                <w:szCs w:val="20"/>
                <w:color w:val="auto"/>
              </w:rPr>
            </w:pPr>
            <w:r>
              <w:rPr>
                <w:rFonts w:ascii="Arial" w:cs="Arial" w:eastAsia="Arial" w:hAnsi="Arial"/>
                <w:sz w:val="17"/>
                <w:szCs w:val="17"/>
                <w:color w:val="auto"/>
              </w:rPr>
              <w:t>001-3761</w:t>
            </w:r>
          </w:p>
        </w:tc>
        <w:tc>
          <w:tcPr>
            <w:tcW w:w="2200" w:type="dxa"/>
            <w:vAlign w:val="bottom"/>
          </w:tcPr>
          <w:p>
            <w:pPr>
              <w:ind w:left="300"/>
              <w:spacing w:after="0" w:line="149" w:lineRule="exact"/>
              <w:rPr>
                <w:sz w:val="20"/>
                <w:szCs w:val="20"/>
                <w:color w:val="auto"/>
              </w:rPr>
            </w:pPr>
            <w:r>
              <w:rPr>
                <w:rFonts w:ascii="Arial" w:cs="Arial" w:eastAsia="Arial" w:hAnsi="Arial"/>
                <w:sz w:val="17"/>
                <w:szCs w:val="17"/>
                <w:color w:val="auto"/>
              </w:rPr>
              <w:t>March 11, 2019</w:t>
            </w:r>
          </w:p>
        </w:tc>
        <w:tc>
          <w:tcPr>
            <w:tcW w:w="1720" w:type="dxa"/>
            <w:vAlign w:val="bottom"/>
            <w:tcBorders>
              <w:right w:val="single" w:sz="8" w:color="auto"/>
            </w:tcBorders>
          </w:tcPr>
          <w:p>
            <w:pPr>
              <w:ind w:left="260"/>
              <w:spacing w:after="0" w:line="149" w:lineRule="exact"/>
              <w:rPr>
                <w:sz w:val="20"/>
                <w:szCs w:val="20"/>
                <w:color w:val="auto"/>
              </w:rPr>
            </w:pPr>
            <w:r>
              <w:rPr>
                <w:rFonts w:ascii="Arial" w:cs="Arial" w:eastAsia="Arial" w:hAnsi="Arial"/>
                <w:sz w:val="17"/>
                <w:szCs w:val="17"/>
                <w:color w:val="auto"/>
              </w:rPr>
              <w:t>4.1</w:t>
            </w: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4(g)</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9">
              <w:r>
                <w:rPr>
                  <w:rFonts w:ascii="Arial" w:cs="Arial" w:eastAsia="Arial" w:hAnsi="Arial"/>
                  <w:sz w:val="18"/>
                  <w:szCs w:val="18"/>
                  <w:color w:val="0000FF"/>
                </w:rPr>
                <w:t>Officers’ Certificate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September 4, 2019</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4(h)</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0">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March 12, 2020</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4(i)</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1">
              <w:r>
                <w:rPr>
                  <w:rFonts w:ascii="Arial" w:cs="Arial" w:eastAsia="Arial" w:hAnsi="Arial"/>
                  <w:sz w:val="18"/>
                  <w:szCs w:val="18"/>
                  <w:color w:val="0000FF"/>
                </w:rPr>
                <w:t>Officers’ Certificate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May 4, 2020</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4(j)</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2">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September 15, 2021</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4(k)</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Officers’ Certificate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August 16, 2022</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4(l)</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November 18, 2022</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4(m)</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Officers’ Certificate</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March 14, 2023</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4(n)</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Officers’ Certificate</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8-K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May 18, 2023</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4(o)</w:t>
            </w:r>
          </w:p>
        </w:tc>
        <w:tc>
          <w:tcPr>
            <w:tcW w:w="33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Description of Securities</w:t>
              </w:r>
            </w:hyperlink>
          </w:p>
        </w:tc>
        <w:tc>
          <w:tcPr>
            <w:tcW w:w="82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auto"/>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20, 2020</w:t>
            </w:r>
          </w:p>
        </w:tc>
        <w:tc>
          <w:tcPr>
            <w:tcW w:w="17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4(l)</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10(a)</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TI Deferred Compensation Plan, as</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24, 2016</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10(a)</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28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amended*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10(b)</w:t>
            </w:r>
          </w:p>
        </w:tc>
        <w:tc>
          <w:tcPr>
            <w:tcW w:w="33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9">
              <w:r>
                <w:rPr>
                  <w:rFonts w:ascii="Arial" w:cs="Arial" w:eastAsia="Arial" w:hAnsi="Arial"/>
                  <w:sz w:val="18"/>
                  <w:szCs w:val="18"/>
                  <w:color w:val="0000FF"/>
                </w:rPr>
                <w:t>TI Employees Non-Qualified Pension</w:t>
              </w:r>
            </w:hyperlink>
          </w:p>
        </w:tc>
        <w:tc>
          <w:tcPr>
            <w:tcW w:w="82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24, 2016</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10(b)</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top w:val="single" w:sz="8" w:color="DBDBDB"/>
              <w:left w:val="single" w:sz="8" w:color="auto"/>
              <w:right w:val="single" w:sz="8" w:color="auto"/>
            </w:tcBorders>
            <w:shd w:val="clear" w:color="auto" w:fill="DBDBDB"/>
          </w:tcPr>
          <w:p>
            <w:pPr>
              <w:spacing w:after="0"/>
              <w:rPr>
                <w:sz w:val="13"/>
                <w:szCs w:val="13"/>
                <w:color w:val="auto"/>
              </w:rPr>
            </w:pPr>
          </w:p>
        </w:tc>
        <w:tc>
          <w:tcPr>
            <w:tcW w:w="2960" w:type="dxa"/>
            <w:vAlign w:val="bottom"/>
            <w:tcBorders>
              <w:top w:val="single" w:sz="8" w:color="0000FF"/>
            </w:tcBorders>
            <w:gridSpan w:val="18"/>
            <w:shd w:val="clear" w:color="auto" w:fill="DBDBDB"/>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Plan, effective January 1, 2009, as</w:t>
              </w:r>
            </w:hyperlink>
          </w:p>
        </w:tc>
        <w:tc>
          <w:tcPr>
            <w:tcW w:w="160" w:type="dxa"/>
            <w:vAlign w:val="bottom"/>
            <w:tcBorders>
              <w:top w:val="single" w:sz="8" w:color="DBDBDB"/>
            </w:tcBorders>
            <w:gridSpan w:val="2"/>
            <w:shd w:val="clear" w:color="auto" w:fill="DBDBDB"/>
          </w:tcPr>
          <w:p>
            <w:pPr>
              <w:spacing w:after="0"/>
              <w:rPr>
                <w:sz w:val="13"/>
                <w:szCs w:val="13"/>
                <w:color w:val="auto"/>
              </w:rPr>
            </w:pPr>
          </w:p>
        </w:tc>
        <w:tc>
          <w:tcPr>
            <w:tcW w:w="40" w:type="dxa"/>
            <w:vAlign w:val="bottom"/>
            <w:tcBorders>
              <w:top w:val="single" w:sz="8" w:color="DBDBDB"/>
            </w:tcBorders>
            <w:gridSpan w:val="2"/>
            <w:shd w:val="clear" w:color="auto" w:fill="DBDBDB"/>
          </w:tcPr>
          <w:p>
            <w:pPr>
              <w:spacing w:after="0"/>
              <w:rPr>
                <w:sz w:val="13"/>
                <w:szCs w:val="13"/>
                <w:color w:val="auto"/>
              </w:rPr>
            </w:pPr>
          </w:p>
        </w:tc>
        <w:tc>
          <w:tcPr>
            <w:tcW w:w="20" w:type="dxa"/>
            <w:vAlign w:val="bottom"/>
            <w:tcBorders>
              <w:top w:val="single" w:sz="8" w:color="DBDBDB"/>
            </w:tcBorders>
            <w:shd w:val="clear" w:color="auto" w:fill="DBDBDB"/>
          </w:tcPr>
          <w:p>
            <w:pPr>
              <w:spacing w:after="0"/>
              <w:rPr>
                <w:sz w:val="13"/>
                <w:szCs w:val="13"/>
                <w:color w:val="auto"/>
              </w:rPr>
            </w:pPr>
          </w:p>
        </w:tc>
        <w:tc>
          <w:tcPr>
            <w:tcW w:w="200" w:type="dxa"/>
            <w:vAlign w:val="bottom"/>
            <w:tcBorders>
              <w:top w:val="single" w:sz="8" w:color="DBDBDB"/>
              <w:right w:val="single" w:sz="8" w:color="auto"/>
            </w:tcBorders>
            <w:shd w:val="clear" w:color="auto" w:fill="DBDBDB"/>
          </w:tcPr>
          <w:p>
            <w:pPr>
              <w:spacing w:after="0"/>
              <w:rPr>
                <w:sz w:val="13"/>
                <w:szCs w:val="13"/>
                <w:color w:val="auto"/>
              </w:rPr>
            </w:pPr>
          </w:p>
        </w:tc>
        <w:tc>
          <w:tcPr>
            <w:tcW w:w="820" w:type="dxa"/>
            <w:vAlign w:val="bottom"/>
            <w:tcBorders>
              <w:top w:val="single" w:sz="8" w:color="DBDBDB"/>
            </w:tcBorders>
            <w:shd w:val="clear" w:color="auto" w:fill="DBDBDB"/>
          </w:tcPr>
          <w:p>
            <w:pPr>
              <w:spacing w:after="0"/>
              <w:rPr>
                <w:sz w:val="13"/>
                <w:szCs w:val="13"/>
                <w:color w:val="auto"/>
              </w:rPr>
            </w:pPr>
          </w:p>
        </w:tc>
        <w:tc>
          <w:tcPr>
            <w:tcW w:w="1020" w:type="dxa"/>
            <w:vAlign w:val="bottom"/>
            <w:tcBorders>
              <w:top w:val="single" w:sz="8" w:color="DBDBDB"/>
            </w:tcBorders>
            <w:shd w:val="clear" w:color="auto" w:fill="DBDBDB"/>
          </w:tcPr>
          <w:p>
            <w:pPr>
              <w:spacing w:after="0"/>
              <w:rPr>
                <w:sz w:val="13"/>
                <w:szCs w:val="13"/>
                <w:color w:val="auto"/>
              </w:rPr>
            </w:pPr>
          </w:p>
        </w:tc>
        <w:tc>
          <w:tcPr>
            <w:tcW w:w="2200" w:type="dxa"/>
            <w:vAlign w:val="bottom"/>
            <w:tcBorders>
              <w:top w:val="single" w:sz="8" w:color="DBDBDB"/>
            </w:tcBorders>
            <w:shd w:val="clear" w:color="auto" w:fill="DBDBDB"/>
          </w:tcPr>
          <w:p>
            <w:pPr>
              <w:spacing w:after="0"/>
              <w:rPr>
                <w:sz w:val="13"/>
                <w:szCs w:val="13"/>
                <w:color w:val="auto"/>
              </w:rPr>
            </w:pPr>
          </w:p>
        </w:tc>
        <w:tc>
          <w:tcPr>
            <w:tcW w:w="1720" w:type="dxa"/>
            <w:vAlign w:val="bottom"/>
            <w:tcBorders>
              <w:top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8"/>
                <w:szCs w:val="18"/>
                <w:color w:val="auto"/>
              </w:rPr>
            </w:pPr>
          </w:p>
        </w:tc>
        <w:tc>
          <w:tcPr>
            <w:tcW w:w="2760" w:type="dxa"/>
            <w:vAlign w:val="bottom"/>
            <w:tcBorders>
              <w:top w:val="single" w:sz="8" w:color="0000FF"/>
              <w:bottom w:val="single" w:sz="8" w:color="auto"/>
            </w:tcBorders>
            <w:gridSpan w:val="12"/>
            <w:shd w:val="clear" w:color="auto" w:fill="DBDBDB"/>
          </w:tcPr>
          <w:p>
            <w:pPr>
              <w:spacing w:after="0" w:line="169" w:lineRule="exact"/>
              <w:rPr>
                <w:rFonts w:ascii="Arial" w:cs="Arial" w:eastAsia="Arial" w:hAnsi="Arial"/>
                <w:sz w:val="18"/>
                <w:szCs w:val="18"/>
                <w:color w:val="0000FF"/>
              </w:rPr>
            </w:pPr>
            <w:hyperlink r:id="rId99">
              <w:r>
                <w:rPr>
                  <w:rFonts w:ascii="Arial" w:cs="Arial" w:eastAsia="Arial" w:hAnsi="Arial"/>
                  <w:sz w:val="18"/>
                  <w:szCs w:val="18"/>
                  <w:color w:val="0000FF"/>
                </w:rPr>
                <w:t>amended*</w:t>
              </w:r>
            </w:hyperlink>
          </w:p>
        </w:tc>
        <w:tc>
          <w:tcPr>
            <w:tcW w:w="80" w:type="dxa"/>
            <w:vAlign w:val="bottom"/>
            <w:tcBorders>
              <w:top w:val="single" w:sz="8" w:color="DBDBDB"/>
              <w:bottom w:val="single" w:sz="8" w:color="auto"/>
            </w:tcBorders>
            <w:gridSpan w:val="2"/>
            <w:shd w:val="clear" w:color="auto" w:fill="DBDBDB"/>
          </w:tcPr>
          <w:p>
            <w:pPr>
              <w:spacing w:after="0"/>
              <w:rPr>
                <w:sz w:val="18"/>
                <w:szCs w:val="18"/>
                <w:color w:val="auto"/>
              </w:rPr>
            </w:pPr>
          </w:p>
        </w:tc>
        <w:tc>
          <w:tcPr>
            <w:tcW w:w="20" w:type="dxa"/>
            <w:vAlign w:val="bottom"/>
            <w:tcBorders>
              <w:top w:val="single" w:sz="8" w:color="DBDBDB"/>
              <w:bottom w:val="single" w:sz="8" w:color="auto"/>
            </w:tcBorders>
            <w:shd w:val="clear" w:color="auto" w:fill="DBDBDB"/>
          </w:tcPr>
          <w:p>
            <w:pPr>
              <w:spacing w:after="0"/>
              <w:rPr>
                <w:sz w:val="18"/>
                <w:szCs w:val="18"/>
                <w:color w:val="auto"/>
              </w:rPr>
            </w:pPr>
          </w:p>
        </w:tc>
        <w:tc>
          <w:tcPr>
            <w:tcW w:w="20" w:type="dxa"/>
            <w:vAlign w:val="bottom"/>
            <w:tcBorders>
              <w:top w:val="single" w:sz="8" w:color="DBDBDB"/>
              <w:bottom w:val="single" w:sz="8" w:color="auto"/>
            </w:tcBorders>
            <w:shd w:val="clear" w:color="auto" w:fill="DBDBDB"/>
          </w:tcPr>
          <w:p>
            <w:pPr>
              <w:spacing w:after="0"/>
              <w:rPr>
                <w:sz w:val="18"/>
                <w:szCs w:val="18"/>
                <w:color w:val="auto"/>
              </w:rPr>
            </w:pPr>
          </w:p>
        </w:tc>
        <w:tc>
          <w:tcPr>
            <w:tcW w:w="40" w:type="dxa"/>
            <w:vAlign w:val="bottom"/>
            <w:tcBorders>
              <w:top w:val="single" w:sz="8" w:color="DBDBDB"/>
              <w:bottom w:val="single" w:sz="8" w:color="auto"/>
            </w:tcBorders>
            <w:shd w:val="clear" w:color="auto" w:fill="DBDBDB"/>
          </w:tcPr>
          <w:p>
            <w:pPr>
              <w:spacing w:after="0"/>
              <w:rPr>
                <w:sz w:val="18"/>
                <w:szCs w:val="18"/>
                <w:color w:val="auto"/>
              </w:rPr>
            </w:pPr>
          </w:p>
        </w:tc>
        <w:tc>
          <w:tcPr>
            <w:tcW w:w="200" w:type="dxa"/>
            <w:vAlign w:val="bottom"/>
            <w:tcBorders>
              <w:top w:val="single" w:sz="8" w:color="DBDBDB"/>
              <w:bottom w:val="single" w:sz="8" w:color="auto"/>
            </w:tcBorders>
            <w:gridSpan w:val="3"/>
            <w:shd w:val="clear" w:color="auto" w:fill="DBDBDB"/>
          </w:tcPr>
          <w:p>
            <w:pPr>
              <w:spacing w:after="0"/>
              <w:rPr>
                <w:sz w:val="18"/>
                <w:szCs w:val="18"/>
                <w:color w:val="auto"/>
              </w:rPr>
            </w:pPr>
          </w:p>
        </w:tc>
        <w:tc>
          <w:tcPr>
            <w:tcW w:w="40" w:type="dxa"/>
            <w:vAlign w:val="bottom"/>
            <w:tcBorders>
              <w:top w:val="single" w:sz="8" w:color="DBDBDB"/>
              <w:bottom w:val="single" w:sz="8" w:color="auto"/>
            </w:tcBorders>
            <w:gridSpan w:val="2"/>
            <w:shd w:val="clear" w:color="auto" w:fill="DBDBDB"/>
          </w:tcPr>
          <w:p>
            <w:pPr>
              <w:spacing w:after="0"/>
              <w:rPr>
                <w:sz w:val="18"/>
                <w:szCs w:val="18"/>
                <w:color w:val="auto"/>
              </w:rPr>
            </w:pPr>
          </w:p>
        </w:tc>
        <w:tc>
          <w:tcPr>
            <w:tcW w:w="20" w:type="dxa"/>
            <w:vAlign w:val="bottom"/>
            <w:tcBorders>
              <w:top w:val="single" w:sz="8" w:color="DBDBDB"/>
              <w:bottom w:val="single" w:sz="8" w:color="auto"/>
            </w:tcBorders>
            <w:shd w:val="clear" w:color="auto" w:fill="DBDBDB"/>
          </w:tcPr>
          <w:p>
            <w:pPr>
              <w:spacing w:after="0"/>
              <w:rPr>
                <w:sz w:val="18"/>
                <w:szCs w:val="18"/>
                <w:color w:val="auto"/>
              </w:rPr>
            </w:pPr>
          </w:p>
        </w:tc>
        <w:tc>
          <w:tcPr>
            <w:tcW w:w="20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820" w:type="dxa"/>
            <w:vAlign w:val="bottom"/>
            <w:tcBorders>
              <w:top w:val="single" w:sz="8" w:color="DBDBDB"/>
              <w:bottom w:val="single" w:sz="8" w:color="auto"/>
            </w:tcBorders>
            <w:shd w:val="clear" w:color="auto" w:fill="DBDBDB"/>
          </w:tcPr>
          <w:p>
            <w:pPr>
              <w:spacing w:after="0"/>
              <w:rPr>
                <w:sz w:val="18"/>
                <w:szCs w:val="18"/>
                <w:color w:val="auto"/>
              </w:rPr>
            </w:pPr>
          </w:p>
        </w:tc>
        <w:tc>
          <w:tcPr>
            <w:tcW w:w="1020" w:type="dxa"/>
            <w:vAlign w:val="bottom"/>
            <w:tcBorders>
              <w:top w:val="single" w:sz="8" w:color="DBDBDB"/>
              <w:bottom w:val="single" w:sz="8" w:color="auto"/>
            </w:tcBorders>
            <w:shd w:val="clear" w:color="auto" w:fill="DBDBDB"/>
          </w:tcPr>
          <w:p>
            <w:pPr>
              <w:spacing w:after="0"/>
              <w:rPr>
                <w:sz w:val="18"/>
                <w:szCs w:val="18"/>
                <w:color w:val="auto"/>
              </w:rPr>
            </w:pPr>
          </w:p>
        </w:tc>
        <w:tc>
          <w:tcPr>
            <w:tcW w:w="2200" w:type="dxa"/>
            <w:vAlign w:val="bottom"/>
            <w:tcBorders>
              <w:top w:val="single" w:sz="8" w:color="DBDBDB"/>
              <w:bottom w:val="single" w:sz="8" w:color="auto"/>
            </w:tcBorders>
            <w:shd w:val="clear" w:color="auto" w:fill="DBDBDB"/>
          </w:tcPr>
          <w:p>
            <w:pPr>
              <w:spacing w:after="0"/>
              <w:rPr>
                <w:sz w:val="18"/>
                <w:szCs w:val="18"/>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10(c)</w:t>
            </w:r>
          </w:p>
        </w:tc>
        <w:tc>
          <w:tcPr>
            <w:tcW w:w="33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TI Employees Non-Qualified Pension</w:t>
              </w:r>
            </w:hyperlink>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24, 2016</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10(c)</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29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Plan II*</w:t>
              </w:r>
            </w:hyperlink>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10(d)</w:t>
            </w:r>
          </w:p>
        </w:tc>
        <w:tc>
          <w:tcPr>
            <w:tcW w:w="33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Texas Instruments Long-Term Incentive</w:t>
              </w:r>
            </w:hyperlink>
          </w:p>
        </w:tc>
        <w:tc>
          <w:tcPr>
            <w:tcW w:w="82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24, 2012</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10(c)</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8"/>
                <w:szCs w:val="18"/>
                <w:color w:val="auto"/>
              </w:rPr>
            </w:pPr>
          </w:p>
        </w:tc>
        <w:tc>
          <w:tcPr>
            <w:tcW w:w="3160" w:type="dxa"/>
            <w:vAlign w:val="bottom"/>
            <w:tcBorders>
              <w:top w:val="single" w:sz="8" w:color="0000FF"/>
              <w:bottom w:val="single" w:sz="8" w:color="auto"/>
            </w:tcBorders>
            <w:gridSpan w:val="22"/>
            <w:shd w:val="clear" w:color="auto" w:fill="DBDBDB"/>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Plan, adopted April 15, 1993*</w:t>
              </w:r>
            </w:hyperlink>
          </w:p>
        </w:tc>
        <w:tc>
          <w:tcPr>
            <w:tcW w:w="20" w:type="dxa"/>
            <w:vAlign w:val="bottom"/>
            <w:tcBorders>
              <w:top w:val="single" w:sz="8" w:color="DBDBDB"/>
              <w:bottom w:val="single" w:sz="8" w:color="auto"/>
            </w:tcBorders>
            <w:shd w:val="clear" w:color="auto" w:fill="DBDBDB"/>
          </w:tcPr>
          <w:p>
            <w:pPr>
              <w:spacing w:after="0"/>
              <w:rPr>
                <w:sz w:val="18"/>
                <w:szCs w:val="18"/>
                <w:color w:val="auto"/>
              </w:rPr>
            </w:pPr>
          </w:p>
        </w:tc>
        <w:tc>
          <w:tcPr>
            <w:tcW w:w="20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820" w:type="dxa"/>
            <w:vAlign w:val="bottom"/>
            <w:tcBorders>
              <w:top w:val="single" w:sz="8" w:color="DBDBDB"/>
              <w:bottom w:val="single" w:sz="8" w:color="auto"/>
            </w:tcBorders>
            <w:shd w:val="clear" w:color="auto" w:fill="DBDBDB"/>
          </w:tcPr>
          <w:p>
            <w:pPr>
              <w:spacing w:after="0"/>
              <w:rPr>
                <w:sz w:val="18"/>
                <w:szCs w:val="18"/>
                <w:color w:val="auto"/>
              </w:rPr>
            </w:pPr>
          </w:p>
        </w:tc>
        <w:tc>
          <w:tcPr>
            <w:tcW w:w="1020" w:type="dxa"/>
            <w:vAlign w:val="bottom"/>
            <w:tcBorders>
              <w:top w:val="single" w:sz="8" w:color="DBDBDB"/>
              <w:bottom w:val="single" w:sz="8" w:color="auto"/>
            </w:tcBorders>
            <w:shd w:val="clear" w:color="auto" w:fill="DBDBDB"/>
          </w:tcPr>
          <w:p>
            <w:pPr>
              <w:spacing w:after="0"/>
              <w:rPr>
                <w:sz w:val="18"/>
                <w:szCs w:val="18"/>
                <w:color w:val="auto"/>
              </w:rPr>
            </w:pPr>
          </w:p>
        </w:tc>
        <w:tc>
          <w:tcPr>
            <w:tcW w:w="2200" w:type="dxa"/>
            <w:vAlign w:val="bottom"/>
            <w:tcBorders>
              <w:top w:val="single" w:sz="8" w:color="DBDBDB"/>
              <w:bottom w:val="single" w:sz="8" w:color="auto"/>
            </w:tcBorders>
            <w:shd w:val="clear" w:color="auto" w:fill="DBDBDB"/>
          </w:tcPr>
          <w:p>
            <w:pPr>
              <w:spacing w:after="0"/>
              <w:rPr>
                <w:sz w:val="18"/>
                <w:szCs w:val="18"/>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10(e)</w:t>
            </w:r>
          </w:p>
        </w:tc>
        <w:tc>
          <w:tcPr>
            <w:tcW w:w="3380" w:type="dxa"/>
            <w:vAlign w:val="bottom"/>
            <w:tcBorders>
              <w:right w:val="single" w:sz="8" w:color="auto"/>
            </w:tcBorders>
            <w:gridSpan w:val="24"/>
          </w:tcPr>
          <w:p>
            <w:pPr>
              <w:spacing w:after="0" w:line="169" w:lineRule="exact"/>
              <w:rPr>
                <w:rFonts w:ascii="Arial" w:cs="Arial" w:eastAsia="Arial" w:hAnsi="Arial"/>
                <w:sz w:val="18"/>
                <w:szCs w:val="18"/>
                <w:color w:val="0000FF"/>
              </w:rPr>
            </w:pPr>
            <w:hyperlink r:id="rId102">
              <w:r>
                <w:rPr>
                  <w:rFonts w:ascii="Arial" w:cs="Arial" w:eastAsia="Arial" w:hAnsi="Arial"/>
                  <w:sz w:val="18"/>
                  <w:szCs w:val="18"/>
                  <w:color w:val="0000FF"/>
                </w:rPr>
                <w:t>Texas Instruments 2003 Director</w:t>
              </w:r>
            </w:hyperlink>
          </w:p>
        </w:tc>
        <w:tc>
          <w:tcPr>
            <w:tcW w:w="820" w:type="dxa"/>
            <w:vAlign w:val="bottom"/>
          </w:tcPr>
          <w:p>
            <w:pPr>
              <w:ind w:left="20"/>
              <w:spacing w:after="0" w:line="169" w:lineRule="exact"/>
              <w:rPr>
                <w:sz w:val="20"/>
                <w:szCs w:val="20"/>
                <w:color w:val="auto"/>
              </w:rPr>
            </w:pPr>
            <w:r>
              <w:rPr>
                <w:rFonts w:ascii="Arial" w:cs="Arial" w:eastAsia="Arial" w:hAnsi="Arial"/>
                <w:sz w:val="18"/>
                <w:szCs w:val="18"/>
                <w:color w:val="auto"/>
              </w:rPr>
              <w:t>10-K</w:t>
            </w:r>
          </w:p>
        </w:tc>
        <w:tc>
          <w:tcPr>
            <w:tcW w:w="1020" w:type="dxa"/>
            <w:vAlign w:val="bottom"/>
          </w:tcPr>
          <w:p>
            <w:pPr>
              <w:ind w:left="60"/>
              <w:spacing w:after="0" w:line="169"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69" w:lineRule="exact"/>
              <w:rPr>
                <w:sz w:val="20"/>
                <w:szCs w:val="20"/>
                <w:color w:val="auto"/>
              </w:rPr>
            </w:pPr>
            <w:r>
              <w:rPr>
                <w:rFonts w:ascii="Arial" w:cs="Arial" w:eastAsia="Arial" w:hAnsi="Arial"/>
                <w:sz w:val="18"/>
                <w:szCs w:val="18"/>
                <w:color w:val="auto"/>
              </w:rPr>
              <w:t>February 24, 2015</w:t>
            </w:r>
          </w:p>
        </w:tc>
        <w:tc>
          <w:tcPr>
            <w:tcW w:w="172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8"/>
                <w:szCs w:val="18"/>
                <w:color w:val="auto"/>
              </w:rPr>
              <w:t>10(j)</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Borders>
              <w:left w:val="single" w:sz="8" w:color="auto"/>
              <w:right w:val="single" w:sz="8" w:color="auto"/>
            </w:tcBorders>
          </w:tcPr>
          <w:p>
            <w:pPr>
              <w:spacing w:after="0"/>
              <w:rPr>
                <w:sz w:val="14"/>
                <w:szCs w:val="14"/>
                <w:color w:val="auto"/>
              </w:rPr>
            </w:pPr>
          </w:p>
        </w:tc>
        <w:tc>
          <w:tcPr>
            <w:tcW w:w="2600" w:type="dxa"/>
            <w:vAlign w:val="bottom"/>
            <w:tcBorders>
              <w:top w:val="single" w:sz="8" w:color="0000FF"/>
            </w:tcBorders>
            <w:gridSpan w:val="11"/>
          </w:tcPr>
          <w:p>
            <w:pPr>
              <w:spacing w:after="0" w:line="162" w:lineRule="exact"/>
              <w:rPr>
                <w:rFonts w:ascii="Arial" w:cs="Arial" w:eastAsia="Arial" w:hAnsi="Arial"/>
                <w:sz w:val="18"/>
                <w:szCs w:val="18"/>
                <w:color w:val="0000FF"/>
                <w:w w:val="98"/>
              </w:rPr>
            </w:pPr>
            <w:hyperlink r:id="rId102">
              <w:r>
                <w:rPr>
                  <w:rFonts w:ascii="Arial" w:cs="Arial" w:eastAsia="Arial" w:hAnsi="Arial"/>
                  <w:sz w:val="18"/>
                  <w:szCs w:val="18"/>
                  <w:color w:val="0000FF"/>
                  <w:w w:val="98"/>
                </w:rPr>
                <w:t>Compensation Plan as amended</w:t>
              </w:r>
            </w:hyperlink>
          </w:p>
        </w:tc>
        <w:tc>
          <w:tcPr>
            <w:tcW w:w="780" w:type="dxa"/>
            <w:vAlign w:val="bottom"/>
            <w:tcBorders>
              <w:right w:val="single" w:sz="8" w:color="auto"/>
            </w:tcBorders>
            <w:gridSpan w:val="13"/>
          </w:tcPr>
          <w:p>
            <w:pPr>
              <w:ind w:left="60"/>
              <w:spacing w:after="0" w:line="162" w:lineRule="exact"/>
              <w:rPr>
                <w:rFonts w:ascii="Arial" w:cs="Arial" w:eastAsia="Arial" w:hAnsi="Arial"/>
                <w:sz w:val="18"/>
                <w:szCs w:val="18"/>
                <w:color w:val="0000FF"/>
              </w:rPr>
            </w:pPr>
            <w:hyperlink r:id="rId102">
              <w:r>
                <w:rPr>
                  <w:rFonts w:ascii="Arial" w:cs="Arial" w:eastAsia="Arial" w:hAnsi="Arial"/>
                  <w:sz w:val="18"/>
                  <w:szCs w:val="18"/>
                  <w:color w:val="0000FF"/>
                </w:rPr>
                <w:t>January</w:t>
              </w:r>
            </w:hyperlink>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76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r:id="rId102">
              <w:r>
                <w:rPr>
                  <w:rFonts w:ascii="Arial" w:cs="Arial" w:eastAsia="Arial" w:hAnsi="Arial"/>
                  <w:sz w:val="18"/>
                  <w:szCs w:val="18"/>
                  <w:color w:val="0000FF"/>
                </w:rPr>
                <w:t>19, 2012</w:t>
              </w:r>
            </w:hyperlink>
          </w:p>
        </w:tc>
        <w:tc>
          <w:tcPr>
            <w:tcW w:w="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bottom w:val="single" w:sz="8" w:color="DBDBDB"/>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10(f)</w:t>
            </w:r>
          </w:p>
        </w:tc>
        <w:tc>
          <w:tcPr>
            <w:tcW w:w="2860" w:type="dxa"/>
            <w:vAlign w:val="bottom"/>
            <w:tcBorders>
              <w:bottom w:val="single" w:sz="8" w:color="0000FF"/>
            </w:tcBorders>
            <w:gridSpan w:val="15"/>
            <w:shd w:val="clear" w:color="auto" w:fill="DBDBDB"/>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Form of Non-Qualified Stock Option</w:t>
              </w:r>
            </w:hyperlink>
          </w:p>
        </w:tc>
        <w:tc>
          <w:tcPr>
            <w:tcW w:w="520" w:type="dxa"/>
            <w:vAlign w:val="bottom"/>
            <w:tcBorders>
              <w:bottom w:val="single" w:sz="8" w:color="DBDBDB"/>
              <w:right w:val="single" w:sz="8" w:color="auto"/>
            </w:tcBorders>
            <w:gridSpan w:val="9"/>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Borders>
              <w:bottom w:val="single" w:sz="8" w:color="DBDBDB"/>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Borders>
              <w:bottom w:val="single" w:sz="8" w:color="DBDBDB"/>
            </w:tcBorders>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23, 2017</w:t>
            </w:r>
          </w:p>
        </w:tc>
        <w:tc>
          <w:tcPr>
            <w:tcW w:w="1720" w:type="dxa"/>
            <w:vAlign w:val="bottom"/>
            <w:tcBorders>
              <w:bottom w:val="single" w:sz="8" w:color="DBDBDB"/>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10(k)</w:t>
            </w:r>
          </w:p>
        </w:tc>
        <w:tc>
          <w:tcPr>
            <w:tcW w:w="960" w:type="dxa"/>
            <w:vAlign w:val="bottom"/>
            <w:tcBorders>
              <w:bottom w:val="single" w:sz="8" w:color="DBDBDB"/>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shd w:val="clear" w:color="auto" w:fill="DBDBDB"/>
          </w:tcPr>
          <w:p>
            <w:pPr>
              <w:spacing w:after="0"/>
              <w:rPr>
                <w:sz w:val="13"/>
                <w:szCs w:val="13"/>
                <w:color w:val="auto"/>
              </w:rPr>
            </w:pPr>
          </w:p>
        </w:tc>
        <w:tc>
          <w:tcPr>
            <w:tcW w:w="3380" w:type="dxa"/>
            <w:vAlign w:val="bottom"/>
            <w:tcBorders>
              <w:right w:val="single" w:sz="8" w:color="auto"/>
            </w:tcBorders>
            <w:gridSpan w:val="24"/>
            <w:shd w:val="clear" w:color="auto" w:fill="DBDBDB"/>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Agreement for Executive Officers under</w:t>
              </w:r>
            </w:hyperlink>
          </w:p>
        </w:tc>
        <w:tc>
          <w:tcPr>
            <w:tcW w:w="82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2200" w:type="dxa"/>
            <w:vAlign w:val="bottom"/>
            <w:shd w:val="clear" w:color="auto" w:fill="DBDBDB"/>
          </w:tcPr>
          <w:p>
            <w:pPr>
              <w:spacing w:after="0"/>
              <w:rPr>
                <w:sz w:val="13"/>
                <w:szCs w:val="13"/>
                <w:color w:val="auto"/>
              </w:rPr>
            </w:pPr>
          </w:p>
        </w:tc>
        <w:tc>
          <w:tcPr>
            <w:tcW w:w="1720" w:type="dxa"/>
            <w:vAlign w:val="bottom"/>
            <w:tcBorders>
              <w:right w:val="single" w:sz="8" w:color="auto"/>
            </w:tcBorders>
            <w:shd w:val="clear" w:color="auto" w:fill="DBDBDB"/>
          </w:tcPr>
          <w:p>
            <w:pPr>
              <w:spacing w:after="0"/>
              <w:rPr>
                <w:sz w:val="13"/>
                <w:szCs w:val="13"/>
                <w:color w:val="auto"/>
              </w:rPr>
            </w:pPr>
          </w:p>
        </w:tc>
        <w:tc>
          <w:tcPr>
            <w:tcW w:w="960" w:type="dxa"/>
            <w:vAlign w:val="bottom"/>
            <w:tcBorders>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Borders>
              <w:top w:val="single" w:sz="8" w:color="DBDBDB"/>
              <w:left w:val="single" w:sz="8" w:color="auto"/>
              <w:right w:val="single" w:sz="8" w:color="auto"/>
            </w:tcBorders>
            <w:shd w:val="clear" w:color="auto" w:fill="DBDBDB"/>
          </w:tcPr>
          <w:p>
            <w:pPr>
              <w:spacing w:after="0"/>
              <w:rPr>
                <w:sz w:val="14"/>
                <w:szCs w:val="14"/>
                <w:color w:val="auto"/>
              </w:rPr>
            </w:pPr>
          </w:p>
        </w:tc>
        <w:tc>
          <w:tcPr>
            <w:tcW w:w="3180" w:type="dxa"/>
            <w:vAlign w:val="bottom"/>
            <w:tcBorders>
              <w:top w:val="single" w:sz="8" w:color="0000FF"/>
            </w:tcBorders>
            <w:gridSpan w:val="23"/>
            <w:shd w:val="clear" w:color="auto" w:fill="DBDBDB"/>
          </w:tcPr>
          <w:p>
            <w:pPr>
              <w:spacing w:after="0" w:line="169"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the Texas Instruments 2009 Long-Term</w:t>
              </w:r>
            </w:hyperlink>
          </w:p>
        </w:tc>
        <w:tc>
          <w:tcPr>
            <w:tcW w:w="200" w:type="dxa"/>
            <w:vAlign w:val="bottom"/>
            <w:tcBorders>
              <w:top w:val="single" w:sz="8" w:color="DBDBDB"/>
              <w:right w:val="single" w:sz="8" w:color="auto"/>
            </w:tcBorders>
            <w:shd w:val="clear" w:color="auto" w:fill="DBDBDB"/>
          </w:tcPr>
          <w:p>
            <w:pPr>
              <w:spacing w:after="0"/>
              <w:rPr>
                <w:sz w:val="14"/>
                <w:szCs w:val="14"/>
                <w:color w:val="auto"/>
              </w:rPr>
            </w:pPr>
          </w:p>
        </w:tc>
        <w:tc>
          <w:tcPr>
            <w:tcW w:w="820" w:type="dxa"/>
            <w:vAlign w:val="bottom"/>
            <w:tcBorders>
              <w:top w:val="single" w:sz="8" w:color="DBDBDB"/>
            </w:tcBorders>
            <w:shd w:val="clear" w:color="auto" w:fill="DBDBDB"/>
          </w:tcPr>
          <w:p>
            <w:pPr>
              <w:spacing w:after="0"/>
              <w:rPr>
                <w:sz w:val="14"/>
                <w:szCs w:val="14"/>
                <w:color w:val="auto"/>
              </w:rPr>
            </w:pPr>
          </w:p>
        </w:tc>
        <w:tc>
          <w:tcPr>
            <w:tcW w:w="1020" w:type="dxa"/>
            <w:vAlign w:val="bottom"/>
            <w:tcBorders>
              <w:top w:val="single" w:sz="8" w:color="DBDBDB"/>
            </w:tcBorders>
            <w:shd w:val="clear" w:color="auto" w:fill="DBDBDB"/>
          </w:tcPr>
          <w:p>
            <w:pPr>
              <w:spacing w:after="0"/>
              <w:rPr>
                <w:sz w:val="14"/>
                <w:szCs w:val="14"/>
                <w:color w:val="auto"/>
              </w:rPr>
            </w:pPr>
          </w:p>
        </w:tc>
        <w:tc>
          <w:tcPr>
            <w:tcW w:w="2200" w:type="dxa"/>
            <w:vAlign w:val="bottom"/>
            <w:tcBorders>
              <w:top w:val="single" w:sz="8" w:color="DBDBDB"/>
            </w:tcBorders>
            <w:shd w:val="clear" w:color="auto" w:fill="DBDBDB"/>
          </w:tcPr>
          <w:p>
            <w:pPr>
              <w:spacing w:after="0"/>
              <w:rPr>
                <w:sz w:val="14"/>
                <w:szCs w:val="14"/>
                <w:color w:val="auto"/>
              </w:rPr>
            </w:pPr>
          </w:p>
        </w:tc>
        <w:tc>
          <w:tcPr>
            <w:tcW w:w="1720" w:type="dxa"/>
            <w:vAlign w:val="bottom"/>
            <w:tcBorders>
              <w:top w:val="single" w:sz="8" w:color="DBDBDB"/>
              <w:right w:val="single" w:sz="8" w:color="auto"/>
            </w:tcBorders>
            <w:shd w:val="clear" w:color="auto" w:fill="DBDBDB"/>
          </w:tcPr>
          <w:p>
            <w:pPr>
              <w:spacing w:after="0"/>
              <w:rPr>
                <w:sz w:val="14"/>
                <w:szCs w:val="14"/>
                <w:color w:val="auto"/>
              </w:rPr>
            </w:pPr>
          </w:p>
        </w:tc>
        <w:tc>
          <w:tcPr>
            <w:tcW w:w="960" w:type="dxa"/>
            <w:vAlign w:val="bottom"/>
            <w:tcBorders>
              <w:top w:val="single" w:sz="8" w:color="DBDBDB"/>
              <w:right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7"/>
                <w:szCs w:val="17"/>
                <w:color w:val="auto"/>
              </w:rPr>
            </w:pPr>
          </w:p>
        </w:tc>
        <w:tc>
          <w:tcPr>
            <w:tcW w:w="3120" w:type="dxa"/>
            <w:vAlign w:val="bottom"/>
            <w:tcBorders>
              <w:top w:val="single" w:sz="8" w:color="0000FF"/>
              <w:bottom w:val="single" w:sz="8" w:color="auto"/>
            </w:tcBorders>
            <w:gridSpan w:val="20"/>
            <w:shd w:val="clear" w:color="auto" w:fill="DBDBDB"/>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Incentive Plan*</w:t>
              </w:r>
            </w:hyperlink>
          </w:p>
        </w:tc>
        <w:tc>
          <w:tcPr>
            <w:tcW w:w="260" w:type="dxa"/>
            <w:vAlign w:val="bottom"/>
            <w:tcBorders>
              <w:top w:val="single" w:sz="8" w:color="DBDBDB"/>
              <w:bottom w:val="single" w:sz="8" w:color="auto"/>
              <w:right w:val="single" w:sz="8" w:color="auto"/>
            </w:tcBorders>
            <w:gridSpan w:val="4"/>
            <w:shd w:val="clear" w:color="auto" w:fill="DBDBDB"/>
          </w:tcPr>
          <w:p>
            <w:pPr>
              <w:spacing w:after="0"/>
              <w:rPr>
                <w:sz w:val="17"/>
                <w:szCs w:val="17"/>
                <w:color w:val="auto"/>
              </w:rPr>
            </w:pPr>
          </w:p>
        </w:tc>
        <w:tc>
          <w:tcPr>
            <w:tcW w:w="820" w:type="dxa"/>
            <w:vAlign w:val="bottom"/>
            <w:tcBorders>
              <w:top w:val="single" w:sz="8" w:color="DBDBDB"/>
              <w:bottom w:val="single" w:sz="8" w:color="auto"/>
            </w:tcBorders>
            <w:shd w:val="clear" w:color="auto" w:fill="DBDBDB"/>
          </w:tcPr>
          <w:p>
            <w:pPr>
              <w:spacing w:after="0"/>
              <w:rPr>
                <w:sz w:val="17"/>
                <w:szCs w:val="17"/>
                <w:color w:val="auto"/>
              </w:rPr>
            </w:pPr>
          </w:p>
        </w:tc>
        <w:tc>
          <w:tcPr>
            <w:tcW w:w="1020" w:type="dxa"/>
            <w:vAlign w:val="bottom"/>
            <w:tcBorders>
              <w:top w:val="single" w:sz="8" w:color="DBDBDB"/>
              <w:bottom w:val="single" w:sz="8" w:color="auto"/>
            </w:tcBorders>
            <w:shd w:val="clear" w:color="auto" w:fill="DBDBDB"/>
          </w:tcPr>
          <w:p>
            <w:pPr>
              <w:spacing w:after="0"/>
              <w:rPr>
                <w:sz w:val="17"/>
                <w:szCs w:val="17"/>
                <w:color w:val="auto"/>
              </w:rPr>
            </w:pPr>
          </w:p>
        </w:tc>
        <w:tc>
          <w:tcPr>
            <w:tcW w:w="2200" w:type="dxa"/>
            <w:vAlign w:val="bottom"/>
            <w:tcBorders>
              <w:top w:val="single" w:sz="8" w:color="DBDBDB"/>
              <w:bottom w:val="single" w:sz="8" w:color="auto"/>
            </w:tcBorders>
            <w:shd w:val="clear" w:color="auto" w:fill="DBDBDB"/>
          </w:tcPr>
          <w:p>
            <w:pPr>
              <w:spacing w:after="0"/>
              <w:rPr>
                <w:sz w:val="17"/>
                <w:szCs w:val="17"/>
                <w:color w:val="auto"/>
              </w:rPr>
            </w:pPr>
          </w:p>
        </w:tc>
        <w:tc>
          <w:tcPr>
            <w:tcW w:w="17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10(g)</w:t>
            </w:r>
          </w:p>
        </w:tc>
        <w:tc>
          <w:tcPr>
            <w:tcW w:w="292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Form of Restricted Stock Unit Award</w:t>
              </w:r>
            </w:hyperlink>
          </w:p>
        </w:tc>
        <w:tc>
          <w:tcPr>
            <w:tcW w:w="460" w:type="dxa"/>
            <w:vAlign w:val="bottom"/>
            <w:tcBorders>
              <w:right w:val="single" w:sz="8" w:color="auto"/>
            </w:tcBorders>
            <w:gridSpan w:val="7"/>
          </w:tcPr>
          <w:p>
            <w:pPr>
              <w:spacing w:after="0"/>
              <w:rPr>
                <w:sz w:val="15"/>
                <w:szCs w:val="15"/>
                <w:color w:val="auto"/>
              </w:rPr>
            </w:pPr>
          </w:p>
        </w:tc>
        <w:tc>
          <w:tcPr>
            <w:tcW w:w="820" w:type="dxa"/>
            <w:vAlign w:val="bottom"/>
          </w:tcPr>
          <w:p>
            <w:pPr>
              <w:ind w:left="20"/>
              <w:spacing w:after="0" w:line="182" w:lineRule="exact"/>
              <w:rPr>
                <w:sz w:val="20"/>
                <w:szCs w:val="20"/>
                <w:color w:val="auto"/>
              </w:rPr>
            </w:pPr>
            <w:r>
              <w:rPr>
                <w:rFonts w:ascii="Arial" w:cs="Arial" w:eastAsia="Arial" w:hAnsi="Arial"/>
                <w:sz w:val="18"/>
                <w:szCs w:val="18"/>
                <w:color w:val="auto"/>
              </w:rPr>
              <w:t>10-K</w:t>
            </w:r>
          </w:p>
        </w:tc>
        <w:tc>
          <w:tcPr>
            <w:tcW w:w="102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82" w:lineRule="exact"/>
              <w:rPr>
                <w:sz w:val="20"/>
                <w:szCs w:val="20"/>
                <w:color w:val="auto"/>
              </w:rPr>
            </w:pPr>
            <w:r>
              <w:rPr>
                <w:rFonts w:ascii="Arial" w:cs="Arial" w:eastAsia="Arial" w:hAnsi="Arial"/>
                <w:sz w:val="18"/>
                <w:szCs w:val="18"/>
                <w:color w:val="auto"/>
              </w:rPr>
              <w:t>February 23, 2017</w:t>
            </w:r>
          </w:p>
        </w:tc>
        <w:tc>
          <w:tcPr>
            <w:tcW w:w="17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10(l)</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gridSpan w:val="24"/>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Agreement for Executive Officers under</w:t>
              </w:r>
            </w:hyperlink>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3180" w:type="dxa"/>
            <w:vAlign w:val="bottom"/>
            <w:tcBorders>
              <w:top w:val="single" w:sz="8" w:color="0000FF"/>
            </w:tcBorders>
            <w:gridSpan w:val="23"/>
          </w:tcPr>
          <w:p>
            <w:pPr>
              <w:spacing w:after="0" w:line="169"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the Texas Instruments 2009 Long-Term</w:t>
              </w:r>
            </w:hyperlink>
          </w:p>
        </w:tc>
        <w:tc>
          <w:tcPr>
            <w:tcW w:w="2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31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Incentive Plan*</w:t>
              </w:r>
            </w:hyperlink>
          </w:p>
        </w:tc>
        <w:tc>
          <w:tcPr>
            <w:tcW w:w="260" w:type="dxa"/>
            <w:vAlign w:val="bottom"/>
            <w:tcBorders>
              <w:right w:val="single" w:sz="8" w:color="auto"/>
            </w:tcBorders>
            <w:gridSpan w:val="4"/>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10(h)</w:t>
            </w:r>
          </w:p>
        </w:tc>
        <w:tc>
          <w:tcPr>
            <w:tcW w:w="33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Texas Instruments 2009 Long-Term</w:t>
              </w:r>
            </w:hyperlink>
          </w:p>
        </w:tc>
        <w:tc>
          <w:tcPr>
            <w:tcW w:w="82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DEF 14A</w:t>
            </w:r>
          </w:p>
        </w:tc>
        <w:tc>
          <w:tcPr>
            <w:tcW w:w="102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March 9, 2016</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Appendix B</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top w:val="single" w:sz="8" w:color="DBDBDB"/>
              <w:left w:val="single" w:sz="8" w:color="auto"/>
              <w:bottom w:val="single" w:sz="8" w:color="DBDBDB"/>
              <w:right w:val="single" w:sz="8" w:color="auto"/>
            </w:tcBorders>
            <w:shd w:val="clear" w:color="auto" w:fill="DBDBDB"/>
          </w:tcPr>
          <w:p>
            <w:pPr>
              <w:spacing w:after="0"/>
              <w:rPr>
                <w:sz w:val="13"/>
                <w:szCs w:val="13"/>
                <w:color w:val="auto"/>
              </w:rPr>
            </w:pPr>
          </w:p>
        </w:tc>
        <w:tc>
          <w:tcPr>
            <w:tcW w:w="2840" w:type="dxa"/>
            <w:vAlign w:val="bottom"/>
            <w:tcBorders>
              <w:top w:val="single" w:sz="8" w:color="0000FF"/>
              <w:bottom w:val="single" w:sz="8" w:color="0000FF"/>
            </w:tcBorders>
            <w:gridSpan w:val="14"/>
            <w:shd w:val="clear" w:color="auto" w:fill="DBDBDB"/>
          </w:tcPr>
          <w:p>
            <w:pPr>
              <w:spacing w:after="0" w:line="156" w:lineRule="exact"/>
              <w:rPr>
                <w:rFonts w:ascii="Arial" w:cs="Arial" w:eastAsia="Arial" w:hAnsi="Arial"/>
                <w:sz w:val="18"/>
                <w:szCs w:val="18"/>
                <w:color w:val="0000FF"/>
                <w:w w:val="97"/>
              </w:rPr>
            </w:pPr>
            <w:hyperlink r:id="rId105">
              <w:r>
                <w:rPr>
                  <w:rFonts w:ascii="Arial" w:cs="Arial" w:eastAsia="Arial" w:hAnsi="Arial"/>
                  <w:sz w:val="18"/>
                  <w:szCs w:val="18"/>
                  <w:color w:val="0000FF"/>
                  <w:w w:val="97"/>
                </w:rPr>
                <w:t>Incentive Plan as amended April 21,</w:t>
              </w:r>
            </w:hyperlink>
          </w:p>
        </w:tc>
        <w:tc>
          <w:tcPr>
            <w:tcW w:w="40" w:type="dxa"/>
            <w:vAlign w:val="bottom"/>
            <w:tcBorders>
              <w:top w:val="single" w:sz="8" w:color="DBDBDB"/>
              <w:bottom w:val="single" w:sz="8" w:color="0000FF"/>
            </w:tcBorders>
            <w:gridSpan w:val="2"/>
            <w:shd w:val="clear" w:color="auto" w:fill="DBDBDB"/>
          </w:tcPr>
          <w:p>
            <w:pPr>
              <w:spacing w:after="0"/>
              <w:rPr>
                <w:sz w:val="13"/>
                <w:szCs w:val="13"/>
                <w:color w:val="auto"/>
              </w:rPr>
            </w:pPr>
          </w:p>
        </w:tc>
        <w:tc>
          <w:tcPr>
            <w:tcW w:w="500" w:type="dxa"/>
            <w:vAlign w:val="bottom"/>
            <w:tcBorders>
              <w:top w:val="single" w:sz="8" w:color="DBDBDB"/>
              <w:bottom w:val="single" w:sz="8" w:color="DBDBDB"/>
              <w:right w:val="single" w:sz="8" w:color="auto"/>
            </w:tcBorders>
            <w:gridSpan w:val="8"/>
            <w:shd w:val="clear" w:color="auto" w:fill="DBDBDB"/>
          </w:tcPr>
          <w:p>
            <w:pPr>
              <w:spacing w:after="0"/>
              <w:rPr>
                <w:sz w:val="13"/>
                <w:szCs w:val="13"/>
                <w:color w:val="auto"/>
              </w:rPr>
            </w:pPr>
          </w:p>
        </w:tc>
        <w:tc>
          <w:tcPr>
            <w:tcW w:w="820" w:type="dxa"/>
            <w:vAlign w:val="bottom"/>
            <w:tcBorders>
              <w:top w:val="single" w:sz="8" w:color="DBDBDB"/>
              <w:bottom w:val="single" w:sz="8" w:color="DBDBDB"/>
            </w:tcBorders>
            <w:shd w:val="clear" w:color="auto" w:fill="DBDBDB"/>
          </w:tcPr>
          <w:p>
            <w:pPr>
              <w:spacing w:after="0"/>
              <w:rPr>
                <w:sz w:val="13"/>
                <w:szCs w:val="13"/>
                <w:color w:val="auto"/>
              </w:rPr>
            </w:pPr>
          </w:p>
        </w:tc>
        <w:tc>
          <w:tcPr>
            <w:tcW w:w="1020" w:type="dxa"/>
            <w:vAlign w:val="bottom"/>
            <w:tcBorders>
              <w:top w:val="single" w:sz="8" w:color="DBDBDB"/>
              <w:bottom w:val="single" w:sz="8" w:color="DBDBDB"/>
            </w:tcBorders>
            <w:shd w:val="clear" w:color="auto" w:fill="DBDBDB"/>
          </w:tcPr>
          <w:p>
            <w:pPr>
              <w:spacing w:after="0"/>
              <w:rPr>
                <w:sz w:val="13"/>
                <w:szCs w:val="13"/>
                <w:color w:val="auto"/>
              </w:rPr>
            </w:pPr>
          </w:p>
        </w:tc>
        <w:tc>
          <w:tcPr>
            <w:tcW w:w="2200" w:type="dxa"/>
            <w:vAlign w:val="bottom"/>
            <w:tcBorders>
              <w:top w:val="single" w:sz="8" w:color="DBDBDB"/>
              <w:bottom w:val="single" w:sz="8" w:color="DBDBDB"/>
            </w:tcBorders>
            <w:shd w:val="clear" w:color="auto" w:fill="DBDBDB"/>
          </w:tcPr>
          <w:p>
            <w:pPr>
              <w:spacing w:after="0"/>
              <w:rPr>
                <w:sz w:val="13"/>
                <w:szCs w:val="13"/>
                <w:color w:val="auto"/>
              </w:rPr>
            </w:pPr>
          </w:p>
        </w:tc>
        <w:tc>
          <w:tcPr>
            <w:tcW w:w="172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580" w:type="dxa"/>
            <w:vAlign w:val="bottom"/>
            <w:tcBorders>
              <w:bottom w:val="single" w:sz="8" w:color="auto"/>
            </w:tcBorders>
            <w:gridSpan w:val="2"/>
            <w:shd w:val="clear" w:color="auto" w:fill="DBDBDB"/>
          </w:tcPr>
          <w:p>
            <w:pPr>
              <w:spacing w:after="0" w:line="169" w:lineRule="exact"/>
              <w:rPr>
                <w:rFonts w:ascii="Arial" w:cs="Arial" w:eastAsia="Arial" w:hAnsi="Arial"/>
                <w:sz w:val="18"/>
                <w:szCs w:val="18"/>
                <w:color w:val="0000FF"/>
              </w:rPr>
            </w:pPr>
            <w:hyperlink r:id="rId105">
              <w:r>
                <w:rPr>
                  <w:rFonts w:ascii="Arial" w:cs="Arial" w:eastAsia="Arial" w:hAnsi="Arial"/>
                  <w:sz w:val="18"/>
                  <w:szCs w:val="18"/>
                  <w:color w:val="0000FF"/>
                </w:rPr>
                <w:t>2016*</w:t>
              </w:r>
            </w:hyperlink>
          </w:p>
        </w:tc>
        <w:tc>
          <w:tcPr>
            <w:tcW w:w="120" w:type="dxa"/>
            <w:vAlign w:val="bottom"/>
            <w:tcBorders>
              <w:bottom w:val="single" w:sz="8" w:color="auto"/>
            </w:tcBorders>
            <w:shd w:val="clear" w:color="auto" w:fill="DBDBDB"/>
          </w:tcPr>
          <w:p>
            <w:pPr>
              <w:spacing w:after="0"/>
              <w:rPr>
                <w:sz w:val="18"/>
                <w:szCs w:val="18"/>
                <w:color w:val="auto"/>
              </w:rPr>
            </w:pPr>
          </w:p>
        </w:tc>
        <w:tc>
          <w:tcPr>
            <w:tcW w:w="60" w:type="dxa"/>
            <w:vAlign w:val="bottom"/>
            <w:tcBorders>
              <w:bottom w:val="single" w:sz="8" w:color="auto"/>
            </w:tcBorders>
            <w:shd w:val="clear" w:color="auto" w:fill="DBDBDB"/>
          </w:tcPr>
          <w:p>
            <w:pPr>
              <w:spacing w:after="0"/>
              <w:rPr>
                <w:sz w:val="18"/>
                <w:szCs w:val="18"/>
                <w:color w:val="auto"/>
              </w:rPr>
            </w:pPr>
          </w:p>
        </w:tc>
        <w:tc>
          <w:tcPr>
            <w:tcW w:w="60" w:type="dxa"/>
            <w:vAlign w:val="bottom"/>
            <w:tcBorders>
              <w:bottom w:val="single" w:sz="8" w:color="auto"/>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6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40" w:type="dxa"/>
            <w:vAlign w:val="bottom"/>
            <w:tcBorders>
              <w:bottom w:val="single" w:sz="8" w:color="auto"/>
            </w:tcBorders>
            <w:shd w:val="clear" w:color="auto" w:fill="DBDBDB"/>
          </w:tcPr>
          <w:p>
            <w:pPr>
              <w:spacing w:after="0"/>
              <w:rPr>
                <w:sz w:val="18"/>
                <w:szCs w:val="18"/>
                <w:color w:val="auto"/>
              </w:rPr>
            </w:pPr>
          </w:p>
        </w:tc>
        <w:tc>
          <w:tcPr>
            <w:tcW w:w="4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4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0" w:type="dxa"/>
            <w:vAlign w:val="bottom"/>
            <w:tcBorders>
              <w:bottom w:val="single" w:sz="8" w:color="auto"/>
              <w:right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spacing w:after="0"/>
              <w:rPr>
                <w:sz w:val="18"/>
                <w:szCs w:val="18"/>
                <w:color w:val="auto"/>
              </w:rPr>
            </w:pPr>
          </w:p>
        </w:tc>
        <w:tc>
          <w:tcPr>
            <w:tcW w:w="22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right w:val="single" w:sz="8" w:color="auto"/>
            </w:tcBorders>
            <w:shd w:val="clear" w:color="auto" w:fill="DBDBDB"/>
          </w:tcPr>
          <w:p>
            <w:pPr>
              <w:spacing w:after="0"/>
              <w:rPr>
                <w:sz w:val="18"/>
                <w:szCs w:val="18"/>
                <w:color w:val="auto"/>
              </w:rPr>
            </w:pPr>
          </w:p>
        </w:tc>
        <w:tc>
          <w:tcPr>
            <w:tcW w:w="960" w:type="dxa"/>
            <w:vAlign w:val="bottom"/>
            <w:tcBorders>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62" w:name="page63"/>
    <w:bookmarkEnd w:id="62"/>
    <w:tbl>
      <w:tblPr>
        <w:tblLayout w:type="fixed"/>
        <w:tblInd w:w="10" w:type="dxa"/>
        <w:tblCellMar>
          <w:top w:w="0" w:type="dxa"/>
          <w:left w:w="0" w:type="dxa"/>
          <w:bottom w:w="0" w:type="dxa"/>
          <w:right w:w="0" w:type="dxa"/>
        </w:tblCellMar>
      </w:tblPr>
      <w:tr>
        <w:trPr>
          <w:trHeight w:val="254"/>
        </w:trPr>
        <w:tc>
          <w:tcPr>
            <w:tcW w:w="1140" w:type="dxa"/>
            <w:vAlign w:val="bottom"/>
            <w:tcBorders>
              <w:top w:val="single" w:sz="8" w:color="auto"/>
              <w:left w:val="single" w:sz="8" w:color="auto"/>
              <w:right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right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spacing w:after="0"/>
              <w:rPr>
                <w:sz w:val="22"/>
                <w:szCs w:val="22"/>
                <w:color w:val="auto"/>
              </w:rPr>
            </w:pPr>
          </w:p>
        </w:tc>
        <w:tc>
          <w:tcPr>
            <w:tcW w:w="2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1720" w:type="dxa"/>
            <w:vAlign w:val="bottom"/>
            <w:tcBorders>
              <w:top w:val="single" w:sz="8" w:color="auto"/>
              <w:bottom w:val="single" w:sz="8" w:color="auto"/>
              <w:right w:val="single" w:sz="8" w:color="auto"/>
            </w:tcBorders>
          </w:tcPr>
          <w:p>
            <w:pPr>
              <w:spacing w:after="0"/>
              <w:rPr>
                <w:sz w:val="22"/>
                <w:szCs w:val="22"/>
                <w:color w:val="auto"/>
              </w:rPr>
            </w:pPr>
          </w:p>
        </w:tc>
        <w:tc>
          <w:tcPr>
            <w:tcW w:w="9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Designation of</w:t>
            </w: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140" w:type="dxa"/>
            <w:vAlign w:val="bottom"/>
            <w:tcBorders>
              <w:left w:val="single" w:sz="8" w:color="auto"/>
              <w:right w:val="single" w:sz="8" w:color="auto"/>
            </w:tcBorders>
            <w:vMerge w:val="continue"/>
          </w:tcPr>
          <w:p>
            <w:pPr>
              <w:spacing w:after="0"/>
              <w:rPr>
                <w:sz w:val="12"/>
                <w:szCs w:val="12"/>
                <w:color w:val="auto"/>
              </w:rPr>
            </w:pPr>
          </w:p>
        </w:tc>
        <w:tc>
          <w:tcPr>
            <w:tcW w:w="3380" w:type="dxa"/>
            <w:vAlign w:val="bottom"/>
            <w:tcBorders>
              <w:right w:val="single" w:sz="8" w:color="auto"/>
            </w:tcBorders>
            <w:gridSpan w:val="21"/>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22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 of Filing</w:t>
            </w:r>
          </w:p>
        </w:tc>
        <w:tc>
          <w:tcPr>
            <w:tcW w:w="172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Exhibit Number</w:t>
            </w:r>
          </w:p>
        </w:tc>
        <w:tc>
          <w:tcPr>
            <w:tcW w:w="9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Exhibit</w:t>
            </w:r>
          </w:p>
        </w:tc>
        <w:tc>
          <w:tcPr>
            <w:tcW w:w="3380" w:type="dxa"/>
            <w:vAlign w:val="bottom"/>
            <w:tcBorders>
              <w:bottom w:val="single" w:sz="8" w:color="auto"/>
              <w:right w:val="single" w:sz="8" w:color="auto"/>
            </w:tcBorders>
            <w:gridSpan w:val="21"/>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10(i)</w:t>
            </w:r>
          </w:p>
        </w:tc>
        <w:tc>
          <w:tcPr>
            <w:tcW w:w="3380" w:type="dxa"/>
            <w:vAlign w:val="bottom"/>
            <w:tcBorders>
              <w:right w:val="single" w:sz="8" w:color="auto"/>
            </w:tcBorders>
            <w:gridSpan w:val="21"/>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Texas Instruments 2009 Director</w:t>
              </w:r>
            </w:hyperlink>
          </w:p>
        </w:tc>
        <w:tc>
          <w:tcPr>
            <w:tcW w:w="640" w:type="dxa"/>
            <w:vAlign w:val="bottom"/>
          </w:tcPr>
          <w:p>
            <w:pPr>
              <w:ind w:left="20"/>
              <w:spacing w:after="0" w:line="169" w:lineRule="exact"/>
              <w:rPr>
                <w:sz w:val="20"/>
                <w:szCs w:val="20"/>
                <w:color w:val="auto"/>
              </w:rPr>
            </w:pPr>
            <w:r>
              <w:rPr>
                <w:rFonts w:ascii="Arial" w:cs="Arial" w:eastAsia="Arial" w:hAnsi="Arial"/>
                <w:sz w:val="18"/>
                <w:szCs w:val="18"/>
                <w:color w:val="auto"/>
              </w:rPr>
              <w:t>10-K</w:t>
            </w:r>
          </w:p>
        </w:tc>
        <w:tc>
          <w:tcPr>
            <w:tcW w:w="1200" w:type="dxa"/>
            <w:vAlign w:val="bottom"/>
          </w:tcPr>
          <w:p>
            <w:pPr>
              <w:ind w:left="240"/>
              <w:spacing w:after="0" w:line="169" w:lineRule="exact"/>
              <w:rPr>
                <w:sz w:val="20"/>
                <w:szCs w:val="20"/>
                <w:color w:val="auto"/>
              </w:rPr>
            </w:pPr>
            <w:r>
              <w:rPr>
                <w:rFonts w:ascii="Arial" w:cs="Arial" w:eastAsia="Arial" w:hAnsi="Arial"/>
                <w:sz w:val="18"/>
                <w:szCs w:val="18"/>
                <w:color w:val="auto"/>
              </w:rPr>
              <w:t>001-3761</w:t>
            </w:r>
          </w:p>
        </w:tc>
        <w:tc>
          <w:tcPr>
            <w:tcW w:w="2200" w:type="dxa"/>
            <w:vAlign w:val="bottom"/>
          </w:tcPr>
          <w:p>
            <w:pPr>
              <w:ind w:left="300"/>
              <w:spacing w:after="0" w:line="169" w:lineRule="exact"/>
              <w:rPr>
                <w:sz w:val="20"/>
                <w:szCs w:val="20"/>
                <w:color w:val="auto"/>
              </w:rPr>
            </w:pPr>
            <w:r>
              <w:rPr>
                <w:rFonts w:ascii="Arial" w:cs="Arial" w:eastAsia="Arial" w:hAnsi="Arial"/>
                <w:sz w:val="18"/>
                <w:szCs w:val="18"/>
                <w:color w:val="auto"/>
              </w:rPr>
              <w:t>February 23, 2017</w:t>
            </w:r>
          </w:p>
        </w:tc>
        <w:tc>
          <w:tcPr>
            <w:tcW w:w="172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8"/>
                <w:szCs w:val="18"/>
                <w:color w:val="auto"/>
              </w:rPr>
              <w:t>10(n)</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Borders>
              <w:left w:val="single" w:sz="8" w:color="auto"/>
              <w:right w:val="single" w:sz="8" w:color="auto"/>
            </w:tcBorders>
          </w:tcPr>
          <w:p>
            <w:pPr>
              <w:spacing w:after="0"/>
              <w:rPr>
                <w:sz w:val="14"/>
                <w:szCs w:val="14"/>
                <w:color w:val="auto"/>
              </w:rPr>
            </w:pPr>
          </w:p>
        </w:tc>
        <w:tc>
          <w:tcPr>
            <w:tcW w:w="2600" w:type="dxa"/>
            <w:vAlign w:val="bottom"/>
            <w:tcBorders>
              <w:top w:val="single" w:sz="8" w:color="0000FF"/>
            </w:tcBorders>
            <w:gridSpan w:val="10"/>
          </w:tcPr>
          <w:p>
            <w:pPr>
              <w:spacing w:after="0" w:line="162" w:lineRule="exact"/>
              <w:rPr>
                <w:rFonts w:ascii="Arial" w:cs="Arial" w:eastAsia="Arial" w:hAnsi="Arial"/>
                <w:sz w:val="18"/>
                <w:szCs w:val="18"/>
                <w:color w:val="0000FF"/>
                <w:w w:val="98"/>
              </w:rPr>
            </w:pPr>
            <w:hyperlink r:id="rId107">
              <w:r>
                <w:rPr>
                  <w:rFonts w:ascii="Arial" w:cs="Arial" w:eastAsia="Arial" w:hAnsi="Arial"/>
                  <w:sz w:val="18"/>
                  <w:szCs w:val="18"/>
                  <w:color w:val="0000FF"/>
                  <w:w w:val="98"/>
                </w:rPr>
                <w:t>Compensation Plan as 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right w:val="single" w:sz="8" w:color="auto"/>
            </w:tcBorders>
            <w:gridSpan w:val="9"/>
          </w:tcPr>
          <w:p>
            <w:pPr>
              <w:ind w:left="20"/>
              <w:spacing w:after="0" w:line="162" w:lineRule="exact"/>
              <w:rPr>
                <w:rFonts w:ascii="Arial" w:cs="Arial" w:eastAsia="Arial" w:hAnsi="Arial"/>
                <w:sz w:val="18"/>
                <w:szCs w:val="18"/>
                <w:color w:val="0000FF"/>
              </w:rPr>
            </w:pPr>
            <w:hyperlink r:id="rId107">
              <w:r>
                <w:rPr>
                  <w:rFonts w:ascii="Arial" w:cs="Arial" w:eastAsia="Arial" w:hAnsi="Arial"/>
                  <w:sz w:val="18"/>
                  <w:szCs w:val="18"/>
                  <w:color w:val="0000FF"/>
                </w:rPr>
                <w:t>January</w:t>
              </w:r>
            </w:hyperlink>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1300" w:type="dxa"/>
            <w:vAlign w:val="bottom"/>
            <w:tcBorders>
              <w:top w:val="single" w:sz="8" w:color="0000FF"/>
            </w:tcBorders>
            <w:gridSpan w:val="2"/>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19, 2012</w:t>
              </w:r>
            </w:hyperlink>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10(j)</w:t>
            </w:r>
          </w:p>
        </w:tc>
        <w:tc>
          <w:tcPr>
            <w:tcW w:w="3380" w:type="dxa"/>
            <w:vAlign w:val="bottom"/>
            <w:tcBorders>
              <w:right w:val="single" w:sz="8" w:color="auto"/>
            </w:tcBorders>
            <w:gridSpan w:val="21"/>
            <w:shd w:val="clear" w:color="auto" w:fill="DBDBDB"/>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Texas Instruments 2018 Director</w:t>
              </w:r>
            </w:hyperlink>
          </w:p>
        </w:tc>
        <w:tc>
          <w:tcPr>
            <w:tcW w:w="64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10-K</w:t>
            </w:r>
          </w:p>
        </w:tc>
        <w:tc>
          <w:tcPr>
            <w:tcW w:w="1200" w:type="dxa"/>
            <w:vAlign w:val="bottom"/>
            <w:shd w:val="clear" w:color="auto" w:fill="DBDBDB"/>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shd w:val="clear" w:color="auto" w:fill="DBDBDB"/>
          </w:tcPr>
          <w:p>
            <w:pPr>
              <w:ind w:left="300"/>
              <w:spacing w:after="0" w:line="182" w:lineRule="exact"/>
              <w:rPr>
                <w:sz w:val="20"/>
                <w:szCs w:val="20"/>
                <w:color w:val="auto"/>
              </w:rPr>
            </w:pPr>
            <w:r>
              <w:rPr>
                <w:rFonts w:ascii="Arial" w:cs="Arial" w:eastAsia="Arial" w:hAnsi="Arial"/>
                <w:sz w:val="18"/>
                <w:szCs w:val="18"/>
                <w:color w:val="auto"/>
              </w:rPr>
              <w:t>February 20, 2020</w:t>
            </w:r>
          </w:p>
        </w:tc>
        <w:tc>
          <w:tcPr>
            <w:tcW w:w="17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10(k)</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DBDBDB"/>
              <w:left w:val="single" w:sz="8" w:color="auto"/>
              <w:bottom w:val="single" w:sz="8" w:color="DBDBDB"/>
              <w:right w:val="single" w:sz="8" w:color="auto"/>
            </w:tcBorders>
            <w:shd w:val="clear" w:color="auto" w:fill="DBDBDB"/>
          </w:tcPr>
          <w:p>
            <w:pPr>
              <w:spacing w:after="0"/>
              <w:rPr>
                <w:sz w:val="13"/>
                <w:szCs w:val="13"/>
                <w:color w:val="auto"/>
              </w:rPr>
            </w:pPr>
          </w:p>
        </w:tc>
        <w:tc>
          <w:tcPr>
            <w:tcW w:w="2600" w:type="dxa"/>
            <w:vAlign w:val="bottom"/>
            <w:tcBorders>
              <w:top w:val="single" w:sz="8" w:color="0000FF"/>
              <w:bottom w:val="single" w:sz="8" w:color="0000FF"/>
            </w:tcBorders>
            <w:gridSpan w:val="10"/>
            <w:shd w:val="clear" w:color="auto" w:fill="DBDBDB"/>
          </w:tcPr>
          <w:p>
            <w:pPr>
              <w:spacing w:after="0" w:line="156" w:lineRule="exact"/>
              <w:rPr>
                <w:rFonts w:ascii="Arial" w:cs="Arial" w:eastAsia="Arial" w:hAnsi="Arial"/>
                <w:sz w:val="18"/>
                <w:szCs w:val="18"/>
                <w:color w:val="0000FF"/>
                <w:w w:val="98"/>
              </w:rPr>
            </w:pPr>
            <w:hyperlink r:id="rId108">
              <w:r>
                <w:rPr>
                  <w:rFonts w:ascii="Arial" w:cs="Arial" w:eastAsia="Arial" w:hAnsi="Arial"/>
                  <w:sz w:val="18"/>
                  <w:szCs w:val="18"/>
                  <w:color w:val="0000FF"/>
                  <w:w w:val="98"/>
                </w:rPr>
                <w:t>Compensation Plan as amended</w:t>
              </w:r>
            </w:hyperlink>
          </w:p>
        </w:tc>
        <w:tc>
          <w:tcPr>
            <w:tcW w:w="20" w:type="dxa"/>
            <w:vAlign w:val="bottom"/>
            <w:tcBorders>
              <w:top w:val="single" w:sz="8" w:color="DBDBDB"/>
              <w:bottom w:val="single" w:sz="8" w:color="0000FF"/>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80" w:type="dxa"/>
            <w:vAlign w:val="bottom"/>
            <w:tcBorders>
              <w:top w:val="single" w:sz="8" w:color="DBDBDB"/>
              <w:bottom w:val="single" w:sz="8" w:color="DBDBDB"/>
            </w:tcBorders>
            <w:shd w:val="clear" w:color="auto" w:fill="DBDBDB"/>
          </w:tcPr>
          <w:p>
            <w:pPr>
              <w:spacing w:after="0"/>
              <w:rPr>
                <w:sz w:val="13"/>
                <w:szCs w:val="13"/>
                <w:color w:val="auto"/>
              </w:rPr>
            </w:pPr>
          </w:p>
        </w:tc>
        <w:tc>
          <w:tcPr>
            <w:tcW w:w="12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20" w:type="dxa"/>
            <w:vAlign w:val="bottom"/>
            <w:tcBorders>
              <w:top w:val="single" w:sz="8" w:color="DBDBDB"/>
              <w:bottom w:val="single" w:sz="8" w:color="DBDBDB"/>
            </w:tcBorders>
            <w:shd w:val="clear" w:color="auto" w:fill="DBDBDB"/>
          </w:tcPr>
          <w:p>
            <w:pPr>
              <w:spacing w:after="0"/>
              <w:rPr>
                <w:sz w:val="13"/>
                <w:szCs w:val="13"/>
                <w:color w:val="auto"/>
              </w:rPr>
            </w:pPr>
          </w:p>
        </w:tc>
        <w:tc>
          <w:tcPr>
            <w:tcW w:w="40" w:type="dxa"/>
            <w:vAlign w:val="bottom"/>
            <w:tcBorders>
              <w:top w:val="single" w:sz="8" w:color="DBDBDB"/>
              <w:bottom w:val="single" w:sz="8" w:color="DBDBDB"/>
            </w:tcBorders>
            <w:shd w:val="clear" w:color="auto" w:fill="DBDBDB"/>
          </w:tcPr>
          <w:p>
            <w:pPr>
              <w:spacing w:after="0"/>
              <w:rPr>
                <w:sz w:val="13"/>
                <w:szCs w:val="13"/>
                <w:color w:val="auto"/>
              </w:rPr>
            </w:pPr>
          </w:p>
        </w:tc>
        <w:tc>
          <w:tcPr>
            <w:tcW w:w="240" w:type="dxa"/>
            <w:vAlign w:val="bottom"/>
            <w:tcBorders>
              <w:top w:val="single" w:sz="8" w:color="DBDBDB"/>
              <w:bottom w:val="single" w:sz="8" w:color="DBDBDB"/>
            </w:tcBorders>
            <w:shd w:val="clear" w:color="auto" w:fill="DBDBDB"/>
          </w:tcPr>
          <w:p>
            <w:pPr>
              <w:spacing w:after="0"/>
              <w:rPr>
                <w:sz w:val="13"/>
                <w:szCs w:val="13"/>
                <w:color w:val="auto"/>
              </w:rPr>
            </w:pPr>
          </w:p>
        </w:tc>
        <w:tc>
          <w:tcPr>
            <w:tcW w:w="40" w:type="dxa"/>
            <w:vAlign w:val="bottom"/>
            <w:tcBorders>
              <w:top w:val="single" w:sz="8" w:color="DBDBDB"/>
              <w:bottom w:val="single" w:sz="8" w:color="DBDBDB"/>
            </w:tcBorders>
            <w:shd w:val="clear" w:color="auto" w:fill="DBDBDB"/>
          </w:tcPr>
          <w:p>
            <w:pPr>
              <w:spacing w:after="0"/>
              <w:rPr>
                <w:sz w:val="13"/>
                <w:szCs w:val="13"/>
                <w:color w:val="auto"/>
              </w:rPr>
            </w:pPr>
          </w:p>
        </w:tc>
        <w:tc>
          <w:tcPr>
            <w:tcW w:w="180" w:type="dxa"/>
            <w:vAlign w:val="bottom"/>
            <w:tcBorders>
              <w:top w:val="single" w:sz="8" w:color="DBDBDB"/>
              <w:bottom w:val="single" w:sz="8" w:color="DBDBDB"/>
              <w:right w:val="single" w:sz="8" w:color="auto"/>
            </w:tcBorders>
            <w:gridSpan w:val="2"/>
            <w:shd w:val="clear" w:color="auto" w:fill="DBDBDB"/>
          </w:tcPr>
          <w:p>
            <w:pPr>
              <w:spacing w:after="0"/>
              <w:rPr>
                <w:sz w:val="13"/>
                <w:szCs w:val="13"/>
                <w:color w:val="auto"/>
              </w:rPr>
            </w:pPr>
          </w:p>
        </w:tc>
        <w:tc>
          <w:tcPr>
            <w:tcW w:w="640" w:type="dxa"/>
            <w:vAlign w:val="bottom"/>
            <w:tcBorders>
              <w:top w:val="single" w:sz="8" w:color="DBDBDB"/>
              <w:bottom w:val="single" w:sz="8" w:color="DBDBDB"/>
            </w:tcBorders>
            <w:shd w:val="clear" w:color="auto" w:fill="DBDBDB"/>
          </w:tcPr>
          <w:p>
            <w:pPr>
              <w:spacing w:after="0"/>
              <w:rPr>
                <w:sz w:val="13"/>
                <w:szCs w:val="13"/>
                <w:color w:val="auto"/>
              </w:rPr>
            </w:pPr>
          </w:p>
        </w:tc>
        <w:tc>
          <w:tcPr>
            <w:tcW w:w="1200" w:type="dxa"/>
            <w:vAlign w:val="bottom"/>
            <w:tcBorders>
              <w:top w:val="single" w:sz="8" w:color="DBDBDB"/>
              <w:bottom w:val="single" w:sz="8" w:color="DBDBDB"/>
            </w:tcBorders>
            <w:shd w:val="clear" w:color="auto" w:fill="DBDBDB"/>
          </w:tcPr>
          <w:p>
            <w:pPr>
              <w:spacing w:after="0"/>
              <w:rPr>
                <w:sz w:val="13"/>
                <w:szCs w:val="13"/>
                <w:color w:val="auto"/>
              </w:rPr>
            </w:pPr>
          </w:p>
        </w:tc>
        <w:tc>
          <w:tcPr>
            <w:tcW w:w="2200" w:type="dxa"/>
            <w:vAlign w:val="bottom"/>
            <w:tcBorders>
              <w:top w:val="single" w:sz="8" w:color="DBDBDB"/>
              <w:bottom w:val="single" w:sz="8" w:color="DBDBDB"/>
            </w:tcBorders>
            <w:shd w:val="clear" w:color="auto" w:fill="DBDBDB"/>
          </w:tcPr>
          <w:p>
            <w:pPr>
              <w:spacing w:after="0"/>
              <w:rPr>
                <w:sz w:val="13"/>
                <w:szCs w:val="13"/>
                <w:color w:val="auto"/>
              </w:rPr>
            </w:pPr>
          </w:p>
        </w:tc>
        <w:tc>
          <w:tcPr>
            <w:tcW w:w="172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bottom w:val="single" w:sz="8" w:color="DBDBDB"/>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2620" w:type="dxa"/>
            <w:vAlign w:val="bottom"/>
            <w:tcBorders>
              <w:bottom w:val="single" w:sz="8" w:color="auto"/>
            </w:tcBorders>
            <w:gridSpan w:val="11"/>
            <w:shd w:val="clear" w:color="auto" w:fill="DBDBDB"/>
          </w:tcPr>
          <w:p>
            <w:pPr>
              <w:spacing w:after="0" w:line="169" w:lineRule="exact"/>
              <w:rPr>
                <w:rFonts w:ascii="Arial" w:cs="Arial" w:eastAsia="Arial" w:hAnsi="Arial"/>
                <w:sz w:val="18"/>
                <w:szCs w:val="18"/>
                <w:color w:val="0000FF"/>
              </w:rPr>
            </w:pPr>
            <w:hyperlink r:id="rId108">
              <w:r>
                <w:rPr>
                  <w:rFonts w:ascii="Arial" w:cs="Arial" w:eastAsia="Arial" w:hAnsi="Arial"/>
                  <w:sz w:val="18"/>
                  <w:szCs w:val="18"/>
                  <w:color w:val="0000FF"/>
                </w:rPr>
                <w:t>December 5, 2019</w:t>
              </w:r>
            </w:hyperlink>
          </w:p>
        </w:tc>
        <w:tc>
          <w:tcPr>
            <w:tcW w:w="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20" w:type="dxa"/>
            <w:vAlign w:val="bottom"/>
            <w:tcBorders>
              <w:bottom w:val="single" w:sz="8" w:color="auto"/>
            </w:tcBorders>
            <w:shd w:val="clear" w:color="auto" w:fill="DBDBDB"/>
          </w:tcPr>
          <w:p>
            <w:pPr>
              <w:spacing w:after="0"/>
              <w:rPr>
                <w:sz w:val="18"/>
                <w:szCs w:val="18"/>
                <w:color w:val="auto"/>
              </w:rPr>
            </w:pPr>
          </w:p>
        </w:tc>
        <w:tc>
          <w:tcPr>
            <w:tcW w:w="40" w:type="dxa"/>
            <w:vAlign w:val="bottom"/>
            <w:tcBorders>
              <w:bottom w:val="single" w:sz="8" w:color="auto"/>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40" w:type="dxa"/>
            <w:vAlign w:val="bottom"/>
            <w:tcBorders>
              <w:bottom w:val="single" w:sz="8" w:color="auto"/>
            </w:tcBorders>
            <w:shd w:val="clear" w:color="auto" w:fill="DBDBDB"/>
          </w:tcPr>
          <w:p>
            <w:pPr>
              <w:spacing w:after="0"/>
              <w:rPr>
                <w:sz w:val="18"/>
                <w:szCs w:val="18"/>
                <w:color w:val="auto"/>
              </w:rPr>
            </w:pPr>
          </w:p>
        </w:tc>
        <w:tc>
          <w:tcPr>
            <w:tcW w:w="180" w:type="dxa"/>
            <w:vAlign w:val="bottom"/>
            <w:tcBorders>
              <w:bottom w:val="single" w:sz="8" w:color="auto"/>
              <w:right w:val="single" w:sz="8" w:color="auto"/>
            </w:tcBorders>
            <w:gridSpan w:val="2"/>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spacing w:after="0"/>
              <w:rPr>
                <w:sz w:val="18"/>
                <w:szCs w:val="18"/>
                <w:color w:val="auto"/>
              </w:rPr>
            </w:pPr>
          </w:p>
        </w:tc>
        <w:tc>
          <w:tcPr>
            <w:tcW w:w="22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right w:val="single" w:sz="8" w:color="auto"/>
            </w:tcBorders>
            <w:shd w:val="clear" w:color="auto" w:fill="DBDBDB"/>
          </w:tcPr>
          <w:p>
            <w:pPr>
              <w:spacing w:after="0"/>
              <w:rPr>
                <w:sz w:val="18"/>
                <w:szCs w:val="18"/>
                <w:color w:val="auto"/>
              </w:rPr>
            </w:pPr>
          </w:p>
        </w:tc>
        <w:tc>
          <w:tcPr>
            <w:tcW w:w="960" w:type="dxa"/>
            <w:vAlign w:val="bottom"/>
            <w:tcBorders>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10(k)</w:t>
            </w:r>
          </w:p>
        </w:tc>
        <w:tc>
          <w:tcPr>
            <w:tcW w:w="2860" w:type="dxa"/>
            <w:vAlign w:val="bottom"/>
            <w:tcBorders>
              <w:bottom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99"/>
              </w:rPr>
              <w:t>Form of Non-Qualified Stock Option</w:t>
            </w:r>
          </w:p>
        </w:tc>
        <w:tc>
          <w:tcPr>
            <w:tcW w:w="520" w:type="dxa"/>
            <w:vAlign w:val="bottom"/>
            <w:tcBorders>
              <w:right w:val="single" w:sz="8" w:color="auto"/>
            </w:tcBorders>
            <w:gridSpan w:val="6"/>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gridSpan w:val="21"/>
          </w:tcPr>
          <w:p>
            <w:pPr>
              <w:spacing w:after="0" w:line="156" w:lineRule="exact"/>
              <w:rPr>
                <w:sz w:val="20"/>
                <w:szCs w:val="20"/>
                <w:color w:val="auto"/>
              </w:rPr>
            </w:pPr>
            <w:r>
              <w:rPr>
                <w:rFonts w:ascii="Arial" w:cs="Arial" w:eastAsia="Arial" w:hAnsi="Arial"/>
                <w:sz w:val="18"/>
                <w:szCs w:val="18"/>
                <w:color w:val="0000FF"/>
              </w:rPr>
              <w:t>Award Agreement for Executive Officers</w:t>
            </w: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spacing w:after="0"/>
              <w:rPr>
                <w:sz w:val="14"/>
                <w:szCs w:val="14"/>
                <w:color w:val="auto"/>
              </w:rPr>
            </w:pPr>
          </w:p>
        </w:tc>
        <w:tc>
          <w:tcPr>
            <w:tcW w:w="320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effective as of January 18, 2024*</w:t>
            </w:r>
          </w:p>
        </w:tc>
        <w:tc>
          <w:tcPr>
            <w:tcW w:w="180" w:type="dxa"/>
            <w:vAlign w:val="bottom"/>
            <w:tcBorders>
              <w:right w:val="single" w:sz="8" w:color="auto"/>
            </w:tcBorders>
            <w:gridSpan w:val="2"/>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10(l)</w:t>
            </w:r>
          </w:p>
        </w:tc>
        <w:tc>
          <w:tcPr>
            <w:tcW w:w="3380" w:type="dxa"/>
            <w:vAlign w:val="bottom"/>
            <w:tcBorders>
              <w:right w:val="single" w:sz="8" w:color="auto"/>
            </w:tcBorders>
            <w:gridSpan w:val="21"/>
            <w:shd w:val="clear" w:color="auto" w:fill="DBDBDB"/>
          </w:tcPr>
          <w:p>
            <w:pPr>
              <w:spacing w:after="0" w:line="182" w:lineRule="exact"/>
              <w:rPr>
                <w:sz w:val="20"/>
                <w:szCs w:val="20"/>
                <w:color w:val="auto"/>
              </w:rPr>
            </w:pPr>
            <w:r>
              <w:rPr>
                <w:rFonts w:ascii="Arial" w:cs="Arial" w:eastAsia="Arial" w:hAnsi="Arial"/>
                <w:sz w:val="18"/>
                <w:szCs w:val="18"/>
                <w:color w:val="0000FF"/>
              </w:rPr>
              <w:t>Form of Restricted Stock Unit Award</w:t>
            </w:r>
          </w:p>
        </w:tc>
        <w:tc>
          <w:tcPr>
            <w:tcW w:w="64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2200" w:type="dxa"/>
            <w:vAlign w:val="bottom"/>
            <w:shd w:val="clear" w:color="auto" w:fill="DBDBDB"/>
          </w:tcPr>
          <w:p>
            <w:pPr>
              <w:spacing w:after="0"/>
              <w:rPr>
                <w:sz w:val="15"/>
                <w:szCs w:val="15"/>
                <w:color w:val="auto"/>
              </w:rPr>
            </w:pPr>
          </w:p>
        </w:tc>
        <w:tc>
          <w:tcPr>
            <w:tcW w:w="1720" w:type="dxa"/>
            <w:vAlign w:val="bottom"/>
            <w:tcBorders>
              <w:right w:val="single" w:sz="8" w:color="auto"/>
            </w:tcBorders>
            <w:shd w:val="clear" w:color="auto" w:fill="DBDBDB"/>
          </w:tcPr>
          <w:p>
            <w:pPr>
              <w:spacing w:after="0"/>
              <w:rPr>
                <w:sz w:val="15"/>
                <w:szCs w:val="15"/>
                <w:color w:val="auto"/>
              </w:rPr>
            </w:pPr>
          </w:p>
        </w:tc>
        <w:tc>
          <w:tcPr>
            <w:tcW w:w="96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40" w:type="dxa"/>
            <w:vAlign w:val="bottom"/>
            <w:tcBorders>
              <w:top w:val="single" w:sz="8" w:color="DBDBDB"/>
              <w:left w:val="single" w:sz="8" w:color="auto"/>
              <w:right w:val="single" w:sz="8" w:color="auto"/>
            </w:tcBorders>
            <w:shd w:val="clear" w:color="auto" w:fill="DBDBDB"/>
          </w:tcPr>
          <w:p>
            <w:pPr>
              <w:spacing w:after="0"/>
              <w:rPr>
                <w:sz w:val="13"/>
                <w:szCs w:val="13"/>
                <w:color w:val="auto"/>
              </w:rPr>
            </w:pPr>
          </w:p>
        </w:tc>
        <w:tc>
          <w:tcPr>
            <w:tcW w:w="2920" w:type="dxa"/>
            <w:vAlign w:val="bottom"/>
            <w:tcBorders>
              <w:top w:val="single" w:sz="8" w:color="0000FF"/>
            </w:tcBorders>
            <w:gridSpan w:val="17"/>
            <w:shd w:val="clear" w:color="auto" w:fill="DBDBDB"/>
          </w:tcPr>
          <w:p>
            <w:pPr>
              <w:spacing w:after="0" w:line="156" w:lineRule="exact"/>
              <w:rPr>
                <w:sz w:val="20"/>
                <w:szCs w:val="20"/>
                <w:color w:val="auto"/>
              </w:rPr>
            </w:pPr>
            <w:r>
              <w:rPr>
                <w:rFonts w:ascii="Arial" w:cs="Arial" w:eastAsia="Arial" w:hAnsi="Arial"/>
                <w:sz w:val="18"/>
                <w:szCs w:val="18"/>
                <w:color w:val="0000FF"/>
              </w:rPr>
              <w:t>Agreement for Executive Officers</w:t>
            </w:r>
          </w:p>
        </w:tc>
        <w:tc>
          <w:tcPr>
            <w:tcW w:w="240" w:type="dxa"/>
            <w:vAlign w:val="bottom"/>
            <w:tcBorders>
              <w:top w:val="single" w:sz="8" w:color="DBDBDB"/>
            </w:tcBorders>
            <w:shd w:val="clear" w:color="auto" w:fill="DBDBDB"/>
          </w:tcPr>
          <w:p>
            <w:pPr>
              <w:spacing w:after="0"/>
              <w:rPr>
                <w:sz w:val="13"/>
                <w:szCs w:val="13"/>
                <w:color w:val="auto"/>
              </w:rPr>
            </w:pPr>
          </w:p>
        </w:tc>
        <w:tc>
          <w:tcPr>
            <w:tcW w:w="220" w:type="dxa"/>
            <w:vAlign w:val="bottom"/>
            <w:tcBorders>
              <w:top w:val="single" w:sz="8" w:color="DBDBDB"/>
              <w:right w:val="single" w:sz="8" w:color="auto"/>
            </w:tcBorders>
            <w:gridSpan w:val="3"/>
            <w:shd w:val="clear" w:color="auto" w:fill="DBDBDB"/>
          </w:tcPr>
          <w:p>
            <w:pPr>
              <w:spacing w:after="0"/>
              <w:rPr>
                <w:sz w:val="13"/>
                <w:szCs w:val="13"/>
                <w:color w:val="auto"/>
              </w:rPr>
            </w:pPr>
          </w:p>
        </w:tc>
        <w:tc>
          <w:tcPr>
            <w:tcW w:w="640" w:type="dxa"/>
            <w:vAlign w:val="bottom"/>
            <w:tcBorders>
              <w:top w:val="single" w:sz="8" w:color="DBDBDB"/>
            </w:tcBorders>
            <w:shd w:val="clear" w:color="auto" w:fill="DBDBDB"/>
          </w:tcPr>
          <w:p>
            <w:pPr>
              <w:spacing w:after="0"/>
              <w:rPr>
                <w:sz w:val="13"/>
                <w:szCs w:val="13"/>
                <w:color w:val="auto"/>
              </w:rPr>
            </w:pPr>
          </w:p>
        </w:tc>
        <w:tc>
          <w:tcPr>
            <w:tcW w:w="1200" w:type="dxa"/>
            <w:vAlign w:val="bottom"/>
            <w:tcBorders>
              <w:top w:val="single" w:sz="8" w:color="DBDBDB"/>
            </w:tcBorders>
            <w:shd w:val="clear" w:color="auto" w:fill="DBDBDB"/>
          </w:tcPr>
          <w:p>
            <w:pPr>
              <w:spacing w:after="0"/>
              <w:rPr>
                <w:sz w:val="13"/>
                <w:szCs w:val="13"/>
                <w:color w:val="auto"/>
              </w:rPr>
            </w:pPr>
          </w:p>
        </w:tc>
        <w:tc>
          <w:tcPr>
            <w:tcW w:w="2200" w:type="dxa"/>
            <w:vAlign w:val="bottom"/>
            <w:tcBorders>
              <w:top w:val="single" w:sz="8" w:color="DBDBDB"/>
            </w:tcBorders>
            <w:shd w:val="clear" w:color="auto" w:fill="DBDBDB"/>
          </w:tcPr>
          <w:p>
            <w:pPr>
              <w:spacing w:after="0"/>
              <w:rPr>
                <w:sz w:val="13"/>
                <w:szCs w:val="13"/>
                <w:color w:val="auto"/>
              </w:rPr>
            </w:pPr>
          </w:p>
        </w:tc>
        <w:tc>
          <w:tcPr>
            <w:tcW w:w="1720" w:type="dxa"/>
            <w:vAlign w:val="bottom"/>
            <w:tcBorders>
              <w:top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right w:val="single" w:sz="8" w:color="auto"/>
            </w:tcBorders>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40" w:type="dxa"/>
            <w:vAlign w:val="bottom"/>
            <w:tcBorders>
              <w:top w:val="single" w:sz="8" w:color="DBDBDB"/>
              <w:left w:val="single" w:sz="8" w:color="auto"/>
              <w:bottom w:val="single" w:sz="8" w:color="DBDBDB"/>
              <w:right w:val="single" w:sz="8" w:color="auto"/>
            </w:tcBorders>
            <w:shd w:val="clear" w:color="auto" w:fill="DBDBDB"/>
          </w:tcPr>
          <w:p>
            <w:pPr>
              <w:spacing w:after="0"/>
              <w:rPr>
                <w:sz w:val="18"/>
                <w:szCs w:val="18"/>
                <w:color w:val="auto"/>
              </w:rPr>
            </w:pPr>
          </w:p>
        </w:tc>
        <w:tc>
          <w:tcPr>
            <w:tcW w:w="2640" w:type="dxa"/>
            <w:vAlign w:val="bottom"/>
            <w:tcBorders>
              <w:top w:val="single" w:sz="8" w:color="0000FF"/>
              <w:bottom w:val="single" w:sz="8" w:color="0000FF"/>
            </w:tcBorders>
            <w:gridSpan w:val="12"/>
            <w:shd w:val="clear" w:color="auto" w:fill="DBDBDB"/>
          </w:tcPr>
          <w:p>
            <w:pPr>
              <w:spacing w:after="0" w:line="169" w:lineRule="exact"/>
              <w:rPr>
                <w:sz w:val="20"/>
                <w:szCs w:val="20"/>
                <w:color w:val="auto"/>
              </w:rPr>
            </w:pPr>
            <w:r>
              <w:rPr>
                <w:rFonts w:ascii="Arial" w:cs="Arial" w:eastAsia="Arial" w:hAnsi="Arial"/>
                <w:sz w:val="18"/>
                <w:szCs w:val="18"/>
                <w:color w:val="0000FF"/>
                <w:w w:val="99"/>
              </w:rPr>
              <w:t>effective as of January 18, 2024*</w:t>
            </w: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120" w:type="dxa"/>
            <w:vAlign w:val="bottom"/>
            <w:tcBorders>
              <w:top w:val="single" w:sz="8" w:color="DBDBDB"/>
              <w:bottom w:val="single" w:sz="8" w:color="DBDBDB"/>
            </w:tcBorders>
            <w:shd w:val="clear" w:color="auto" w:fill="DBDBDB"/>
          </w:tcPr>
          <w:p>
            <w:pPr>
              <w:spacing w:after="0"/>
              <w:rPr>
                <w:sz w:val="18"/>
                <w:szCs w:val="18"/>
                <w:color w:val="auto"/>
              </w:rPr>
            </w:pPr>
          </w:p>
        </w:tc>
        <w:tc>
          <w:tcPr>
            <w:tcW w:w="40" w:type="dxa"/>
            <w:vAlign w:val="bottom"/>
            <w:tcBorders>
              <w:top w:val="single" w:sz="8" w:color="DBDBDB"/>
              <w:bottom w:val="single" w:sz="8" w:color="DBDBDB"/>
            </w:tcBorders>
            <w:gridSpan w:val="2"/>
            <w:shd w:val="clear" w:color="auto" w:fill="DBDBDB"/>
          </w:tcPr>
          <w:p>
            <w:pPr>
              <w:spacing w:after="0"/>
              <w:rPr>
                <w:sz w:val="18"/>
                <w:szCs w:val="18"/>
                <w:color w:val="auto"/>
              </w:rPr>
            </w:pPr>
          </w:p>
        </w:tc>
        <w:tc>
          <w:tcPr>
            <w:tcW w:w="280" w:type="dxa"/>
            <w:vAlign w:val="bottom"/>
            <w:tcBorders>
              <w:top w:val="single" w:sz="8" w:color="DBDBDB"/>
              <w:bottom w:val="single" w:sz="8" w:color="DBDBDB"/>
            </w:tcBorders>
            <w:gridSpan w:val="2"/>
            <w:shd w:val="clear" w:color="auto" w:fill="DBDBDB"/>
          </w:tcPr>
          <w:p>
            <w:pPr>
              <w:spacing w:after="0"/>
              <w:rPr>
                <w:sz w:val="18"/>
                <w:szCs w:val="18"/>
                <w:color w:val="auto"/>
              </w:rPr>
            </w:pPr>
          </w:p>
        </w:tc>
        <w:tc>
          <w:tcPr>
            <w:tcW w:w="220" w:type="dxa"/>
            <w:vAlign w:val="bottom"/>
            <w:tcBorders>
              <w:top w:val="single" w:sz="8" w:color="DBDBDB"/>
              <w:bottom w:val="single" w:sz="8" w:color="DBDBDB"/>
              <w:right w:val="single" w:sz="8" w:color="auto"/>
            </w:tcBorders>
            <w:gridSpan w:val="3"/>
            <w:shd w:val="clear" w:color="auto" w:fill="DBDBDB"/>
          </w:tcPr>
          <w:p>
            <w:pPr>
              <w:spacing w:after="0"/>
              <w:rPr>
                <w:sz w:val="18"/>
                <w:szCs w:val="18"/>
                <w:color w:val="auto"/>
              </w:rPr>
            </w:pPr>
          </w:p>
        </w:tc>
        <w:tc>
          <w:tcPr>
            <w:tcW w:w="640" w:type="dxa"/>
            <w:vAlign w:val="bottom"/>
            <w:tcBorders>
              <w:top w:val="single" w:sz="8" w:color="DBDBDB"/>
              <w:bottom w:val="single" w:sz="8" w:color="DBDBDB"/>
            </w:tcBorders>
            <w:shd w:val="clear" w:color="auto" w:fill="DBDBDB"/>
          </w:tcPr>
          <w:p>
            <w:pPr>
              <w:spacing w:after="0"/>
              <w:rPr>
                <w:sz w:val="18"/>
                <w:szCs w:val="18"/>
                <w:color w:val="auto"/>
              </w:rPr>
            </w:pPr>
          </w:p>
        </w:tc>
        <w:tc>
          <w:tcPr>
            <w:tcW w:w="1200" w:type="dxa"/>
            <w:vAlign w:val="bottom"/>
            <w:tcBorders>
              <w:top w:val="single" w:sz="8" w:color="DBDBDB"/>
              <w:bottom w:val="single" w:sz="8" w:color="DBDBDB"/>
            </w:tcBorders>
            <w:shd w:val="clear" w:color="auto" w:fill="DBDBDB"/>
          </w:tcPr>
          <w:p>
            <w:pPr>
              <w:spacing w:after="0"/>
              <w:rPr>
                <w:sz w:val="18"/>
                <w:szCs w:val="18"/>
                <w:color w:val="auto"/>
              </w:rPr>
            </w:pPr>
          </w:p>
        </w:tc>
        <w:tc>
          <w:tcPr>
            <w:tcW w:w="2200" w:type="dxa"/>
            <w:vAlign w:val="bottom"/>
            <w:tcBorders>
              <w:top w:val="single" w:sz="8" w:color="DBDBDB"/>
              <w:bottom w:val="single" w:sz="8" w:color="DBDBDB"/>
            </w:tcBorders>
            <w:shd w:val="clear" w:color="auto" w:fill="DBDBDB"/>
          </w:tcPr>
          <w:p>
            <w:pPr>
              <w:spacing w:after="0"/>
              <w:rPr>
                <w:sz w:val="18"/>
                <w:szCs w:val="18"/>
                <w:color w:val="auto"/>
              </w:rPr>
            </w:pPr>
          </w:p>
        </w:tc>
        <w:tc>
          <w:tcPr>
            <w:tcW w:w="1720" w:type="dxa"/>
            <w:vAlign w:val="bottom"/>
            <w:tcBorders>
              <w:top w:val="single" w:sz="8" w:color="DBDBDB"/>
              <w:bottom w:val="single" w:sz="8" w:color="DBDBDB"/>
              <w:right w:val="single" w:sz="8" w:color="auto"/>
            </w:tcBorders>
            <w:shd w:val="clear" w:color="auto" w:fill="DBDBDB"/>
          </w:tcPr>
          <w:p>
            <w:pPr>
              <w:spacing w:after="0"/>
              <w:rPr>
                <w:sz w:val="18"/>
                <w:szCs w:val="18"/>
                <w:color w:val="auto"/>
              </w:rPr>
            </w:pPr>
          </w:p>
        </w:tc>
        <w:tc>
          <w:tcPr>
            <w:tcW w:w="960" w:type="dxa"/>
            <w:vAlign w:val="bottom"/>
            <w:tcBorders>
              <w:top w:val="single" w:sz="8" w:color="DBDBDB"/>
              <w:bottom w:val="single" w:sz="8" w:color="DBDBDB"/>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auto"/>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21</w:t>
            </w:r>
          </w:p>
        </w:tc>
        <w:tc>
          <w:tcPr>
            <w:tcW w:w="3380" w:type="dxa"/>
            <w:vAlign w:val="bottom"/>
            <w:tcBorders>
              <w:top w:val="single" w:sz="8" w:color="auto"/>
              <w:right w:val="single" w:sz="8" w:color="auto"/>
            </w:tcBorders>
            <w:gridSpan w:val="21"/>
          </w:tcPr>
          <w:p>
            <w:pPr>
              <w:spacing w:after="0" w:line="182" w:lineRule="exact"/>
              <w:rPr>
                <w:sz w:val="20"/>
                <w:szCs w:val="20"/>
                <w:color w:val="auto"/>
              </w:rPr>
            </w:pPr>
            <w:r>
              <w:rPr>
                <w:rFonts w:ascii="Arial" w:cs="Arial" w:eastAsia="Arial" w:hAnsi="Arial"/>
                <w:sz w:val="18"/>
                <w:szCs w:val="18"/>
                <w:color w:val="0000FF"/>
              </w:rPr>
              <w:t>List of Subsidiaries of the Registrant</w:t>
            </w:r>
          </w:p>
        </w:tc>
        <w:tc>
          <w:tcPr>
            <w:tcW w:w="6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tcPr>
          <w:p>
            <w:pPr>
              <w:spacing w:after="0"/>
              <w:rPr>
                <w:sz w:val="15"/>
                <w:szCs w:val="15"/>
                <w:color w:val="auto"/>
              </w:rPr>
            </w:pPr>
          </w:p>
        </w:tc>
        <w:tc>
          <w:tcPr>
            <w:tcW w:w="172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23</w:t>
            </w:r>
          </w:p>
        </w:tc>
        <w:tc>
          <w:tcPr>
            <w:tcW w:w="3380" w:type="dxa"/>
            <w:vAlign w:val="bottom"/>
            <w:tcBorders>
              <w:right w:val="single" w:sz="8" w:color="auto"/>
            </w:tcBorders>
            <w:gridSpan w:val="21"/>
            <w:shd w:val="clear" w:color="auto" w:fill="DBDBDB"/>
          </w:tcPr>
          <w:p>
            <w:pPr>
              <w:spacing w:after="0" w:line="182" w:lineRule="exact"/>
              <w:rPr>
                <w:sz w:val="20"/>
                <w:szCs w:val="20"/>
                <w:color w:val="auto"/>
              </w:rPr>
            </w:pPr>
            <w:r>
              <w:rPr>
                <w:rFonts w:ascii="Arial" w:cs="Arial" w:eastAsia="Arial" w:hAnsi="Arial"/>
                <w:sz w:val="18"/>
                <w:szCs w:val="18"/>
                <w:color w:val="0000FF"/>
              </w:rPr>
              <w:t>Consent of Independent Registered</w:t>
            </w:r>
          </w:p>
        </w:tc>
        <w:tc>
          <w:tcPr>
            <w:tcW w:w="64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2200" w:type="dxa"/>
            <w:vAlign w:val="bottom"/>
            <w:shd w:val="clear" w:color="auto" w:fill="DBDBDB"/>
          </w:tcPr>
          <w:p>
            <w:pPr>
              <w:spacing w:after="0"/>
              <w:rPr>
                <w:sz w:val="15"/>
                <w:szCs w:val="15"/>
                <w:color w:val="auto"/>
              </w:rPr>
            </w:pPr>
          </w:p>
        </w:tc>
        <w:tc>
          <w:tcPr>
            <w:tcW w:w="1720" w:type="dxa"/>
            <w:vAlign w:val="bottom"/>
            <w:tcBorders>
              <w:right w:val="single" w:sz="8" w:color="auto"/>
            </w:tcBorders>
            <w:shd w:val="clear" w:color="auto" w:fill="DBDBDB"/>
          </w:tcPr>
          <w:p>
            <w:pPr>
              <w:spacing w:after="0"/>
              <w:rPr>
                <w:sz w:val="15"/>
                <w:szCs w:val="15"/>
                <w:color w:val="auto"/>
              </w:rPr>
            </w:pPr>
          </w:p>
        </w:tc>
        <w:tc>
          <w:tcPr>
            <w:tcW w:w="96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top w:val="single" w:sz="8" w:color="DBDBDB"/>
              <w:left w:val="single" w:sz="8" w:color="auto"/>
              <w:right w:val="single" w:sz="8" w:color="auto"/>
            </w:tcBorders>
            <w:shd w:val="clear" w:color="auto" w:fill="DBDBDB"/>
          </w:tcPr>
          <w:p>
            <w:pPr>
              <w:spacing w:after="0"/>
              <w:rPr>
                <w:sz w:val="10"/>
                <w:szCs w:val="10"/>
                <w:color w:val="auto"/>
              </w:rPr>
            </w:pPr>
          </w:p>
        </w:tc>
        <w:tc>
          <w:tcPr>
            <w:tcW w:w="2840" w:type="dxa"/>
            <w:vAlign w:val="bottom"/>
            <w:tcBorders>
              <w:top w:val="single" w:sz="8" w:color="0000FF"/>
            </w:tcBorders>
            <w:gridSpan w:val="14"/>
            <w:vMerge w:val="restart"/>
            <w:shd w:val="clear" w:color="auto" w:fill="DBDBDB"/>
          </w:tcPr>
          <w:p>
            <w:pPr>
              <w:spacing w:after="0" w:line="156" w:lineRule="exact"/>
              <w:rPr>
                <w:sz w:val="20"/>
                <w:szCs w:val="20"/>
                <w:color w:val="auto"/>
              </w:rPr>
            </w:pPr>
            <w:r>
              <w:rPr>
                <w:rFonts w:ascii="Arial" w:cs="Arial" w:eastAsia="Arial" w:hAnsi="Arial"/>
                <w:sz w:val="18"/>
                <w:szCs w:val="18"/>
                <w:color w:val="0000FF"/>
              </w:rPr>
              <w:t>Public Accounting Firm</w:t>
            </w:r>
          </w:p>
        </w:tc>
        <w:tc>
          <w:tcPr>
            <w:tcW w:w="540" w:type="dxa"/>
            <w:vAlign w:val="bottom"/>
            <w:tcBorders>
              <w:top w:val="single" w:sz="8" w:color="DBDBDB"/>
              <w:right w:val="single" w:sz="8" w:color="auto"/>
            </w:tcBorders>
            <w:gridSpan w:val="7"/>
            <w:vMerge w:val="restart"/>
            <w:shd w:val="clear" w:color="auto" w:fill="DBDBDB"/>
          </w:tcPr>
          <w:p>
            <w:pPr>
              <w:spacing w:after="0"/>
              <w:rPr>
                <w:sz w:val="10"/>
                <w:szCs w:val="10"/>
                <w:color w:val="auto"/>
              </w:rPr>
            </w:pPr>
          </w:p>
        </w:tc>
        <w:tc>
          <w:tcPr>
            <w:tcW w:w="640" w:type="dxa"/>
            <w:vAlign w:val="bottom"/>
            <w:tcBorders>
              <w:top w:val="single" w:sz="8" w:color="DBDBDB"/>
            </w:tcBorders>
            <w:shd w:val="clear" w:color="auto" w:fill="DBDBDB"/>
          </w:tcPr>
          <w:p>
            <w:pPr>
              <w:spacing w:after="0"/>
              <w:rPr>
                <w:sz w:val="10"/>
                <w:szCs w:val="10"/>
                <w:color w:val="auto"/>
              </w:rPr>
            </w:pPr>
          </w:p>
        </w:tc>
        <w:tc>
          <w:tcPr>
            <w:tcW w:w="1200" w:type="dxa"/>
            <w:vAlign w:val="bottom"/>
            <w:tcBorders>
              <w:top w:val="single" w:sz="8" w:color="DBDBDB"/>
            </w:tcBorders>
            <w:shd w:val="clear" w:color="auto" w:fill="DBDBDB"/>
          </w:tcPr>
          <w:p>
            <w:pPr>
              <w:spacing w:after="0"/>
              <w:rPr>
                <w:sz w:val="10"/>
                <w:szCs w:val="10"/>
                <w:color w:val="auto"/>
              </w:rPr>
            </w:pPr>
          </w:p>
        </w:tc>
        <w:tc>
          <w:tcPr>
            <w:tcW w:w="2200" w:type="dxa"/>
            <w:vAlign w:val="bottom"/>
            <w:tcBorders>
              <w:top w:val="single" w:sz="8" w:color="DBDBDB"/>
            </w:tcBorders>
            <w:shd w:val="clear" w:color="auto" w:fill="DBDBDB"/>
          </w:tcPr>
          <w:p>
            <w:pPr>
              <w:spacing w:after="0"/>
              <w:rPr>
                <w:sz w:val="10"/>
                <w:szCs w:val="10"/>
                <w:color w:val="auto"/>
              </w:rPr>
            </w:pPr>
          </w:p>
        </w:tc>
        <w:tc>
          <w:tcPr>
            <w:tcW w:w="1720" w:type="dxa"/>
            <w:vAlign w:val="bottom"/>
            <w:tcBorders>
              <w:top w:val="single" w:sz="8" w:color="DBDBDB"/>
              <w:right w:val="single" w:sz="8" w:color="auto"/>
            </w:tcBorders>
            <w:shd w:val="clear" w:color="auto" w:fill="DBDBDB"/>
          </w:tcPr>
          <w:p>
            <w:pPr>
              <w:spacing w:after="0"/>
              <w:rPr>
                <w:sz w:val="10"/>
                <w:szCs w:val="10"/>
                <w:color w:val="auto"/>
              </w:rPr>
            </w:pPr>
          </w:p>
        </w:tc>
        <w:tc>
          <w:tcPr>
            <w:tcW w:w="960" w:type="dxa"/>
            <w:vAlign w:val="bottom"/>
            <w:tcBorders>
              <w:top w:val="single" w:sz="8" w:color="DBDBDB"/>
              <w:right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40" w:type="dxa"/>
            <w:vAlign w:val="bottom"/>
            <w:tcBorders>
              <w:left w:val="single" w:sz="8" w:color="auto"/>
              <w:bottom w:val="single" w:sz="8" w:color="auto"/>
              <w:right w:val="single" w:sz="8" w:color="auto"/>
            </w:tcBorders>
            <w:shd w:val="clear" w:color="auto" w:fill="DBDBDB"/>
          </w:tcPr>
          <w:p>
            <w:pPr>
              <w:spacing w:after="0"/>
              <w:rPr>
                <w:sz w:val="7"/>
                <w:szCs w:val="7"/>
                <w:color w:val="auto"/>
              </w:rPr>
            </w:pPr>
          </w:p>
        </w:tc>
        <w:tc>
          <w:tcPr>
            <w:tcW w:w="2840" w:type="dxa"/>
            <w:vAlign w:val="bottom"/>
            <w:tcBorders>
              <w:bottom w:val="single" w:sz="8" w:color="auto"/>
            </w:tcBorders>
            <w:gridSpan w:val="14"/>
            <w:vMerge w:val="continue"/>
            <w:shd w:val="clear" w:color="auto" w:fill="DBDBDB"/>
          </w:tcPr>
          <w:p>
            <w:pPr>
              <w:spacing w:after="0"/>
              <w:rPr>
                <w:sz w:val="7"/>
                <w:szCs w:val="7"/>
                <w:color w:val="auto"/>
              </w:rPr>
            </w:pPr>
          </w:p>
        </w:tc>
        <w:tc>
          <w:tcPr>
            <w:tcW w:w="540" w:type="dxa"/>
            <w:vAlign w:val="bottom"/>
            <w:tcBorders>
              <w:bottom w:val="single" w:sz="8" w:color="auto"/>
              <w:right w:val="single" w:sz="8" w:color="auto"/>
            </w:tcBorders>
            <w:gridSpan w:val="7"/>
            <w:vMerge w:val="continue"/>
            <w:shd w:val="clear" w:color="auto" w:fill="DBDBDB"/>
          </w:tcPr>
          <w:p>
            <w:pPr>
              <w:spacing w:after="0"/>
              <w:rPr>
                <w:sz w:val="7"/>
                <w:szCs w:val="7"/>
                <w:color w:val="auto"/>
              </w:rPr>
            </w:pPr>
          </w:p>
        </w:tc>
        <w:tc>
          <w:tcPr>
            <w:tcW w:w="640" w:type="dxa"/>
            <w:vAlign w:val="bottom"/>
            <w:tcBorders>
              <w:bottom w:val="single" w:sz="8" w:color="auto"/>
            </w:tcBorders>
            <w:shd w:val="clear" w:color="auto" w:fill="DBDBDB"/>
          </w:tcPr>
          <w:p>
            <w:pPr>
              <w:spacing w:after="0"/>
              <w:rPr>
                <w:sz w:val="7"/>
                <w:szCs w:val="7"/>
                <w:color w:val="auto"/>
              </w:rPr>
            </w:pPr>
          </w:p>
        </w:tc>
        <w:tc>
          <w:tcPr>
            <w:tcW w:w="1200" w:type="dxa"/>
            <w:vAlign w:val="bottom"/>
            <w:tcBorders>
              <w:bottom w:val="single" w:sz="8" w:color="auto"/>
            </w:tcBorders>
            <w:shd w:val="clear" w:color="auto" w:fill="DBDBDB"/>
          </w:tcPr>
          <w:p>
            <w:pPr>
              <w:spacing w:after="0"/>
              <w:rPr>
                <w:sz w:val="7"/>
                <w:szCs w:val="7"/>
                <w:color w:val="auto"/>
              </w:rPr>
            </w:pPr>
          </w:p>
        </w:tc>
        <w:tc>
          <w:tcPr>
            <w:tcW w:w="2200" w:type="dxa"/>
            <w:vAlign w:val="bottom"/>
            <w:tcBorders>
              <w:bottom w:val="single" w:sz="8" w:color="auto"/>
            </w:tcBorders>
            <w:shd w:val="clear" w:color="auto" w:fill="DBDBDB"/>
          </w:tcPr>
          <w:p>
            <w:pPr>
              <w:spacing w:after="0"/>
              <w:rPr>
                <w:sz w:val="7"/>
                <w:szCs w:val="7"/>
                <w:color w:val="auto"/>
              </w:rPr>
            </w:pPr>
          </w:p>
        </w:tc>
        <w:tc>
          <w:tcPr>
            <w:tcW w:w="1720" w:type="dxa"/>
            <w:vAlign w:val="bottom"/>
            <w:tcBorders>
              <w:bottom w:val="single" w:sz="8" w:color="auto"/>
              <w:right w:val="single" w:sz="8" w:color="auto"/>
            </w:tcBorders>
            <w:shd w:val="clear" w:color="auto" w:fill="DBDBDB"/>
          </w:tcPr>
          <w:p>
            <w:pPr>
              <w:spacing w:after="0"/>
              <w:rPr>
                <w:sz w:val="7"/>
                <w:szCs w:val="7"/>
                <w:color w:val="auto"/>
              </w:rPr>
            </w:pPr>
          </w:p>
        </w:tc>
        <w:tc>
          <w:tcPr>
            <w:tcW w:w="960" w:type="dxa"/>
            <w:vAlign w:val="bottom"/>
            <w:tcBorders>
              <w:bottom w:val="single" w:sz="8" w:color="auto"/>
              <w:right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31(a)</w:t>
            </w:r>
          </w:p>
        </w:tc>
        <w:tc>
          <w:tcPr>
            <w:tcW w:w="3160" w:type="dxa"/>
            <w:vAlign w:val="bottom"/>
            <w:tcBorders>
              <w:bottom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99"/>
              </w:rPr>
              <w:t>Rule 13a-14(a)/15(d)-14(a) Certification</w:t>
            </w:r>
          </w:p>
        </w:tc>
        <w:tc>
          <w:tcPr>
            <w:tcW w:w="220" w:type="dxa"/>
            <w:vAlign w:val="bottom"/>
            <w:tcBorders>
              <w:right w:val="single" w:sz="8" w:color="auto"/>
            </w:tcBorders>
            <w:gridSpan w:val="3"/>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left w:val="single" w:sz="8" w:color="auto"/>
              <w:right w:val="single" w:sz="8" w:color="auto"/>
            </w:tcBorders>
          </w:tcPr>
          <w:p>
            <w:pPr>
              <w:spacing w:after="0"/>
              <w:rPr>
                <w:sz w:val="10"/>
                <w:szCs w:val="10"/>
                <w:color w:val="auto"/>
              </w:rPr>
            </w:pPr>
          </w:p>
        </w:tc>
        <w:tc>
          <w:tcPr>
            <w:tcW w:w="3380" w:type="dxa"/>
            <w:vAlign w:val="bottom"/>
            <w:tcBorders>
              <w:right w:val="single" w:sz="8" w:color="auto"/>
            </w:tcBorders>
            <w:gridSpan w:val="21"/>
            <w:vMerge w:val="restart"/>
          </w:tcPr>
          <w:p>
            <w:pPr>
              <w:spacing w:after="0" w:line="156" w:lineRule="exact"/>
              <w:rPr>
                <w:sz w:val="20"/>
                <w:szCs w:val="20"/>
                <w:color w:val="auto"/>
              </w:rPr>
            </w:pPr>
            <w:r>
              <w:rPr>
                <w:rFonts w:ascii="Arial" w:cs="Arial" w:eastAsia="Arial" w:hAnsi="Arial"/>
                <w:sz w:val="18"/>
                <w:szCs w:val="18"/>
                <w:color w:val="0000FF"/>
              </w:rPr>
              <w:t>of Chief Executive Officer</w:t>
            </w:r>
          </w:p>
        </w:tc>
        <w:tc>
          <w:tcPr>
            <w:tcW w:w="6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40" w:type="dxa"/>
            <w:vAlign w:val="bottom"/>
            <w:tcBorders>
              <w:left w:val="single" w:sz="8" w:color="auto"/>
              <w:right w:val="single" w:sz="8" w:color="auto"/>
            </w:tcBorders>
          </w:tcPr>
          <w:p>
            <w:pPr>
              <w:spacing w:after="0"/>
              <w:rPr>
                <w:sz w:val="3"/>
                <w:szCs w:val="3"/>
                <w:color w:val="auto"/>
              </w:rPr>
            </w:pPr>
          </w:p>
        </w:tc>
        <w:tc>
          <w:tcPr>
            <w:tcW w:w="3380" w:type="dxa"/>
            <w:vAlign w:val="bottom"/>
            <w:tcBorders>
              <w:right w:val="single" w:sz="8" w:color="auto"/>
            </w:tcBorders>
            <w:gridSpan w:val="21"/>
            <w:vMerge w:val="continue"/>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bottom w:val="single" w:sz="8" w:color="DBDBDB"/>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31(b)</w:t>
            </w:r>
          </w:p>
        </w:tc>
        <w:tc>
          <w:tcPr>
            <w:tcW w:w="3160" w:type="dxa"/>
            <w:vAlign w:val="bottom"/>
            <w:tcBorders>
              <w:bottom w:val="single" w:sz="8" w:color="0000FF"/>
            </w:tcBorders>
            <w:gridSpan w:val="18"/>
            <w:shd w:val="clear" w:color="auto" w:fill="DBDBDB"/>
          </w:tcPr>
          <w:p>
            <w:pPr>
              <w:spacing w:after="0" w:line="182" w:lineRule="exact"/>
              <w:rPr>
                <w:sz w:val="20"/>
                <w:szCs w:val="20"/>
                <w:color w:val="auto"/>
              </w:rPr>
            </w:pPr>
            <w:r>
              <w:rPr>
                <w:rFonts w:ascii="Arial" w:cs="Arial" w:eastAsia="Arial" w:hAnsi="Arial"/>
                <w:sz w:val="18"/>
                <w:szCs w:val="18"/>
                <w:color w:val="0000FF"/>
                <w:w w:val="99"/>
              </w:rPr>
              <w:t>Rule 13a-14(a)/15(d)-14(a) Certification</w:t>
            </w:r>
          </w:p>
        </w:tc>
        <w:tc>
          <w:tcPr>
            <w:tcW w:w="220" w:type="dxa"/>
            <w:vAlign w:val="bottom"/>
            <w:tcBorders>
              <w:bottom w:val="single" w:sz="8" w:color="DBDBDB"/>
              <w:right w:val="single" w:sz="8" w:color="auto"/>
            </w:tcBorders>
            <w:gridSpan w:val="3"/>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2200" w:type="dxa"/>
            <w:vAlign w:val="bottom"/>
            <w:tcBorders>
              <w:bottom w:val="single" w:sz="8" w:color="DBDBDB"/>
            </w:tcBorders>
            <w:shd w:val="clear" w:color="auto" w:fill="DBDBDB"/>
          </w:tcPr>
          <w:p>
            <w:pPr>
              <w:spacing w:after="0"/>
              <w:rPr>
                <w:sz w:val="15"/>
                <w:szCs w:val="15"/>
                <w:color w:val="auto"/>
              </w:rPr>
            </w:pPr>
          </w:p>
        </w:tc>
        <w:tc>
          <w:tcPr>
            <w:tcW w:w="1720" w:type="dxa"/>
            <w:vAlign w:val="bottom"/>
            <w:tcBorders>
              <w:bottom w:val="single" w:sz="8" w:color="DBDBDB"/>
              <w:right w:val="single" w:sz="8" w:color="auto"/>
            </w:tcBorders>
            <w:shd w:val="clear" w:color="auto" w:fill="DBDBDB"/>
          </w:tcPr>
          <w:p>
            <w:pPr>
              <w:spacing w:after="0"/>
              <w:rPr>
                <w:sz w:val="15"/>
                <w:szCs w:val="15"/>
                <w:color w:val="auto"/>
              </w:rPr>
            </w:pPr>
          </w:p>
        </w:tc>
        <w:tc>
          <w:tcPr>
            <w:tcW w:w="960" w:type="dxa"/>
            <w:vAlign w:val="bottom"/>
            <w:tcBorders>
              <w:bottom w:val="single" w:sz="8" w:color="DBDBDB"/>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left w:val="single" w:sz="8" w:color="auto"/>
              <w:right w:val="single" w:sz="8" w:color="auto"/>
            </w:tcBorders>
            <w:shd w:val="clear" w:color="auto" w:fill="DBDBDB"/>
          </w:tcPr>
          <w:p>
            <w:pPr>
              <w:spacing w:after="0"/>
              <w:rPr>
                <w:sz w:val="10"/>
                <w:szCs w:val="10"/>
                <w:color w:val="auto"/>
              </w:rPr>
            </w:pPr>
          </w:p>
        </w:tc>
        <w:tc>
          <w:tcPr>
            <w:tcW w:w="3380" w:type="dxa"/>
            <w:vAlign w:val="bottom"/>
            <w:tcBorders>
              <w:right w:val="single" w:sz="8" w:color="auto"/>
            </w:tcBorders>
            <w:gridSpan w:val="21"/>
            <w:vMerge w:val="restart"/>
            <w:shd w:val="clear" w:color="auto" w:fill="DBDBDB"/>
          </w:tcPr>
          <w:p>
            <w:pPr>
              <w:spacing w:after="0" w:line="156" w:lineRule="exact"/>
              <w:rPr>
                <w:sz w:val="20"/>
                <w:szCs w:val="20"/>
                <w:color w:val="auto"/>
              </w:rPr>
            </w:pPr>
            <w:r>
              <w:rPr>
                <w:rFonts w:ascii="Arial" w:cs="Arial" w:eastAsia="Arial" w:hAnsi="Arial"/>
                <w:sz w:val="18"/>
                <w:szCs w:val="18"/>
                <w:color w:val="0000FF"/>
              </w:rPr>
              <w:t>of Chief Financial Officer</w:t>
            </w:r>
          </w:p>
        </w:tc>
        <w:tc>
          <w:tcPr>
            <w:tcW w:w="640" w:type="dxa"/>
            <w:vAlign w:val="bottom"/>
            <w:shd w:val="clear" w:color="auto" w:fill="DBDBDB"/>
          </w:tcPr>
          <w:p>
            <w:pPr>
              <w:spacing w:after="0"/>
              <w:rPr>
                <w:sz w:val="10"/>
                <w:szCs w:val="10"/>
                <w:color w:val="auto"/>
              </w:rPr>
            </w:pPr>
          </w:p>
        </w:tc>
        <w:tc>
          <w:tcPr>
            <w:tcW w:w="1200" w:type="dxa"/>
            <w:vAlign w:val="bottom"/>
            <w:shd w:val="clear" w:color="auto" w:fill="DBDBDB"/>
          </w:tcPr>
          <w:p>
            <w:pPr>
              <w:spacing w:after="0"/>
              <w:rPr>
                <w:sz w:val="10"/>
                <w:szCs w:val="10"/>
                <w:color w:val="auto"/>
              </w:rPr>
            </w:pPr>
          </w:p>
        </w:tc>
        <w:tc>
          <w:tcPr>
            <w:tcW w:w="2200" w:type="dxa"/>
            <w:vAlign w:val="bottom"/>
            <w:shd w:val="clear" w:color="auto" w:fill="DBDBDB"/>
          </w:tcPr>
          <w:p>
            <w:pPr>
              <w:spacing w:after="0"/>
              <w:rPr>
                <w:sz w:val="10"/>
                <w:szCs w:val="10"/>
                <w:color w:val="auto"/>
              </w:rPr>
            </w:pPr>
          </w:p>
        </w:tc>
        <w:tc>
          <w:tcPr>
            <w:tcW w:w="1720" w:type="dxa"/>
            <w:vAlign w:val="bottom"/>
            <w:tcBorders>
              <w:right w:val="single" w:sz="8" w:color="auto"/>
            </w:tcBorders>
            <w:shd w:val="clear" w:color="auto" w:fill="DBDBDB"/>
          </w:tcPr>
          <w:p>
            <w:pPr>
              <w:spacing w:after="0"/>
              <w:rPr>
                <w:sz w:val="10"/>
                <w:szCs w:val="10"/>
                <w:color w:val="auto"/>
              </w:rPr>
            </w:pPr>
          </w:p>
        </w:tc>
        <w:tc>
          <w:tcPr>
            <w:tcW w:w="960" w:type="dxa"/>
            <w:vAlign w:val="bottom"/>
            <w:tcBorders>
              <w:right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40" w:type="dxa"/>
            <w:vAlign w:val="bottom"/>
            <w:tcBorders>
              <w:left w:val="single" w:sz="8" w:color="auto"/>
              <w:bottom w:val="single" w:sz="8" w:color="auto"/>
              <w:right w:val="single" w:sz="8" w:color="auto"/>
            </w:tcBorders>
            <w:shd w:val="clear" w:color="auto" w:fill="DBDBDB"/>
          </w:tcPr>
          <w:p>
            <w:pPr>
              <w:spacing w:after="0"/>
              <w:rPr>
                <w:sz w:val="7"/>
                <w:szCs w:val="7"/>
                <w:color w:val="auto"/>
              </w:rPr>
            </w:pPr>
          </w:p>
        </w:tc>
        <w:tc>
          <w:tcPr>
            <w:tcW w:w="3380" w:type="dxa"/>
            <w:vAlign w:val="bottom"/>
            <w:tcBorders>
              <w:bottom w:val="single" w:sz="8" w:color="auto"/>
              <w:right w:val="single" w:sz="8" w:color="auto"/>
            </w:tcBorders>
            <w:gridSpan w:val="21"/>
            <w:vMerge w:val="continue"/>
            <w:shd w:val="clear" w:color="auto" w:fill="DBDBDB"/>
          </w:tcPr>
          <w:p>
            <w:pPr>
              <w:spacing w:after="0"/>
              <w:rPr>
                <w:sz w:val="7"/>
                <w:szCs w:val="7"/>
                <w:color w:val="auto"/>
              </w:rPr>
            </w:pPr>
          </w:p>
        </w:tc>
        <w:tc>
          <w:tcPr>
            <w:tcW w:w="640" w:type="dxa"/>
            <w:vAlign w:val="bottom"/>
            <w:tcBorders>
              <w:bottom w:val="single" w:sz="8" w:color="auto"/>
            </w:tcBorders>
            <w:shd w:val="clear" w:color="auto" w:fill="DBDBDB"/>
          </w:tcPr>
          <w:p>
            <w:pPr>
              <w:spacing w:after="0"/>
              <w:rPr>
                <w:sz w:val="7"/>
                <w:szCs w:val="7"/>
                <w:color w:val="auto"/>
              </w:rPr>
            </w:pPr>
          </w:p>
        </w:tc>
        <w:tc>
          <w:tcPr>
            <w:tcW w:w="1200" w:type="dxa"/>
            <w:vAlign w:val="bottom"/>
            <w:tcBorders>
              <w:bottom w:val="single" w:sz="8" w:color="auto"/>
            </w:tcBorders>
            <w:shd w:val="clear" w:color="auto" w:fill="DBDBDB"/>
          </w:tcPr>
          <w:p>
            <w:pPr>
              <w:spacing w:after="0"/>
              <w:rPr>
                <w:sz w:val="7"/>
                <w:szCs w:val="7"/>
                <w:color w:val="auto"/>
              </w:rPr>
            </w:pPr>
          </w:p>
        </w:tc>
        <w:tc>
          <w:tcPr>
            <w:tcW w:w="2200" w:type="dxa"/>
            <w:vAlign w:val="bottom"/>
            <w:tcBorders>
              <w:bottom w:val="single" w:sz="8" w:color="auto"/>
            </w:tcBorders>
            <w:shd w:val="clear" w:color="auto" w:fill="DBDBDB"/>
          </w:tcPr>
          <w:p>
            <w:pPr>
              <w:spacing w:after="0"/>
              <w:rPr>
                <w:sz w:val="7"/>
                <w:szCs w:val="7"/>
                <w:color w:val="auto"/>
              </w:rPr>
            </w:pPr>
          </w:p>
        </w:tc>
        <w:tc>
          <w:tcPr>
            <w:tcW w:w="1720" w:type="dxa"/>
            <w:vAlign w:val="bottom"/>
            <w:tcBorders>
              <w:bottom w:val="single" w:sz="8" w:color="auto"/>
              <w:right w:val="single" w:sz="8" w:color="auto"/>
            </w:tcBorders>
            <w:shd w:val="clear" w:color="auto" w:fill="DBDBDB"/>
          </w:tcPr>
          <w:p>
            <w:pPr>
              <w:spacing w:after="0"/>
              <w:rPr>
                <w:sz w:val="7"/>
                <w:szCs w:val="7"/>
                <w:color w:val="auto"/>
              </w:rPr>
            </w:pPr>
          </w:p>
        </w:tc>
        <w:tc>
          <w:tcPr>
            <w:tcW w:w="960" w:type="dxa"/>
            <w:vAlign w:val="bottom"/>
            <w:tcBorders>
              <w:bottom w:val="single" w:sz="8" w:color="auto"/>
              <w:right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32(a)</w:t>
            </w:r>
          </w:p>
        </w:tc>
        <w:tc>
          <w:tcPr>
            <w:tcW w:w="3380" w:type="dxa"/>
            <w:vAlign w:val="bottom"/>
            <w:tcBorders>
              <w:right w:val="single" w:sz="8" w:color="auto"/>
            </w:tcBorders>
            <w:gridSpan w:val="21"/>
          </w:tcPr>
          <w:p>
            <w:pPr>
              <w:spacing w:after="0" w:line="182" w:lineRule="exact"/>
              <w:rPr>
                <w:sz w:val="20"/>
                <w:szCs w:val="20"/>
                <w:color w:val="auto"/>
              </w:rPr>
            </w:pPr>
            <w:r>
              <w:rPr>
                <w:rFonts w:ascii="Arial" w:cs="Arial" w:eastAsia="Arial" w:hAnsi="Arial"/>
                <w:sz w:val="18"/>
                <w:szCs w:val="18"/>
                <w:color w:val="0000FF"/>
              </w:rPr>
              <w:t>Section 1350 Certification of Chief</w:t>
            </w: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left w:val="single" w:sz="8" w:color="auto"/>
              <w:right w:val="single" w:sz="8" w:color="auto"/>
            </w:tcBorders>
          </w:tcPr>
          <w:p>
            <w:pPr>
              <w:spacing w:after="0"/>
              <w:rPr>
                <w:sz w:val="10"/>
                <w:szCs w:val="10"/>
                <w:color w:val="auto"/>
              </w:rPr>
            </w:pPr>
          </w:p>
        </w:tc>
        <w:tc>
          <w:tcPr>
            <w:tcW w:w="2720" w:type="dxa"/>
            <w:vAlign w:val="bottom"/>
            <w:tcBorders>
              <w:top w:val="single" w:sz="8" w:color="0000FF"/>
            </w:tcBorders>
            <w:gridSpan w:val="13"/>
            <w:vMerge w:val="restart"/>
          </w:tcPr>
          <w:p>
            <w:pPr>
              <w:spacing w:after="0" w:line="156" w:lineRule="exact"/>
              <w:rPr>
                <w:sz w:val="20"/>
                <w:szCs w:val="20"/>
                <w:color w:val="auto"/>
              </w:rPr>
            </w:pPr>
            <w:r>
              <w:rPr>
                <w:rFonts w:ascii="Arial" w:cs="Arial" w:eastAsia="Arial" w:hAnsi="Arial"/>
                <w:sz w:val="18"/>
                <w:szCs w:val="18"/>
                <w:color w:val="0000FF"/>
              </w:rPr>
              <w:t>Executive Officer</w:t>
            </w:r>
          </w:p>
        </w:tc>
        <w:tc>
          <w:tcPr>
            <w:tcW w:w="660" w:type="dxa"/>
            <w:vAlign w:val="bottom"/>
            <w:tcBorders>
              <w:right w:val="single" w:sz="8" w:color="auto"/>
            </w:tcBorders>
            <w:gridSpan w:val="8"/>
            <w:vMerge w:val="restart"/>
          </w:tcPr>
          <w:p>
            <w:pPr>
              <w:spacing w:after="0"/>
              <w:rPr>
                <w:sz w:val="10"/>
                <w:szCs w:val="10"/>
                <w:color w:val="auto"/>
              </w:rPr>
            </w:pPr>
          </w:p>
        </w:tc>
        <w:tc>
          <w:tcPr>
            <w:tcW w:w="6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1140" w:type="dxa"/>
            <w:vAlign w:val="bottom"/>
            <w:tcBorders>
              <w:left w:val="single" w:sz="8" w:color="auto"/>
              <w:right w:val="single" w:sz="8" w:color="auto"/>
            </w:tcBorders>
          </w:tcPr>
          <w:p>
            <w:pPr>
              <w:spacing w:after="0"/>
              <w:rPr>
                <w:sz w:val="3"/>
                <w:szCs w:val="3"/>
                <w:color w:val="auto"/>
              </w:rPr>
            </w:pPr>
          </w:p>
        </w:tc>
        <w:tc>
          <w:tcPr>
            <w:tcW w:w="2720" w:type="dxa"/>
            <w:vAlign w:val="bottom"/>
            <w:gridSpan w:val="13"/>
            <w:vMerge w:val="continue"/>
          </w:tcPr>
          <w:p>
            <w:pPr>
              <w:spacing w:after="0"/>
              <w:rPr>
                <w:sz w:val="3"/>
                <w:szCs w:val="3"/>
                <w:color w:val="auto"/>
              </w:rPr>
            </w:pPr>
          </w:p>
        </w:tc>
        <w:tc>
          <w:tcPr>
            <w:tcW w:w="660" w:type="dxa"/>
            <w:vAlign w:val="bottom"/>
            <w:tcBorders>
              <w:right w:val="single" w:sz="8" w:color="auto"/>
            </w:tcBorders>
            <w:gridSpan w:val="8"/>
            <w:vMerge w:val="continue"/>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32(b)</w:t>
            </w:r>
          </w:p>
        </w:tc>
        <w:tc>
          <w:tcPr>
            <w:tcW w:w="3380" w:type="dxa"/>
            <w:vAlign w:val="bottom"/>
            <w:tcBorders>
              <w:right w:val="single" w:sz="8" w:color="auto"/>
            </w:tcBorders>
            <w:gridSpan w:val="21"/>
            <w:shd w:val="clear" w:color="auto" w:fill="DBDBDB"/>
          </w:tcPr>
          <w:p>
            <w:pPr>
              <w:spacing w:after="0" w:line="182" w:lineRule="exact"/>
              <w:rPr>
                <w:sz w:val="20"/>
                <w:szCs w:val="20"/>
                <w:color w:val="auto"/>
              </w:rPr>
            </w:pPr>
            <w:r>
              <w:rPr>
                <w:rFonts w:ascii="Arial" w:cs="Arial" w:eastAsia="Arial" w:hAnsi="Arial"/>
                <w:sz w:val="18"/>
                <w:szCs w:val="18"/>
                <w:color w:val="0000FF"/>
              </w:rPr>
              <w:t>Section 1350 Certification of Chief</w:t>
            </w:r>
          </w:p>
        </w:tc>
        <w:tc>
          <w:tcPr>
            <w:tcW w:w="64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2200" w:type="dxa"/>
            <w:vAlign w:val="bottom"/>
            <w:shd w:val="clear" w:color="auto" w:fill="DBDBDB"/>
          </w:tcPr>
          <w:p>
            <w:pPr>
              <w:spacing w:after="0"/>
              <w:rPr>
                <w:sz w:val="15"/>
                <w:szCs w:val="15"/>
                <w:color w:val="auto"/>
              </w:rPr>
            </w:pPr>
          </w:p>
        </w:tc>
        <w:tc>
          <w:tcPr>
            <w:tcW w:w="1720" w:type="dxa"/>
            <w:vAlign w:val="bottom"/>
            <w:tcBorders>
              <w:right w:val="single" w:sz="8" w:color="auto"/>
            </w:tcBorders>
            <w:shd w:val="clear" w:color="auto" w:fill="DBDBDB"/>
          </w:tcPr>
          <w:p>
            <w:pPr>
              <w:spacing w:after="0"/>
              <w:rPr>
                <w:sz w:val="15"/>
                <w:szCs w:val="15"/>
                <w:color w:val="auto"/>
              </w:rPr>
            </w:pPr>
          </w:p>
        </w:tc>
        <w:tc>
          <w:tcPr>
            <w:tcW w:w="96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top w:val="single" w:sz="8" w:color="DBDBDB"/>
              <w:left w:val="single" w:sz="8" w:color="auto"/>
              <w:right w:val="single" w:sz="8" w:color="auto"/>
            </w:tcBorders>
            <w:shd w:val="clear" w:color="auto" w:fill="DBDBDB"/>
          </w:tcPr>
          <w:p>
            <w:pPr>
              <w:spacing w:after="0"/>
              <w:rPr>
                <w:sz w:val="10"/>
                <w:szCs w:val="10"/>
                <w:color w:val="auto"/>
              </w:rPr>
            </w:pPr>
          </w:p>
        </w:tc>
        <w:tc>
          <w:tcPr>
            <w:tcW w:w="2720" w:type="dxa"/>
            <w:vAlign w:val="bottom"/>
            <w:tcBorders>
              <w:top w:val="single" w:sz="8" w:color="0000FF"/>
            </w:tcBorders>
            <w:gridSpan w:val="13"/>
            <w:vMerge w:val="restart"/>
            <w:shd w:val="clear" w:color="auto" w:fill="DBDBDB"/>
          </w:tcPr>
          <w:p>
            <w:pPr>
              <w:spacing w:after="0" w:line="156" w:lineRule="exact"/>
              <w:rPr>
                <w:sz w:val="20"/>
                <w:szCs w:val="20"/>
                <w:color w:val="auto"/>
              </w:rPr>
            </w:pPr>
            <w:r>
              <w:rPr>
                <w:rFonts w:ascii="Arial" w:cs="Arial" w:eastAsia="Arial" w:hAnsi="Arial"/>
                <w:sz w:val="18"/>
                <w:szCs w:val="18"/>
                <w:color w:val="0000FF"/>
              </w:rPr>
              <w:t>Financial Officer</w:t>
            </w:r>
          </w:p>
        </w:tc>
        <w:tc>
          <w:tcPr>
            <w:tcW w:w="660" w:type="dxa"/>
            <w:vAlign w:val="bottom"/>
            <w:tcBorders>
              <w:top w:val="single" w:sz="8" w:color="DBDBDB"/>
              <w:right w:val="single" w:sz="8" w:color="auto"/>
            </w:tcBorders>
            <w:gridSpan w:val="8"/>
            <w:vMerge w:val="restart"/>
            <w:shd w:val="clear" w:color="auto" w:fill="DBDBDB"/>
          </w:tcPr>
          <w:p>
            <w:pPr>
              <w:spacing w:after="0"/>
              <w:rPr>
                <w:sz w:val="10"/>
                <w:szCs w:val="10"/>
                <w:color w:val="auto"/>
              </w:rPr>
            </w:pPr>
          </w:p>
        </w:tc>
        <w:tc>
          <w:tcPr>
            <w:tcW w:w="640" w:type="dxa"/>
            <w:vAlign w:val="bottom"/>
            <w:tcBorders>
              <w:top w:val="single" w:sz="8" w:color="DBDBDB"/>
            </w:tcBorders>
            <w:shd w:val="clear" w:color="auto" w:fill="DBDBDB"/>
          </w:tcPr>
          <w:p>
            <w:pPr>
              <w:spacing w:after="0"/>
              <w:rPr>
                <w:sz w:val="10"/>
                <w:szCs w:val="10"/>
                <w:color w:val="auto"/>
              </w:rPr>
            </w:pPr>
          </w:p>
        </w:tc>
        <w:tc>
          <w:tcPr>
            <w:tcW w:w="1200" w:type="dxa"/>
            <w:vAlign w:val="bottom"/>
            <w:tcBorders>
              <w:top w:val="single" w:sz="8" w:color="DBDBDB"/>
            </w:tcBorders>
            <w:shd w:val="clear" w:color="auto" w:fill="DBDBDB"/>
          </w:tcPr>
          <w:p>
            <w:pPr>
              <w:spacing w:after="0"/>
              <w:rPr>
                <w:sz w:val="10"/>
                <w:szCs w:val="10"/>
                <w:color w:val="auto"/>
              </w:rPr>
            </w:pPr>
          </w:p>
        </w:tc>
        <w:tc>
          <w:tcPr>
            <w:tcW w:w="2200" w:type="dxa"/>
            <w:vAlign w:val="bottom"/>
            <w:tcBorders>
              <w:top w:val="single" w:sz="8" w:color="DBDBDB"/>
            </w:tcBorders>
            <w:shd w:val="clear" w:color="auto" w:fill="DBDBDB"/>
          </w:tcPr>
          <w:p>
            <w:pPr>
              <w:spacing w:after="0"/>
              <w:rPr>
                <w:sz w:val="10"/>
                <w:szCs w:val="10"/>
                <w:color w:val="auto"/>
              </w:rPr>
            </w:pPr>
          </w:p>
        </w:tc>
        <w:tc>
          <w:tcPr>
            <w:tcW w:w="1720" w:type="dxa"/>
            <w:vAlign w:val="bottom"/>
            <w:tcBorders>
              <w:top w:val="single" w:sz="8" w:color="DBDBDB"/>
              <w:right w:val="single" w:sz="8" w:color="auto"/>
            </w:tcBorders>
            <w:shd w:val="clear" w:color="auto" w:fill="DBDBDB"/>
          </w:tcPr>
          <w:p>
            <w:pPr>
              <w:spacing w:after="0"/>
              <w:rPr>
                <w:sz w:val="10"/>
                <w:szCs w:val="10"/>
                <w:color w:val="auto"/>
              </w:rPr>
            </w:pPr>
          </w:p>
        </w:tc>
        <w:tc>
          <w:tcPr>
            <w:tcW w:w="960" w:type="dxa"/>
            <w:vAlign w:val="bottom"/>
            <w:tcBorders>
              <w:top w:val="single" w:sz="8" w:color="DBDBDB"/>
              <w:right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140" w:type="dxa"/>
            <w:vAlign w:val="bottom"/>
            <w:tcBorders>
              <w:left w:val="single" w:sz="8" w:color="auto"/>
              <w:bottom w:val="single" w:sz="8" w:color="auto"/>
              <w:right w:val="single" w:sz="8" w:color="auto"/>
            </w:tcBorders>
            <w:shd w:val="clear" w:color="auto" w:fill="DBDBDB"/>
          </w:tcPr>
          <w:p>
            <w:pPr>
              <w:spacing w:after="0"/>
              <w:rPr>
                <w:sz w:val="7"/>
                <w:szCs w:val="7"/>
                <w:color w:val="auto"/>
              </w:rPr>
            </w:pPr>
          </w:p>
        </w:tc>
        <w:tc>
          <w:tcPr>
            <w:tcW w:w="2720" w:type="dxa"/>
            <w:vAlign w:val="bottom"/>
            <w:tcBorders>
              <w:bottom w:val="single" w:sz="8" w:color="auto"/>
            </w:tcBorders>
            <w:gridSpan w:val="13"/>
            <w:vMerge w:val="continue"/>
            <w:shd w:val="clear" w:color="auto" w:fill="DBDBDB"/>
          </w:tcPr>
          <w:p>
            <w:pPr>
              <w:spacing w:after="0"/>
              <w:rPr>
                <w:sz w:val="7"/>
                <w:szCs w:val="7"/>
                <w:color w:val="auto"/>
              </w:rPr>
            </w:pPr>
          </w:p>
        </w:tc>
        <w:tc>
          <w:tcPr>
            <w:tcW w:w="660" w:type="dxa"/>
            <w:vAlign w:val="bottom"/>
            <w:tcBorders>
              <w:bottom w:val="single" w:sz="8" w:color="auto"/>
              <w:right w:val="single" w:sz="8" w:color="auto"/>
            </w:tcBorders>
            <w:gridSpan w:val="8"/>
            <w:vMerge w:val="continue"/>
            <w:shd w:val="clear" w:color="auto" w:fill="DBDBDB"/>
          </w:tcPr>
          <w:p>
            <w:pPr>
              <w:spacing w:after="0"/>
              <w:rPr>
                <w:sz w:val="7"/>
                <w:szCs w:val="7"/>
                <w:color w:val="auto"/>
              </w:rPr>
            </w:pPr>
          </w:p>
        </w:tc>
        <w:tc>
          <w:tcPr>
            <w:tcW w:w="640" w:type="dxa"/>
            <w:vAlign w:val="bottom"/>
            <w:tcBorders>
              <w:bottom w:val="single" w:sz="8" w:color="auto"/>
            </w:tcBorders>
            <w:shd w:val="clear" w:color="auto" w:fill="DBDBDB"/>
          </w:tcPr>
          <w:p>
            <w:pPr>
              <w:spacing w:after="0"/>
              <w:rPr>
                <w:sz w:val="7"/>
                <w:szCs w:val="7"/>
                <w:color w:val="auto"/>
              </w:rPr>
            </w:pPr>
          </w:p>
        </w:tc>
        <w:tc>
          <w:tcPr>
            <w:tcW w:w="1200" w:type="dxa"/>
            <w:vAlign w:val="bottom"/>
            <w:tcBorders>
              <w:bottom w:val="single" w:sz="8" w:color="auto"/>
            </w:tcBorders>
            <w:shd w:val="clear" w:color="auto" w:fill="DBDBDB"/>
          </w:tcPr>
          <w:p>
            <w:pPr>
              <w:spacing w:after="0"/>
              <w:rPr>
                <w:sz w:val="7"/>
                <w:szCs w:val="7"/>
                <w:color w:val="auto"/>
              </w:rPr>
            </w:pPr>
          </w:p>
        </w:tc>
        <w:tc>
          <w:tcPr>
            <w:tcW w:w="2200" w:type="dxa"/>
            <w:vAlign w:val="bottom"/>
            <w:tcBorders>
              <w:bottom w:val="single" w:sz="8" w:color="auto"/>
            </w:tcBorders>
            <w:shd w:val="clear" w:color="auto" w:fill="DBDBDB"/>
          </w:tcPr>
          <w:p>
            <w:pPr>
              <w:spacing w:after="0"/>
              <w:rPr>
                <w:sz w:val="7"/>
                <w:szCs w:val="7"/>
                <w:color w:val="auto"/>
              </w:rPr>
            </w:pPr>
          </w:p>
        </w:tc>
        <w:tc>
          <w:tcPr>
            <w:tcW w:w="1720" w:type="dxa"/>
            <w:vAlign w:val="bottom"/>
            <w:tcBorders>
              <w:bottom w:val="single" w:sz="8" w:color="auto"/>
              <w:right w:val="single" w:sz="8" w:color="auto"/>
            </w:tcBorders>
            <w:shd w:val="clear" w:color="auto" w:fill="DBDBDB"/>
          </w:tcPr>
          <w:p>
            <w:pPr>
              <w:spacing w:after="0"/>
              <w:rPr>
                <w:sz w:val="7"/>
                <w:szCs w:val="7"/>
                <w:color w:val="auto"/>
              </w:rPr>
            </w:pPr>
          </w:p>
        </w:tc>
        <w:tc>
          <w:tcPr>
            <w:tcW w:w="960" w:type="dxa"/>
            <w:vAlign w:val="bottom"/>
            <w:tcBorders>
              <w:bottom w:val="single" w:sz="8" w:color="auto"/>
              <w:right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97</w:t>
            </w:r>
          </w:p>
        </w:tc>
        <w:tc>
          <w:tcPr>
            <w:tcW w:w="3380" w:type="dxa"/>
            <w:vAlign w:val="bottom"/>
            <w:tcBorders>
              <w:right w:val="single" w:sz="8" w:color="auto"/>
            </w:tcBorders>
            <w:gridSpan w:val="21"/>
          </w:tcPr>
          <w:p>
            <w:pPr>
              <w:spacing w:after="0" w:line="182" w:lineRule="exact"/>
              <w:rPr>
                <w:sz w:val="20"/>
                <w:szCs w:val="20"/>
                <w:color w:val="auto"/>
              </w:rPr>
            </w:pPr>
            <w:r>
              <w:rPr>
                <w:rFonts w:ascii="Arial" w:cs="Arial" w:eastAsia="Arial" w:hAnsi="Arial"/>
                <w:sz w:val="18"/>
                <w:szCs w:val="18"/>
                <w:color w:val="0000FF"/>
              </w:rPr>
              <w:t>Texas Instruments Incorporated</w:t>
            </w: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9"/>
        </w:trPr>
        <w:tc>
          <w:tcPr>
            <w:tcW w:w="1140" w:type="dxa"/>
            <w:vAlign w:val="bottom"/>
            <w:tcBorders>
              <w:left w:val="single" w:sz="8" w:color="auto"/>
              <w:right w:val="single" w:sz="8" w:color="auto"/>
            </w:tcBorders>
          </w:tcPr>
          <w:p>
            <w:pPr>
              <w:spacing w:after="0"/>
              <w:rPr>
                <w:sz w:val="10"/>
                <w:szCs w:val="10"/>
                <w:color w:val="auto"/>
              </w:rPr>
            </w:pPr>
          </w:p>
        </w:tc>
        <w:tc>
          <w:tcPr>
            <w:tcW w:w="2520" w:type="dxa"/>
            <w:vAlign w:val="bottom"/>
            <w:tcBorders>
              <w:top w:val="single" w:sz="8" w:color="0000FF"/>
            </w:tcBorders>
            <w:gridSpan w:val="9"/>
            <w:vMerge w:val="restart"/>
          </w:tcPr>
          <w:p>
            <w:pPr>
              <w:spacing w:after="0" w:line="156" w:lineRule="exact"/>
              <w:rPr>
                <w:sz w:val="20"/>
                <w:szCs w:val="20"/>
                <w:color w:val="auto"/>
              </w:rPr>
            </w:pPr>
            <w:r>
              <w:rPr>
                <w:rFonts w:ascii="Arial" w:cs="Arial" w:eastAsia="Arial" w:hAnsi="Arial"/>
                <w:sz w:val="18"/>
                <w:szCs w:val="18"/>
                <w:color w:val="0000FF"/>
              </w:rPr>
              <w:t>Recoupment Policy</w:t>
            </w:r>
          </w:p>
        </w:tc>
        <w:tc>
          <w:tcPr>
            <w:tcW w:w="860" w:type="dxa"/>
            <w:vAlign w:val="bottom"/>
            <w:tcBorders>
              <w:right w:val="single" w:sz="8" w:color="auto"/>
            </w:tcBorders>
            <w:gridSpan w:val="12"/>
            <w:vMerge w:val="restart"/>
          </w:tcPr>
          <w:p>
            <w:pPr>
              <w:spacing w:after="0"/>
              <w:rPr>
                <w:sz w:val="10"/>
                <w:szCs w:val="10"/>
                <w:color w:val="auto"/>
              </w:rPr>
            </w:pPr>
          </w:p>
        </w:tc>
        <w:tc>
          <w:tcPr>
            <w:tcW w:w="6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40" w:type="dxa"/>
            <w:vAlign w:val="bottom"/>
            <w:tcBorders>
              <w:left w:val="single" w:sz="8" w:color="auto"/>
              <w:right w:val="single" w:sz="8" w:color="auto"/>
            </w:tcBorders>
          </w:tcPr>
          <w:p>
            <w:pPr>
              <w:spacing w:after="0"/>
              <w:rPr>
                <w:sz w:val="3"/>
                <w:szCs w:val="3"/>
                <w:color w:val="auto"/>
              </w:rPr>
            </w:pPr>
          </w:p>
        </w:tc>
        <w:tc>
          <w:tcPr>
            <w:tcW w:w="2520" w:type="dxa"/>
            <w:vAlign w:val="bottom"/>
            <w:gridSpan w:val="9"/>
            <w:vMerge w:val="continue"/>
          </w:tcPr>
          <w:p>
            <w:pPr>
              <w:spacing w:after="0"/>
              <w:rPr>
                <w:sz w:val="3"/>
                <w:szCs w:val="3"/>
                <w:color w:val="auto"/>
              </w:rPr>
            </w:pPr>
          </w:p>
        </w:tc>
        <w:tc>
          <w:tcPr>
            <w:tcW w:w="860" w:type="dxa"/>
            <w:vAlign w:val="bottom"/>
            <w:tcBorders>
              <w:right w:val="single" w:sz="8" w:color="auto"/>
            </w:tcBorders>
            <w:gridSpan w:val="12"/>
            <w:vMerge w:val="continue"/>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101.ins</w:t>
            </w:r>
          </w:p>
        </w:tc>
        <w:tc>
          <w:tcPr>
            <w:tcW w:w="3380" w:type="dxa"/>
            <w:vAlign w:val="bottom"/>
            <w:tcBorders>
              <w:bottom w:val="single" w:sz="8" w:color="auto"/>
              <w:right w:val="single" w:sz="8" w:color="auto"/>
            </w:tcBorders>
            <w:gridSpan w:val="21"/>
            <w:shd w:val="clear" w:color="auto" w:fill="DBDBDB"/>
          </w:tcPr>
          <w:p>
            <w:pPr>
              <w:spacing w:after="0"/>
              <w:rPr>
                <w:sz w:val="20"/>
                <w:szCs w:val="20"/>
                <w:color w:val="auto"/>
              </w:rPr>
            </w:pPr>
            <w:r>
              <w:rPr>
                <w:rFonts w:ascii="Arial" w:cs="Arial" w:eastAsia="Arial" w:hAnsi="Arial"/>
                <w:sz w:val="18"/>
                <w:szCs w:val="18"/>
                <w:color w:val="auto"/>
              </w:rPr>
              <w:t>Instance Document</w:t>
            </w:r>
          </w:p>
        </w:tc>
        <w:tc>
          <w:tcPr>
            <w:tcW w:w="6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101.sch</w:t>
            </w:r>
          </w:p>
        </w:tc>
        <w:tc>
          <w:tcPr>
            <w:tcW w:w="3380" w:type="dxa"/>
            <w:vAlign w:val="bottom"/>
            <w:tcBorders>
              <w:bottom w:val="single" w:sz="8" w:color="auto"/>
              <w:right w:val="single" w:sz="8" w:color="auto"/>
            </w:tcBorders>
            <w:gridSpan w:val="21"/>
          </w:tcPr>
          <w:p>
            <w:pPr>
              <w:spacing w:after="0"/>
              <w:rPr>
                <w:sz w:val="20"/>
                <w:szCs w:val="20"/>
                <w:color w:val="auto"/>
              </w:rPr>
            </w:pPr>
            <w:r>
              <w:rPr>
                <w:rFonts w:ascii="Arial" w:cs="Arial" w:eastAsia="Arial" w:hAnsi="Arial"/>
                <w:sz w:val="18"/>
                <w:szCs w:val="18"/>
                <w:color w:val="auto"/>
              </w:rPr>
              <w:t>XBRL Taxonomy Schema</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101.cal</w:t>
            </w:r>
          </w:p>
        </w:tc>
        <w:tc>
          <w:tcPr>
            <w:tcW w:w="3380" w:type="dxa"/>
            <w:vAlign w:val="bottom"/>
            <w:tcBorders>
              <w:bottom w:val="single" w:sz="8" w:color="auto"/>
              <w:right w:val="single" w:sz="8" w:color="auto"/>
            </w:tcBorders>
            <w:gridSpan w:val="21"/>
            <w:shd w:val="clear" w:color="auto" w:fill="DBDBDB"/>
          </w:tcPr>
          <w:p>
            <w:pPr>
              <w:spacing w:after="0"/>
              <w:rPr>
                <w:sz w:val="20"/>
                <w:szCs w:val="20"/>
                <w:color w:val="auto"/>
              </w:rPr>
            </w:pPr>
            <w:r>
              <w:rPr>
                <w:rFonts w:ascii="Arial" w:cs="Arial" w:eastAsia="Arial" w:hAnsi="Arial"/>
                <w:sz w:val="18"/>
                <w:szCs w:val="18"/>
                <w:color w:val="auto"/>
              </w:rPr>
              <w:t>XBRL Taxonomy Calculation Linkbase</w:t>
            </w:r>
          </w:p>
        </w:tc>
        <w:tc>
          <w:tcPr>
            <w:tcW w:w="6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101.def</w:t>
            </w:r>
          </w:p>
        </w:tc>
        <w:tc>
          <w:tcPr>
            <w:tcW w:w="3380" w:type="dxa"/>
            <w:vAlign w:val="bottom"/>
            <w:tcBorders>
              <w:bottom w:val="single" w:sz="8" w:color="auto"/>
              <w:right w:val="single" w:sz="8" w:color="auto"/>
            </w:tcBorders>
            <w:gridSpan w:val="21"/>
          </w:tcPr>
          <w:p>
            <w:pPr>
              <w:spacing w:after="0"/>
              <w:rPr>
                <w:sz w:val="20"/>
                <w:szCs w:val="20"/>
                <w:color w:val="auto"/>
              </w:rPr>
            </w:pPr>
            <w:r>
              <w:rPr>
                <w:rFonts w:ascii="Arial" w:cs="Arial" w:eastAsia="Arial" w:hAnsi="Arial"/>
                <w:sz w:val="18"/>
                <w:szCs w:val="18"/>
                <w:color w:val="auto"/>
              </w:rPr>
              <w:t>XBRL Taxonomy Definitions Document</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101.lab</w:t>
            </w:r>
          </w:p>
        </w:tc>
        <w:tc>
          <w:tcPr>
            <w:tcW w:w="3380" w:type="dxa"/>
            <w:vAlign w:val="bottom"/>
            <w:tcBorders>
              <w:bottom w:val="single" w:sz="8" w:color="auto"/>
              <w:right w:val="single" w:sz="8" w:color="auto"/>
            </w:tcBorders>
            <w:gridSpan w:val="21"/>
            <w:shd w:val="clear" w:color="auto" w:fill="DBDBDB"/>
          </w:tcPr>
          <w:p>
            <w:pPr>
              <w:spacing w:after="0"/>
              <w:rPr>
                <w:sz w:val="20"/>
                <w:szCs w:val="20"/>
                <w:color w:val="auto"/>
              </w:rPr>
            </w:pPr>
            <w:r>
              <w:rPr>
                <w:rFonts w:ascii="Arial" w:cs="Arial" w:eastAsia="Arial" w:hAnsi="Arial"/>
                <w:sz w:val="18"/>
                <w:szCs w:val="18"/>
                <w:color w:val="auto"/>
              </w:rPr>
              <w:t>XBRL Taxonomy Labels Linkbase</w:t>
            </w:r>
          </w:p>
        </w:tc>
        <w:tc>
          <w:tcPr>
            <w:tcW w:w="6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101.pre</w:t>
            </w:r>
          </w:p>
        </w:tc>
        <w:tc>
          <w:tcPr>
            <w:tcW w:w="3380" w:type="dxa"/>
            <w:vAlign w:val="bottom"/>
            <w:tcBorders>
              <w:bottom w:val="single" w:sz="8" w:color="auto"/>
              <w:right w:val="single" w:sz="8" w:color="auto"/>
            </w:tcBorders>
            <w:gridSpan w:val="21"/>
          </w:tcPr>
          <w:p>
            <w:pPr>
              <w:spacing w:after="0"/>
              <w:rPr>
                <w:sz w:val="20"/>
                <w:szCs w:val="20"/>
                <w:color w:val="auto"/>
              </w:rPr>
            </w:pPr>
            <w:r>
              <w:rPr>
                <w:rFonts w:ascii="Arial" w:cs="Arial" w:eastAsia="Arial" w:hAnsi="Arial"/>
                <w:sz w:val="18"/>
                <w:szCs w:val="18"/>
                <w:color w:val="auto"/>
              </w:rPr>
              <w:t>XBRL Taxonomy Presentation Linkbase</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shd w:val="clear" w:color="auto" w:fill="DBDBDB"/>
          </w:tcPr>
          <w:p>
            <w:pPr>
              <w:ind w:left="40"/>
              <w:spacing w:after="0" w:line="169" w:lineRule="exact"/>
              <w:rPr>
                <w:sz w:val="20"/>
                <w:szCs w:val="20"/>
                <w:color w:val="auto"/>
              </w:rPr>
            </w:pPr>
            <w:r>
              <w:rPr>
                <w:rFonts w:ascii="Arial" w:cs="Arial" w:eastAsia="Arial" w:hAnsi="Arial"/>
                <w:sz w:val="18"/>
                <w:szCs w:val="18"/>
                <w:b w:val="1"/>
                <w:bCs w:val="1"/>
                <w:color w:val="auto"/>
              </w:rPr>
              <w:t>104</w:t>
            </w:r>
          </w:p>
        </w:tc>
        <w:tc>
          <w:tcPr>
            <w:tcW w:w="3380" w:type="dxa"/>
            <w:vAlign w:val="bottom"/>
            <w:tcBorders>
              <w:right w:val="single" w:sz="8" w:color="auto"/>
            </w:tcBorders>
            <w:gridSpan w:val="21"/>
            <w:shd w:val="clear" w:color="auto" w:fill="DBDBDB"/>
          </w:tcPr>
          <w:p>
            <w:pPr>
              <w:spacing w:after="0" w:line="169" w:lineRule="exact"/>
              <w:rPr>
                <w:sz w:val="20"/>
                <w:szCs w:val="20"/>
                <w:color w:val="auto"/>
              </w:rPr>
            </w:pPr>
            <w:r>
              <w:rPr>
                <w:rFonts w:ascii="Arial" w:cs="Arial" w:eastAsia="Arial" w:hAnsi="Arial"/>
                <w:sz w:val="18"/>
                <w:szCs w:val="18"/>
                <w:color w:val="auto"/>
              </w:rPr>
              <w:t>Cover Page Interactive Data File</w:t>
            </w:r>
          </w:p>
        </w:tc>
        <w:tc>
          <w:tcPr>
            <w:tcW w:w="64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2200" w:type="dxa"/>
            <w:vAlign w:val="bottom"/>
            <w:shd w:val="clear" w:color="auto" w:fill="DBDBDB"/>
          </w:tcPr>
          <w:p>
            <w:pPr>
              <w:spacing w:after="0"/>
              <w:rPr>
                <w:sz w:val="14"/>
                <w:szCs w:val="14"/>
                <w:color w:val="auto"/>
              </w:rPr>
            </w:pPr>
          </w:p>
        </w:tc>
        <w:tc>
          <w:tcPr>
            <w:tcW w:w="1720" w:type="dxa"/>
            <w:vAlign w:val="bottom"/>
            <w:tcBorders>
              <w:right w:val="single" w:sz="8" w:color="auto"/>
            </w:tcBorders>
            <w:shd w:val="clear" w:color="auto" w:fill="DBDBDB"/>
          </w:tcPr>
          <w:p>
            <w:pPr>
              <w:spacing w:after="0"/>
              <w:rPr>
                <w:sz w:val="14"/>
                <w:szCs w:val="14"/>
                <w:color w:val="auto"/>
              </w:rPr>
            </w:pPr>
          </w:p>
        </w:tc>
        <w:tc>
          <w:tcPr>
            <w:tcW w:w="96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shd w:val="clear" w:color="auto" w:fill="DBDBDB"/>
          </w:tcPr>
          <w:p>
            <w:pPr>
              <w:spacing w:after="0"/>
              <w:rPr>
                <w:sz w:val="15"/>
                <w:szCs w:val="15"/>
                <w:color w:val="auto"/>
              </w:rPr>
            </w:pPr>
          </w:p>
        </w:tc>
        <w:tc>
          <w:tcPr>
            <w:tcW w:w="3380" w:type="dxa"/>
            <w:vAlign w:val="bottom"/>
            <w:tcBorders>
              <w:right w:val="single" w:sz="8" w:color="auto"/>
            </w:tcBorders>
            <w:gridSpan w:val="21"/>
            <w:shd w:val="clear" w:color="auto" w:fill="DBDBDB"/>
          </w:tcPr>
          <w:p>
            <w:pPr>
              <w:spacing w:after="0" w:line="183" w:lineRule="exact"/>
              <w:rPr>
                <w:sz w:val="20"/>
                <w:szCs w:val="20"/>
                <w:color w:val="auto"/>
              </w:rPr>
            </w:pPr>
            <w:r>
              <w:rPr>
                <w:rFonts w:ascii="Arial" w:cs="Arial" w:eastAsia="Arial" w:hAnsi="Arial"/>
                <w:sz w:val="18"/>
                <w:szCs w:val="18"/>
                <w:color w:val="auto"/>
              </w:rPr>
              <w:t>(embedded within the Inline XBRL</w:t>
            </w:r>
          </w:p>
        </w:tc>
        <w:tc>
          <w:tcPr>
            <w:tcW w:w="64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2200" w:type="dxa"/>
            <w:vAlign w:val="bottom"/>
            <w:shd w:val="clear" w:color="auto" w:fill="DBDBDB"/>
          </w:tcPr>
          <w:p>
            <w:pPr>
              <w:spacing w:after="0"/>
              <w:rPr>
                <w:sz w:val="15"/>
                <w:szCs w:val="15"/>
                <w:color w:val="auto"/>
              </w:rPr>
            </w:pPr>
          </w:p>
        </w:tc>
        <w:tc>
          <w:tcPr>
            <w:tcW w:w="1720" w:type="dxa"/>
            <w:vAlign w:val="bottom"/>
            <w:tcBorders>
              <w:right w:val="single" w:sz="8" w:color="auto"/>
            </w:tcBorders>
            <w:shd w:val="clear" w:color="auto" w:fill="DBDBDB"/>
          </w:tcPr>
          <w:p>
            <w:pPr>
              <w:spacing w:after="0"/>
              <w:rPr>
                <w:sz w:val="15"/>
                <w:szCs w:val="15"/>
                <w:color w:val="auto"/>
              </w:rPr>
            </w:pPr>
          </w:p>
        </w:tc>
        <w:tc>
          <w:tcPr>
            <w:tcW w:w="960" w:type="dxa"/>
            <w:vAlign w:val="bottom"/>
            <w:tcBorders>
              <w:right w:val="single" w:sz="8" w:color="auto"/>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40" w:type="dxa"/>
            <w:vAlign w:val="bottom"/>
            <w:tcBorders>
              <w:left w:val="single" w:sz="8" w:color="auto"/>
              <w:bottom w:val="single" w:sz="8" w:color="auto"/>
              <w:right w:val="single" w:sz="8" w:color="auto"/>
            </w:tcBorders>
            <w:shd w:val="clear" w:color="auto" w:fill="DBDBDB"/>
          </w:tcPr>
          <w:p>
            <w:pPr>
              <w:spacing w:after="0"/>
              <w:rPr>
                <w:sz w:val="20"/>
                <w:szCs w:val="20"/>
                <w:color w:val="auto"/>
              </w:rPr>
            </w:pPr>
          </w:p>
        </w:tc>
        <w:tc>
          <w:tcPr>
            <w:tcW w:w="3380" w:type="dxa"/>
            <w:vAlign w:val="bottom"/>
            <w:tcBorders>
              <w:bottom w:val="single" w:sz="8" w:color="auto"/>
              <w:right w:val="single" w:sz="8" w:color="auto"/>
            </w:tcBorders>
            <w:gridSpan w:val="21"/>
            <w:shd w:val="clear" w:color="auto" w:fill="DBDBDB"/>
          </w:tcPr>
          <w:p>
            <w:pPr>
              <w:spacing w:after="0"/>
              <w:rPr>
                <w:sz w:val="20"/>
                <w:szCs w:val="20"/>
                <w:color w:val="auto"/>
              </w:rPr>
            </w:pPr>
            <w:r>
              <w:rPr>
                <w:rFonts w:ascii="Arial" w:cs="Arial" w:eastAsia="Arial" w:hAnsi="Arial"/>
                <w:sz w:val="18"/>
                <w:szCs w:val="18"/>
                <w:color w:val="auto"/>
              </w:rPr>
              <w:t>document)</w:t>
            </w:r>
          </w:p>
        </w:tc>
        <w:tc>
          <w:tcPr>
            <w:tcW w:w="64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spacing w:after="0"/>
              <w:rPr>
                <w:sz w:val="20"/>
                <w:szCs w:val="20"/>
                <w:color w:val="auto"/>
              </w:rPr>
            </w:pPr>
          </w:p>
        </w:tc>
        <w:tc>
          <w:tcPr>
            <w:tcW w:w="220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right w:val="single" w:sz="8" w:color="auto"/>
            </w:tcBorders>
            <w:shd w:val="clear" w:color="auto" w:fill="DBDBDB"/>
          </w:tcPr>
          <w:p>
            <w:pPr>
              <w:spacing w:after="0"/>
              <w:rPr>
                <w:sz w:val="20"/>
                <w:szCs w:val="20"/>
                <w:color w:val="auto"/>
              </w:rPr>
            </w:pPr>
          </w:p>
        </w:tc>
        <w:tc>
          <w:tcPr>
            <w:tcW w:w="960" w:type="dxa"/>
            <w:vAlign w:val="bottom"/>
            <w:tcBorders>
              <w:bottom w:val="single" w:sz="8" w:color="auto"/>
              <w:right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8"/>
          <w:szCs w:val="18"/>
          <w:color w:val="auto"/>
        </w:rPr>
        <w:t>Management compensation plans and arrangements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60" w:right="30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44"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60" w:right="220" w:hanging="328"/>
        <w:spacing w:after="0" w:line="268"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17" w:lineRule="exact"/>
        <w:rPr>
          <w:rFonts w:ascii="Arial" w:cs="Arial" w:eastAsia="Arial" w:hAnsi="Arial"/>
          <w:sz w:val="18"/>
          <w:szCs w:val="18"/>
          <w:color w:val="auto"/>
        </w:rPr>
      </w:pPr>
    </w:p>
    <w:p>
      <w:pPr>
        <w:ind w:left="660" w:right="116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jc w:val="both"/>
        <w:ind w:left="660" w:right="64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60" w:right="280" w:hanging="328"/>
        <w:spacing w:after="0" w:line="268"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17780</wp:posOffset>
            </wp:positionV>
            <wp:extent cx="29571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 w:lineRule="exact"/>
        <w:rPr>
          <w:sz w:val="20"/>
          <w:szCs w:val="20"/>
          <w:color w:val="auto"/>
        </w:rPr>
      </w:pPr>
    </w:p>
    <w:p>
      <w:pPr>
        <w:jc w:val="center"/>
        <w:ind w:left="648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jc w:val="center"/>
        <w:ind w:left="64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66" w:name="page67"/>
    <w:bookmarkEnd w:id="66"/>
    <w:p>
      <w:pPr>
        <w:spacing w:after="0" w:line="255" w:lineRule="auto"/>
        <w:rPr>
          <w:sz w:val="20"/>
          <w:szCs w:val="20"/>
          <w:color w:val="auto"/>
        </w:rPr>
      </w:pPr>
      <w:r>
        <w:rPr>
          <w:rFonts w:ascii="Arial" w:cs="Arial" w:eastAsia="Arial" w:hAnsi="Arial"/>
          <w:sz w:val="18"/>
          <w:szCs w:val="18"/>
          <w:color w:val="auto"/>
        </w:rPr>
        <w:t>Each person whose signature appears below constitutes and appoints each of Haviv Ilan, Rafael R. Lizardi, Julie C. Knecht and Cynthia Hoff Trochu,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2023,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the 2nd day of February 2024.</w:t>
      </w:r>
    </w:p>
    <w:p>
      <w:pPr>
        <w:sectPr>
          <w:pgSz w:w="11900" w:h="16838" w:orient="portrait"/>
          <w:cols w:equalWidth="0" w:num="1">
            <w:col w:w="11200"/>
          </w:cols>
          <w:pgMar w:left="320" w:top="985" w:right="379" w:bottom="1440" w:gutter="0" w:footer="0" w:header="0"/>
        </w:sectPr>
      </w:pPr>
    </w:p>
    <w:p>
      <w:pPr>
        <w:spacing w:after="0" w:line="193"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 Mark A.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 xml:space="preserve">Mark A. Blinn, </w:t>
      </w:r>
      <w:r>
        <w:rPr>
          <w:rFonts w:ascii="Arial" w:cs="Arial" w:eastAsia="Arial" w:hAnsi="Arial"/>
          <w:sz w:val="18"/>
          <w:szCs w:val="18"/>
          <w:color w:val="auto"/>
        </w:rPr>
        <w:t>Director</w:t>
      </w:r>
    </w:p>
    <w:p>
      <w:pPr>
        <w:spacing w:after="0" w:line="293"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 Janet F.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 xml:space="preserve">Janet F. Clark, </w:t>
      </w:r>
      <w:r>
        <w:rPr>
          <w:rFonts w:ascii="Arial" w:cs="Arial" w:eastAsia="Arial" w:hAnsi="Arial"/>
          <w:sz w:val="18"/>
          <w:szCs w:val="18"/>
          <w:color w:val="auto"/>
        </w:rPr>
        <w:t>Director</w:t>
      </w:r>
    </w:p>
    <w:p>
      <w:pPr>
        <w:spacing w:after="0" w:line="293"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 Martin S. Craighead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 xml:space="preserve">Martin S. Craighead, </w:t>
      </w:r>
      <w:r>
        <w:rPr>
          <w:rFonts w:ascii="Arial" w:cs="Arial" w:eastAsia="Arial" w:hAnsi="Arial"/>
          <w:sz w:val="18"/>
          <w:szCs w:val="18"/>
          <w:color w:val="auto"/>
        </w:rPr>
        <w:t>Director</w:t>
      </w:r>
    </w:p>
    <w:p>
      <w:pPr>
        <w:spacing w:after="0" w:line="293"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 Jean M. Hobby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 xml:space="preserve">Jean M. Hobby, </w:t>
      </w:r>
      <w:r>
        <w:rPr>
          <w:rFonts w:ascii="Arial" w:cs="Arial" w:eastAsia="Arial" w:hAnsi="Arial"/>
          <w:sz w:val="18"/>
          <w:szCs w:val="18"/>
          <w:color w:val="auto"/>
        </w:rPr>
        <w:t>Director</w:t>
      </w:r>
    </w:p>
    <w:p>
      <w:pPr>
        <w:spacing w:after="0" w:line="293"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 Pamela 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16"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 xml:space="preserve">Pamela H. Patsley, </w:t>
      </w:r>
      <w:r>
        <w:rPr>
          <w:rFonts w:ascii="Arial" w:cs="Arial" w:eastAsia="Arial" w:hAnsi="Arial"/>
          <w:sz w:val="18"/>
          <w:szCs w:val="18"/>
          <w:color w:val="auto"/>
        </w:rPr>
        <w:t>Director</w:t>
      </w:r>
    </w:p>
    <w:p>
      <w:pPr>
        <w:spacing w:after="0" w:line="29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 xml:space="preserve">Richard K. Templeton, </w:t>
      </w:r>
      <w:r>
        <w:rPr>
          <w:rFonts w:ascii="Arial" w:cs="Arial" w:eastAsia="Arial" w:hAnsi="Arial"/>
          <w:sz w:val="18"/>
          <w:szCs w:val="18"/>
          <w:color w:val="auto"/>
        </w:rPr>
        <w:t>Director and</w:t>
      </w:r>
    </w:p>
    <w:p>
      <w:pPr>
        <w:ind w:left="1880"/>
        <w:spacing w:after="0"/>
        <w:rPr>
          <w:sz w:val="20"/>
          <w:szCs w:val="20"/>
          <w:color w:val="auto"/>
        </w:rPr>
      </w:pPr>
      <w:r>
        <w:rPr>
          <w:rFonts w:ascii="Arial" w:cs="Arial" w:eastAsia="Arial" w:hAnsi="Arial"/>
          <w:sz w:val="18"/>
          <w:szCs w:val="18"/>
          <w:color w:val="auto"/>
        </w:rPr>
        <w:t>Chairman of the Board</w:t>
      </w:r>
    </w:p>
    <w:p>
      <w:pPr>
        <w:spacing w:after="0" w:line="28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14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 xml:space="preserve">Rafael R. Lizardi, </w:t>
      </w:r>
      <w:r>
        <w:rPr>
          <w:rFonts w:ascii="Arial" w:cs="Arial" w:eastAsia="Arial" w:hAnsi="Arial"/>
          <w:sz w:val="17"/>
          <w:szCs w:val="17"/>
          <w:color w:val="auto"/>
        </w:rPr>
        <w:t>Senior Vice President and</w:t>
      </w:r>
    </w:p>
    <w:p>
      <w:pPr>
        <w:ind w:left="19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17780</wp:posOffset>
            </wp:positionV>
            <wp:extent cx="3522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 xml:space="preserve">Todd M. Bluedorn, </w:t>
      </w:r>
      <w:r>
        <w:rPr>
          <w:rFonts w:ascii="Arial" w:cs="Arial" w:eastAsia="Arial" w:hAnsi="Arial"/>
          <w:sz w:val="18"/>
          <w:szCs w:val="18"/>
          <w:color w:val="auto"/>
        </w:rPr>
        <w:t>Director</w:t>
      </w:r>
    </w:p>
    <w:p>
      <w:pPr>
        <w:spacing w:after="0" w:line="293"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17780</wp:posOffset>
            </wp:positionV>
            <wp:extent cx="35229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 xml:space="preserve">Carrie S. Cox, </w:t>
      </w:r>
      <w:r>
        <w:rPr>
          <w:rFonts w:ascii="Arial" w:cs="Arial" w:eastAsia="Arial" w:hAnsi="Arial"/>
          <w:sz w:val="18"/>
          <w:szCs w:val="18"/>
          <w:color w:val="auto"/>
        </w:rPr>
        <w:t>Director</w:t>
      </w:r>
    </w:p>
    <w:p>
      <w:pPr>
        <w:spacing w:after="0" w:line="293"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Curtis C.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17780</wp:posOffset>
            </wp:positionV>
            <wp:extent cx="35229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Curtis C. Farmer</w:t>
      </w:r>
      <w:r>
        <w:rPr>
          <w:rFonts w:ascii="Arial" w:cs="Arial" w:eastAsia="Arial" w:hAnsi="Arial"/>
          <w:sz w:val="18"/>
          <w:szCs w:val="18"/>
          <w:color w:val="auto"/>
        </w:rPr>
        <w:t>, Director</w:t>
      </w:r>
    </w:p>
    <w:p>
      <w:pPr>
        <w:spacing w:after="0" w:line="293"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17780</wp:posOffset>
            </wp:positionV>
            <wp:extent cx="35229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 xml:space="preserve">Ronald Kirk, </w:t>
      </w:r>
      <w:r>
        <w:rPr>
          <w:rFonts w:ascii="Arial" w:cs="Arial" w:eastAsia="Arial" w:hAnsi="Arial"/>
          <w:sz w:val="18"/>
          <w:szCs w:val="18"/>
          <w:color w:val="auto"/>
        </w:rPr>
        <w:t>Director</w:t>
      </w:r>
    </w:p>
    <w:p>
      <w:pPr>
        <w:spacing w:after="0" w:line="293"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/s/ Robert E.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17780</wp:posOffset>
            </wp:positionV>
            <wp:extent cx="3522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 xml:space="preserve">Robert E. Sanchez, </w:t>
      </w:r>
      <w:r>
        <w:rPr>
          <w:rFonts w:ascii="Arial" w:cs="Arial" w:eastAsia="Arial" w:hAnsi="Arial"/>
          <w:sz w:val="18"/>
          <w:szCs w:val="18"/>
          <w:color w:val="auto"/>
        </w:rPr>
        <w:t>Director</w:t>
      </w:r>
    </w:p>
    <w:p>
      <w:pPr>
        <w:spacing w:after="0" w:line="29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17780</wp:posOffset>
            </wp:positionV>
            <wp:extent cx="35229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Haviv Ilan, </w:t>
      </w:r>
      <w:r>
        <w:rPr>
          <w:rFonts w:ascii="Arial" w:cs="Arial" w:eastAsia="Arial" w:hAnsi="Arial"/>
          <w:sz w:val="18"/>
          <w:szCs w:val="18"/>
          <w:color w:val="auto"/>
        </w:rPr>
        <w:t>Director, President and</w:t>
      </w:r>
    </w:p>
    <w:p>
      <w:pPr>
        <w:ind w:left="540"/>
        <w:spacing w:after="0"/>
        <w:rPr>
          <w:sz w:val="20"/>
          <w:szCs w:val="20"/>
          <w:color w:val="auto"/>
        </w:rPr>
      </w:pPr>
      <w:r>
        <w:rPr>
          <w:rFonts w:ascii="Arial" w:cs="Arial" w:eastAsia="Arial" w:hAnsi="Arial"/>
          <w:sz w:val="18"/>
          <w:szCs w:val="18"/>
          <w:color w:val="auto"/>
        </w:rPr>
        <w:t>Chief Executive Officer</w:t>
      </w:r>
    </w:p>
    <w:p>
      <w:pPr>
        <w:spacing w:after="0" w:line="2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 Julie C. Knecht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17780</wp:posOffset>
            </wp:positionV>
            <wp:extent cx="3522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Julie C. Knecht, </w:t>
      </w:r>
      <w:r>
        <w:rPr>
          <w:rFonts w:ascii="Arial" w:cs="Arial" w:eastAsia="Arial" w:hAnsi="Arial"/>
          <w:sz w:val="17"/>
          <w:szCs w:val="17"/>
          <w:color w:val="auto"/>
        </w:rPr>
        <w:t>Vice President and</w:t>
      </w:r>
    </w:p>
    <w:p>
      <w:pPr>
        <w:ind w:left="4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ectPr>
          <w:pgSz w:w="11900" w:h="16838" w:orient="portrait"/>
          <w:cols w:equalWidth="0" w:num="2">
            <w:col w:w="6260" w:space="720"/>
            <w:col w:w="4220"/>
          </w:cols>
          <w:pgMar w:left="320" w:top="98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00"/>
          </w:cols>
          <w:pgMar w:left="320" w:top="985" w:right="37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22"/>
          <w:szCs w:val="22"/>
          <w:u w:val="single" w:color="auto"/>
          <w:color w:val="auto"/>
        </w:rPr>
        <w:t>Exhibit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Incorporated</w:t>
      </w:r>
    </w:p>
    <w:p>
      <w:pPr>
        <w:jc w:val="center"/>
        <w:spacing w:after="0" w:line="204" w:lineRule="auto"/>
        <w:rPr>
          <w:sz w:val="20"/>
          <w:szCs w:val="20"/>
          <w:color w:val="auto"/>
        </w:rPr>
      </w:pPr>
      <w:r>
        <w:rPr>
          <w:rFonts w:ascii="Arial" w:cs="Arial" w:eastAsia="Arial" w:hAnsi="Arial"/>
          <w:sz w:val="22"/>
          <w:szCs w:val="22"/>
          <w:b w:val="1"/>
          <w:bCs w:val="1"/>
          <w:color w:val="auto"/>
        </w:rPr>
        <w:t>Nonqualified Stock Option Award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No. 2 (Officers)</w:t>
      </w:r>
    </w:p>
    <w:p>
      <w:pPr>
        <w:spacing w:after="0" w:line="18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Your award of options (the “Option”) is subject to the following terms and conditions in this Nonqualified Stock Option Award Agreement, including any additional terms and conditions for your country set forth in the appendix attached hereto (the “Appendix”), and any other exhibits attached hereto (collectively, the “Agreement”). Your acceptance of the Option is required within 120 days of the effective date of grant of this Option, as set forth in the notice of grant to which this Agreement is attached (the “Grant Date”) and in which the number of shares under the Option and exercise schedule is communicated to you in writing by the Company or its designated stock plan service provider (the “Grant Notice”).</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2"/>
          <w:szCs w:val="22"/>
          <w:b w:val="1"/>
          <w:bCs w:val="1"/>
          <w:color w:val="auto"/>
        </w:rPr>
        <w:t xml:space="preserve">If you do not provide such acceptance within 120 days of the Grant Date, you will be deemed to have accepted your Option on the terms and conditions set forth herein. </w:t>
      </w:r>
      <w:r>
        <w:rPr>
          <w:rFonts w:ascii="Arial" w:cs="Arial" w:eastAsia="Arial" w:hAnsi="Arial"/>
          <w:sz w:val="22"/>
          <w:szCs w:val="22"/>
          <w:color w:val="auto"/>
        </w:rPr>
        <w:t>If you wish to decline this Option, you must</w:t>
      </w:r>
      <w:r>
        <w:rPr>
          <w:rFonts w:ascii="Arial" w:cs="Arial" w:eastAsia="Arial" w:hAnsi="Arial"/>
          <w:sz w:val="22"/>
          <w:szCs w:val="22"/>
          <w:b w:val="1"/>
          <w:bCs w:val="1"/>
          <w:color w:val="auto"/>
        </w:rPr>
        <w:t xml:space="preserve"> </w:t>
      </w:r>
      <w:r>
        <w:rPr>
          <w:rFonts w:ascii="Arial" w:cs="Arial" w:eastAsia="Arial" w:hAnsi="Arial"/>
          <w:sz w:val="22"/>
          <w:szCs w:val="22"/>
          <w:color w:val="auto"/>
        </w:rPr>
        <w:t>affirmatively notify the Company or the stock plan service provider of your choice to decline within 120 days of the Grant Date. Your choice to decline is irrevocable.</w:t>
      </w:r>
    </w:p>
    <w:p>
      <w:pPr>
        <w:spacing w:after="0" w:line="177" w:lineRule="exact"/>
        <w:rPr>
          <w:sz w:val="20"/>
          <w:szCs w:val="20"/>
          <w:color w:val="auto"/>
        </w:rPr>
      </w:pPr>
    </w:p>
    <w:p>
      <w:pPr>
        <w:jc w:val="both"/>
        <w:ind w:left="340" w:hanging="332"/>
        <w:spacing w:after="0" w:line="217" w:lineRule="auto"/>
        <w:tabs>
          <w:tab w:leader="none" w:pos="45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Long-Term Incentive Plan</w:t>
      </w:r>
      <w:r>
        <w:rPr>
          <w:rFonts w:ascii="Arial" w:cs="Arial" w:eastAsia="Arial" w:hAnsi="Arial"/>
          <w:sz w:val="22"/>
          <w:szCs w:val="22"/>
          <w:color w:val="auto"/>
        </w:rPr>
        <w:t>. This Option is subject to all of the terms and conditions of the most recently approved Texas Instruments Long-Term Incentive Plan in effect as of the Grant Date (the “Plan”). In the event there is a conflict between the terms and conditions of the Plan and those of this Option, the terms of the Plan shall govern and be determinative. The capitalized terms in this Agreement have the meaning stated in the Plan, except as otherwise specified.</w:t>
      </w:r>
    </w:p>
    <w:p>
      <w:pPr>
        <w:spacing w:after="0" w:line="179" w:lineRule="exact"/>
        <w:rPr>
          <w:rFonts w:ascii="Arial" w:cs="Arial" w:eastAsia="Arial" w:hAnsi="Arial"/>
          <w:sz w:val="22"/>
          <w:szCs w:val="22"/>
          <w:color w:val="auto"/>
        </w:rPr>
      </w:pPr>
    </w:p>
    <w:p>
      <w:pPr>
        <w:jc w:val="both"/>
        <w:ind w:left="340" w:hanging="332"/>
        <w:spacing w:after="0" w:line="226" w:lineRule="auto"/>
        <w:tabs>
          <w:tab w:leader="none" w:pos="45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Exercisability</w:t>
      </w:r>
      <w:r>
        <w:rPr>
          <w:rFonts w:ascii="Arial" w:cs="Arial" w:eastAsia="Arial" w:hAnsi="Arial"/>
          <w:sz w:val="22"/>
          <w:szCs w:val="22"/>
          <w:color w:val="auto"/>
        </w:rPr>
        <w:t>. During the Option term, your Option may be exercised and shares purchased at any time or times in accordance with the exercise schedule stated in the Grant Notice (each date, an “Exercise Date,” or collectively the “Exercise Dates”).</w:t>
      </w:r>
    </w:p>
    <w:p>
      <w:pPr>
        <w:spacing w:after="0" w:line="176" w:lineRule="exact"/>
        <w:rPr>
          <w:sz w:val="20"/>
          <w:szCs w:val="20"/>
          <w:color w:val="auto"/>
        </w:rPr>
      </w:pPr>
    </w:p>
    <w:p>
      <w:pPr>
        <w:ind w:left="340"/>
        <w:spacing w:after="0" w:line="236" w:lineRule="auto"/>
        <w:rPr>
          <w:sz w:val="20"/>
          <w:szCs w:val="20"/>
          <w:color w:val="auto"/>
        </w:rPr>
      </w:pPr>
      <w:r>
        <w:rPr>
          <w:rFonts w:ascii="Arial" w:cs="Arial" w:eastAsia="Arial" w:hAnsi="Arial"/>
          <w:sz w:val="22"/>
          <w:szCs w:val="22"/>
          <w:color w:val="auto"/>
        </w:rPr>
        <w:t>Except as set forth in this Agreement, the Option will be exercisable through the tenth anniversary of the Grant Date.</w:t>
      </w:r>
    </w:p>
    <w:p>
      <w:pPr>
        <w:spacing w:after="0" w:line="178" w:lineRule="exact"/>
        <w:rPr>
          <w:sz w:val="20"/>
          <w:szCs w:val="20"/>
          <w:color w:val="auto"/>
        </w:rPr>
      </w:pPr>
    </w:p>
    <w:p>
      <w:pPr>
        <w:ind w:left="340" w:hanging="332"/>
        <w:spacing w:after="0" w:line="236" w:lineRule="auto"/>
        <w:tabs>
          <w:tab w:leader="none" w:pos="331"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The effect of termination of employment from the Company or any Affiliate will be as follows:</w:t>
      </w:r>
    </w:p>
    <w:p>
      <w:pPr>
        <w:spacing w:after="0" w:line="177" w:lineRule="exact"/>
        <w:rPr>
          <w:rFonts w:ascii="Arial" w:cs="Arial" w:eastAsia="Arial" w:hAnsi="Arial"/>
          <w:sz w:val="22"/>
          <w:szCs w:val="22"/>
          <w:color w:val="auto"/>
        </w:rPr>
      </w:pPr>
    </w:p>
    <w:p>
      <w:pPr>
        <w:jc w:val="both"/>
        <w:ind w:left="820" w:hanging="488"/>
        <w:spacing w:after="0" w:line="226" w:lineRule="auto"/>
        <w:tabs>
          <w:tab w:leader="none" w:pos="838"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The Option will be canceled immediately upon termination. “Cause” in this Agreement shall be determined within the Company’s sole discretion, which shall not be applied arbitrarily or capriciously.</w:t>
      </w:r>
    </w:p>
    <w:p>
      <w:pPr>
        <w:spacing w:after="0" w:line="176" w:lineRule="exact"/>
        <w:rPr>
          <w:rFonts w:ascii="Arial" w:cs="Arial" w:eastAsia="Arial" w:hAnsi="Arial"/>
          <w:sz w:val="22"/>
          <w:szCs w:val="22"/>
          <w:color w:val="auto"/>
        </w:rPr>
      </w:pPr>
    </w:p>
    <w:p>
      <w:pPr>
        <w:jc w:val="both"/>
        <w:ind w:left="820" w:hanging="488"/>
        <w:spacing w:after="0" w:line="217" w:lineRule="auto"/>
        <w:tabs>
          <w:tab w:leader="none" w:pos="851"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Termination due to death or permanent disability</w:t>
      </w:r>
      <w:r>
        <w:rPr>
          <w:rFonts w:ascii="Arial" w:cs="Arial" w:eastAsia="Arial" w:hAnsi="Arial"/>
          <w:sz w:val="22"/>
          <w:szCs w:val="22"/>
          <w:color w:val="auto"/>
        </w:rPr>
        <w:t>. The Option will continue to full term, becoming exercisable per the Grant Notice, subject to the other terms and conditions of this Agreement, and shares will be issued to you or to your personal representatives, heirs, legatees or distributees, as applicable, at such times and in such number and manner as if you were still an employee of the Company or any Affiliate on each Exercise Date.</w:t>
      </w:r>
    </w:p>
    <w:p>
      <w:pPr>
        <w:spacing w:after="0" w:line="179" w:lineRule="exact"/>
        <w:rPr>
          <w:rFonts w:ascii="Arial" w:cs="Arial" w:eastAsia="Arial" w:hAnsi="Arial"/>
          <w:sz w:val="22"/>
          <w:szCs w:val="22"/>
          <w:color w:val="auto"/>
        </w:rPr>
      </w:pPr>
    </w:p>
    <w:p>
      <w:pPr>
        <w:jc w:val="both"/>
        <w:ind w:left="820" w:hanging="488"/>
        <w:spacing w:after="0" w:line="237" w:lineRule="auto"/>
        <w:tabs>
          <w:tab w:leader="none" w:pos="866" w:val="left"/>
        </w:tabs>
        <w:numPr>
          <w:ilvl w:val="1"/>
          <w:numId w:val="36"/>
        </w:numPr>
        <w:rPr>
          <w:rFonts w:ascii="Arial" w:cs="Arial" w:eastAsia="Arial" w:hAnsi="Arial"/>
          <w:sz w:val="21"/>
          <w:szCs w:val="21"/>
          <w:color w:val="auto"/>
        </w:rPr>
      </w:pPr>
      <w:r>
        <w:rPr>
          <w:rFonts w:ascii="Arial" w:cs="Arial" w:eastAsia="Arial" w:hAnsi="Arial"/>
          <w:sz w:val="21"/>
          <w:szCs w:val="21"/>
          <w:u w:val="single" w:color="auto"/>
          <w:color w:val="auto"/>
        </w:rPr>
        <w:t>Termination (except for Cause), at least six months after the Grant Date, when you are Retirement Eligible</w:t>
      </w:r>
      <w:r>
        <w:rPr>
          <w:rFonts w:ascii="Arial" w:cs="Arial" w:eastAsia="Arial" w:hAnsi="Arial"/>
          <w:sz w:val="21"/>
          <w:szCs w:val="21"/>
          <w:color w:val="auto"/>
        </w:rPr>
        <w:t>. The Option will continue to full term, becoming exercisable per the Exercise Dates. The term “Retirement Eligible” means (i) at least 55 years of age with at least 10 years of service (measured from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368970v1</w:t>
      </w:r>
    </w:p>
    <w:p>
      <w:pPr>
        <w:sectPr>
          <w:pgSz w:w="11900" w:h="16838" w:orient="portrait"/>
          <w:cols w:equalWidth="0" w:num="1">
            <w:col w:w="11240"/>
          </w:cols>
          <w:pgMar w:left="320" w:top="127" w:right="339" w:bottom="1440" w:gutter="0" w:footer="0" w:header="0"/>
        </w:sectPr>
      </w:pPr>
    </w:p>
    <w:bookmarkStart w:id="68" w:name="page69"/>
    <w:bookmarkEnd w:id="68"/>
    <w:p>
      <w:pPr>
        <w:ind w:left="820"/>
        <w:spacing w:after="0" w:line="236" w:lineRule="auto"/>
        <w:rPr>
          <w:sz w:val="20"/>
          <w:szCs w:val="20"/>
          <w:color w:val="auto"/>
        </w:rPr>
      </w:pPr>
      <w:r>
        <w:rPr>
          <w:rFonts w:ascii="Arial" w:cs="Arial" w:eastAsia="Arial" w:hAnsi="Arial"/>
          <w:sz w:val="22"/>
          <w:szCs w:val="22"/>
          <w:color w:val="auto"/>
        </w:rPr>
        <w:t>service date as shown on the Company’s global human resources database) with the Company or any Affiliate or (ii) at least 65 years of age.</w:t>
      </w:r>
    </w:p>
    <w:p>
      <w:pPr>
        <w:spacing w:after="0" w:line="178" w:lineRule="exact"/>
        <w:rPr>
          <w:sz w:val="20"/>
          <w:szCs w:val="20"/>
          <w:color w:val="auto"/>
        </w:rPr>
      </w:pPr>
    </w:p>
    <w:p>
      <w:pPr>
        <w:jc w:val="both"/>
        <w:ind w:left="820" w:hanging="488"/>
        <w:spacing w:after="0" w:line="226" w:lineRule="auto"/>
        <w:tabs>
          <w:tab w:leader="none" w:pos="851"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Involuntary Termination (except for Cause) within 24 months after a Change in Control</w:t>
      </w:r>
      <w:r>
        <w:rPr>
          <w:rFonts w:ascii="Arial" w:cs="Arial" w:eastAsia="Arial" w:hAnsi="Arial"/>
          <w:sz w:val="22"/>
          <w:szCs w:val="22"/>
          <w:color w:val="auto"/>
        </w:rPr>
        <w:t>. If you experience an Involuntary Termination within 24 months after a Change in Control, the Option will become fully exercisable as described in Section 11(h) of the Plan.</w:t>
      </w:r>
    </w:p>
    <w:p>
      <w:pPr>
        <w:spacing w:after="0" w:line="176" w:lineRule="exact"/>
        <w:rPr>
          <w:rFonts w:ascii="Arial" w:cs="Arial" w:eastAsia="Arial" w:hAnsi="Arial"/>
          <w:sz w:val="22"/>
          <w:szCs w:val="22"/>
          <w:color w:val="auto"/>
        </w:rPr>
      </w:pPr>
    </w:p>
    <w:p>
      <w:pPr>
        <w:jc w:val="both"/>
        <w:ind w:left="820" w:hanging="488"/>
        <w:spacing w:after="0" w:line="215" w:lineRule="auto"/>
        <w:tabs>
          <w:tab w:leader="none" w:pos="993"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Termination under other circumstances</w:t>
      </w:r>
      <w:r>
        <w:rPr>
          <w:rFonts w:ascii="Arial" w:cs="Arial" w:eastAsia="Arial" w:hAnsi="Arial"/>
          <w:sz w:val="22"/>
          <w:szCs w:val="22"/>
          <w:color w:val="auto"/>
        </w:rPr>
        <w:t>. For any termination other than those specified above, the Option will be exercisable for 30 days after the date of termination, only to the extent that it was exercisable on the date of termination per the Exercise Dates, except as follows: If you die within 30 days after your termination of employment, then your personal representatives, heirs, legatees or distributees, as applicable, may exercise the Option for a period of up to one year after your death, but only to the extent any unexercised portion was exercisable on the date of termination.</w:t>
      </w:r>
    </w:p>
    <w:p>
      <w:pPr>
        <w:spacing w:after="0" w:line="179" w:lineRule="exact"/>
        <w:rPr>
          <w:rFonts w:ascii="Arial" w:cs="Arial" w:eastAsia="Arial" w:hAnsi="Arial"/>
          <w:sz w:val="22"/>
          <w:szCs w:val="22"/>
          <w:color w:val="auto"/>
        </w:rPr>
      </w:pPr>
    </w:p>
    <w:p>
      <w:pPr>
        <w:ind w:left="340" w:hanging="332"/>
        <w:spacing w:after="0" w:line="236" w:lineRule="auto"/>
        <w:tabs>
          <w:tab w:leader="none" w:pos="331"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Grant Notice</w:t>
      </w:r>
      <w:r>
        <w:rPr>
          <w:rFonts w:ascii="Arial" w:cs="Arial" w:eastAsia="Arial" w:hAnsi="Arial"/>
          <w:sz w:val="22"/>
          <w:szCs w:val="22"/>
          <w:color w:val="auto"/>
        </w:rPr>
        <w:t>. This Option was granted by the Committee or its designee. In the event of a conflict between the Grant Notice and the records of the Committee, the latter shall govern and be determinative.</w:t>
      </w:r>
    </w:p>
    <w:p>
      <w:pPr>
        <w:spacing w:after="0" w:line="177" w:lineRule="exact"/>
        <w:rPr>
          <w:rFonts w:ascii="Arial" w:cs="Arial" w:eastAsia="Arial" w:hAnsi="Arial"/>
          <w:sz w:val="22"/>
          <w:szCs w:val="22"/>
          <w:color w:val="auto"/>
        </w:rPr>
      </w:pPr>
    </w:p>
    <w:p>
      <w:pPr>
        <w:jc w:val="both"/>
        <w:ind w:left="340" w:hanging="332"/>
        <w:spacing w:after="0" w:line="214" w:lineRule="auto"/>
        <w:tabs>
          <w:tab w:leader="none" w:pos="331"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 Your Option may be exercised by delivery of a notice of exercise to the Company or its designee, specifying the number of Options you wish to exercise, and delivery of the full purchase price thereof, together with any payment necessary to satisfy withholding obligations for applicable Tax-Related Items (defined below) in such manner as permitted by the Committee (including, but not limited to, an electronic notice of exercise through the Company’s designated stock plan service provider). Payment of the purchase price and withholding amount shall be in a manner and method permitted by the Committee, which may vary by country or otherwise.</w:t>
      </w:r>
    </w:p>
    <w:p>
      <w:pPr>
        <w:spacing w:after="0" w:line="176" w:lineRule="exact"/>
        <w:rPr>
          <w:rFonts w:ascii="Arial" w:cs="Arial" w:eastAsia="Arial" w:hAnsi="Arial"/>
          <w:sz w:val="22"/>
          <w:szCs w:val="22"/>
          <w:color w:val="auto"/>
        </w:rPr>
      </w:pPr>
    </w:p>
    <w:p>
      <w:pPr>
        <w:jc w:val="both"/>
        <w:ind w:left="340" w:hanging="332"/>
        <w:spacing w:after="0" w:line="217" w:lineRule="auto"/>
        <w:tabs>
          <w:tab w:leader="none" w:pos="331"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Compliance with Laws and Regulations</w:t>
      </w:r>
      <w:r>
        <w:rPr>
          <w:rFonts w:ascii="Arial" w:cs="Arial" w:eastAsia="Arial" w:hAnsi="Arial"/>
          <w:sz w:val="22"/>
          <w:szCs w:val="22"/>
          <w:color w:val="auto"/>
        </w:rPr>
        <w:t>. The Company shall not be obligated to maintain the Option or issue or transfer any shares of Company common stock (or the equivalent value) to you if doing so would violate applicable requirements of U.S. or non-U.S. federal, state, or local securities, exchange control or other laws or applicable requirements, including but not limited to any stock exchange or national market system on which the shares may be listed.</w:t>
      </w:r>
    </w:p>
    <w:p>
      <w:pPr>
        <w:spacing w:after="0" w:line="179" w:lineRule="exact"/>
        <w:rPr>
          <w:rFonts w:ascii="Arial" w:cs="Arial" w:eastAsia="Arial" w:hAnsi="Arial"/>
          <w:sz w:val="22"/>
          <w:szCs w:val="22"/>
          <w:color w:val="auto"/>
        </w:rPr>
      </w:pPr>
    </w:p>
    <w:p>
      <w:pPr>
        <w:ind w:left="340" w:right="20" w:hanging="332"/>
        <w:spacing w:after="0" w:line="236" w:lineRule="auto"/>
        <w:tabs>
          <w:tab w:leader="none" w:pos="331"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Your Option is not transferable except by will or by the laws of descent and distribution, and during your lifetime may be exercised only by you.</w:t>
      </w:r>
    </w:p>
    <w:p>
      <w:pPr>
        <w:spacing w:after="0" w:line="175" w:lineRule="exact"/>
        <w:rPr>
          <w:rFonts w:ascii="Arial" w:cs="Arial" w:eastAsia="Arial" w:hAnsi="Arial"/>
          <w:sz w:val="22"/>
          <w:szCs w:val="22"/>
          <w:color w:val="auto"/>
        </w:rPr>
      </w:pPr>
    </w:p>
    <w:p>
      <w:pPr>
        <w:jc w:val="both"/>
        <w:ind w:left="340" w:hanging="332"/>
        <w:spacing w:after="0" w:line="226" w:lineRule="auto"/>
        <w:tabs>
          <w:tab w:leader="none" w:pos="331"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 Non-solicitation, Competition, Detrimental Activity, Repayment and Recoupment Policy</w:t>
      </w:r>
      <w:r>
        <w:rPr>
          <w:rFonts w:ascii="Arial" w:cs="Arial" w:eastAsia="Arial" w:hAnsi="Arial"/>
          <w:sz w:val="22"/>
          <w:szCs w:val="22"/>
          <w:color w:val="auto"/>
        </w:rPr>
        <w:t>. By accepting your Option, and in consideration for the Option and for the Company’s obligations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herein, you agree with the Company as follows:</w:t>
      </w:r>
    </w:p>
    <w:p>
      <w:pPr>
        <w:spacing w:after="0" w:line="178" w:lineRule="exact"/>
        <w:rPr>
          <w:rFonts w:ascii="Arial" w:cs="Arial" w:eastAsia="Arial" w:hAnsi="Arial"/>
          <w:sz w:val="22"/>
          <w:szCs w:val="22"/>
          <w:color w:val="auto"/>
        </w:rPr>
      </w:pPr>
    </w:p>
    <w:p>
      <w:pPr>
        <w:jc w:val="both"/>
        <w:ind w:left="820" w:hanging="488"/>
        <w:spacing w:after="0" w:line="215" w:lineRule="auto"/>
        <w:tabs>
          <w:tab w:leader="none" w:pos="878"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Access to Confidential Information</w:t>
      </w:r>
      <w:r>
        <w:rPr>
          <w:rFonts w:ascii="Arial" w:cs="Arial" w:eastAsia="Arial" w:hAnsi="Arial"/>
          <w:sz w:val="22"/>
          <w:szCs w:val="22"/>
          <w:color w:val="auto"/>
        </w:rPr>
        <w:t>. You recognize and acknowledge that in the course of your employment with the Company or any Affiliate, you have obtained and will continue to obtain and have access to private or confidential information and proprietary data relating to the Company, its customers, and its suppliers, including but not limited to the Company’s trade secrets (hereinafter, collectively, “Confidential Information”). The Company agrees that it will continue to provide you Confidential Information for you to carry out the duties of your employment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6" w:right="339" w:bottom="1440" w:gutter="0" w:footer="0" w:header="0"/>
        </w:sectPr>
      </w:pPr>
    </w:p>
    <w:bookmarkStart w:id="69" w:name="page70"/>
    <w:bookmarkEnd w:id="69"/>
    <w:p>
      <w:pPr>
        <w:jc w:val="both"/>
        <w:ind w:left="488" w:hanging="488"/>
        <w:spacing w:after="0" w:line="217" w:lineRule="auto"/>
        <w:tabs>
          <w:tab w:leader="none" w:pos="607"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Acknowledgments</w:t>
      </w:r>
      <w:r>
        <w:rPr>
          <w:rFonts w:ascii="Arial" w:cs="Arial" w:eastAsia="Arial" w:hAnsi="Arial"/>
          <w:sz w:val="22"/>
          <w:szCs w:val="22"/>
          <w:color w:val="auto"/>
        </w:rPr>
        <w:t>. You recognize and acknowledge that (i) the Company manufactures, designs, sells and markets its products and technologies in global markets, (ii) the Company’s success depends to a significant degree on the skills of its employees and their knowledge of the Company’s customers and suppliers, many of which operate on a global basis, and (iii) much of the information that the Company maintains regarding its products, employees, customers and suppliers is Confidential Information.</w:t>
      </w:r>
    </w:p>
    <w:p>
      <w:pPr>
        <w:spacing w:after="0" w:line="179" w:lineRule="exact"/>
        <w:rPr>
          <w:rFonts w:ascii="Arial" w:cs="Arial" w:eastAsia="Arial" w:hAnsi="Arial"/>
          <w:sz w:val="22"/>
          <w:szCs w:val="22"/>
          <w:color w:val="auto"/>
        </w:rPr>
      </w:pPr>
    </w:p>
    <w:p>
      <w:pPr>
        <w:jc w:val="both"/>
        <w:ind w:left="488" w:hanging="488"/>
        <w:spacing w:after="0" w:line="217" w:lineRule="auto"/>
        <w:tabs>
          <w:tab w:leader="none" w:pos="521"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Information</w:t>
      </w:r>
      <w:r>
        <w:rPr>
          <w:rFonts w:ascii="Arial" w:cs="Arial" w:eastAsia="Arial" w:hAnsi="Arial"/>
          <w:sz w:val="22"/>
          <w:szCs w:val="22"/>
          <w:color w:val="auto"/>
        </w:rPr>
        <w:t>. You agree not to use or disclose to any third party, either directly or indirectly, Confidential Information at any time, except as required in your work for the Company or any Affiliate or with the prior written consent of the Company. You understand that nothing herein prevents you from disclosing Confidential Information to the extent required to effectively report potential violations of law to an appropriate governmental authority charged with enforcing such law.</w:t>
      </w:r>
    </w:p>
    <w:p>
      <w:pPr>
        <w:spacing w:after="0" w:line="179" w:lineRule="exact"/>
        <w:rPr>
          <w:rFonts w:ascii="Arial" w:cs="Arial" w:eastAsia="Arial" w:hAnsi="Arial"/>
          <w:sz w:val="22"/>
          <w:szCs w:val="22"/>
          <w:color w:val="auto"/>
        </w:rPr>
      </w:pPr>
    </w:p>
    <w:p>
      <w:pPr>
        <w:jc w:val="both"/>
        <w:ind w:left="488" w:hanging="488"/>
        <w:spacing w:after="0" w:line="214" w:lineRule="auto"/>
        <w:tabs>
          <w:tab w:leader="none" w:pos="65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Non-solicitation of certain employees</w:t>
      </w:r>
      <w:r>
        <w:rPr>
          <w:rFonts w:ascii="Arial" w:cs="Arial" w:eastAsia="Arial" w:hAnsi="Arial"/>
          <w:sz w:val="22"/>
          <w:szCs w:val="22"/>
          <w:color w:val="auto"/>
        </w:rPr>
        <w:t>. You agree not to, during the Restricted Period, either directly or indirectly, solicit, recruit, or hire for your own benefit or for any other person or entity any employee of the Company or any Affiliate with whom you had business contact with or knowledge of as a result of your employment with the Company or any Affiliate to be an employee, director, officer, agent, consultant, partner or independent contractor without the prior written consent of the Company. The term “Restricted Period” means the period from the effective date of this Agreement until the second anniversary of the date on which your employment with the Company or any Affiliate has terminated for any reason.</w:t>
      </w:r>
    </w:p>
    <w:p>
      <w:pPr>
        <w:spacing w:after="0" w:line="176" w:lineRule="exact"/>
        <w:rPr>
          <w:rFonts w:ascii="Arial" w:cs="Arial" w:eastAsia="Arial" w:hAnsi="Arial"/>
          <w:sz w:val="22"/>
          <w:szCs w:val="22"/>
          <w:color w:val="auto"/>
        </w:rPr>
      </w:pPr>
    </w:p>
    <w:p>
      <w:pPr>
        <w:jc w:val="both"/>
        <w:ind w:left="488" w:hanging="488"/>
        <w:spacing w:after="0" w:line="220" w:lineRule="auto"/>
        <w:tabs>
          <w:tab w:leader="none" w:pos="668"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Non-solicitation of certain customers</w:t>
      </w:r>
      <w:r>
        <w:rPr>
          <w:rFonts w:ascii="Arial" w:cs="Arial" w:eastAsia="Arial" w:hAnsi="Arial"/>
          <w:sz w:val="22"/>
          <w:szCs w:val="22"/>
          <w:color w:val="auto"/>
        </w:rPr>
        <w:t>. You agree not to, during the Restricted Period, either directly or indirectly, solicit for your own benefit or for any other person or entity any customer of the Company or any Affiliate to which you marketed or sold Company products or technologies during the last two years of your employment with the Company or any Affiliate, without the prior written consent of the Company.</w:t>
      </w:r>
    </w:p>
    <w:p>
      <w:pPr>
        <w:spacing w:after="0" w:line="179" w:lineRule="exact"/>
        <w:rPr>
          <w:rFonts w:ascii="Arial" w:cs="Arial" w:eastAsia="Arial" w:hAnsi="Arial"/>
          <w:sz w:val="22"/>
          <w:szCs w:val="22"/>
          <w:color w:val="auto"/>
        </w:rPr>
      </w:pPr>
    </w:p>
    <w:p>
      <w:pPr>
        <w:jc w:val="both"/>
        <w:ind w:left="488" w:hanging="488"/>
        <w:spacing w:after="0" w:line="217" w:lineRule="auto"/>
        <w:tabs>
          <w:tab w:leader="none" w:pos="50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Injunctive relief</w:t>
      </w:r>
      <w:r>
        <w:rPr>
          <w:rFonts w:ascii="Arial" w:cs="Arial" w:eastAsia="Arial" w:hAnsi="Arial"/>
          <w:sz w:val="22"/>
          <w:szCs w:val="22"/>
          <w:color w:val="auto"/>
        </w:rPr>
        <w:t>. Without limiting the remedies available to the Company and its Affiliates, you acknowledge that damages at law will be an insufficient remedy to the Company and its Affiliates if you violate Section 8(c), (d), or (e), and agree that the Company and its Affiliates will be entitled to injunctive relief in any court of competent jurisdiction upon the breach or threatened breach of any such terms or otherwise specifically to enforce such terms.</w:t>
      </w:r>
    </w:p>
    <w:p>
      <w:pPr>
        <w:spacing w:after="0" w:line="179" w:lineRule="exact"/>
        <w:rPr>
          <w:rFonts w:ascii="Arial" w:cs="Arial" w:eastAsia="Arial" w:hAnsi="Arial"/>
          <w:sz w:val="22"/>
          <w:szCs w:val="22"/>
          <w:color w:val="auto"/>
        </w:rPr>
      </w:pPr>
    </w:p>
    <w:p>
      <w:pPr>
        <w:jc w:val="both"/>
        <w:ind w:left="488" w:hanging="488"/>
        <w:spacing w:after="0" w:line="207" w:lineRule="auto"/>
        <w:tabs>
          <w:tab w:leader="none" w:pos="519"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In addition to any other remedies available to the Company and its Affiliates, you agree that if the Company reasonably determines you have engaged in any activity that is detrimental to the interests of the Company or any Affiliate (a “Detrimental Activity”), or that you are likely to engage in a Detrimental Activity, then the Company shall have the sole discretion to suspend your ability to exercise the Option, up to and including cancellation of the Option. The Company shall additionally have the sole discretion to suspend your ability to exercise the Option while it is undertaking reasonable efforts to make such a determination. Detrimental Activities include, but are not limited to:</w:t>
      </w:r>
    </w:p>
    <w:p>
      <w:pPr>
        <w:spacing w:after="0" w:line="4" w:lineRule="exact"/>
        <w:rPr>
          <w:rFonts w:ascii="Arial" w:cs="Arial" w:eastAsia="Arial" w:hAnsi="Arial"/>
          <w:sz w:val="22"/>
          <w:szCs w:val="22"/>
          <w:color w:val="auto"/>
        </w:rPr>
      </w:pPr>
    </w:p>
    <w:p>
      <w:pPr>
        <w:ind w:left="1128" w:hanging="480"/>
        <w:spacing w:after="0"/>
        <w:tabs>
          <w:tab w:leader="none" w:pos="1128" w:val="left"/>
        </w:tabs>
        <w:numPr>
          <w:ilvl w:val="1"/>
          <w:numId w:val="39"/>
        </w:numPr>
        <w:rPr>
          <w:rFonts w:ascii="Arial" w:cs="Arial" w:eastAsia="Arial" w:hAnsi="Arial"/>
          <w:sz w:val="22"/>
          <w:szCs w:val="22"/>
          <w:color w:val="auto"/>
        </w:rPr>
      </w:pPr>
      <w:r>
        <w:rPr>
          <w:rFonts w:ascii="Arial" w:cs="Arial" w:eastAsia="Arial" w:hAnsi="Arial"/>
          <w:sz w:val="22"/>
          <w:szCs w:val="22"/>
          <w:color w:val="auto"/>
        </w:rPr>
        <w:t>Violation of any aspect of Section 8(c), (d) or (e);</w:t>
      </w:r>
    </w:p>
    <w:p>
      <w:pPr>
        <w:spacing w:after="0" w:line="186" w:lineRule="exact"/>
        <w:rPr>
          <w:rFonts w:ascii="Arial" w:cs="Arial" w:eastAsia="Arial" w:hAnsi="Arial"/>
          <w:sz w:val="22"/>
          <w:szCs w:val="22"/>
          <w:color w:val="auto"/>
        </w:rPr>
      </w:pPr>
    </w:p>
    <w:p>
      <w:pPr>
        <w:ind w:left="1128" w:hanging="480"/>
        <w:spacing w:after="0"/>
        <w:tabs>
          <w:tab w:leader="none" w:pos="1128" w:val="left"/>
        </w:tabs>
        <w:numPr>
          <w:ilvl w:val="1"/>
          <w:numId w:val="39"/>
        </w:numPr>
        <w:rPr>
          <w:rFonts w:ascii="Arial" w:cs="Arial" w:eastAsia="Arial" w:hAnsi="Arial"/>
          <w:sz w:val="21"/>
          <w:szCs w:val="21"/>
          <w:color w:val="auto"/>
        </w:rPr>
      </w:pPr>
      <w:r>
        <w:rPr>
          <w:rFonts w:ascii="Arial" w:cs="Arial" w:eastAsia="Arial" w:hAnsi="Arial"/>
          <w:sz w:val="21"/>
          <w:szCs w:val="21"/>
          <w:color w:val="auto"/>
        </w:rPr>
        <w:t>Directly or indirectly engaging in Competition, as defined in Section 8(h), during the Restricted Period;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08"/>
          </w:cols>
          <w:pgMar w:left="652" w:top="1396" w:right="339" w:bottom="1440" w:gutter="0" w:footer="0" w:header="0"/>
        </w:sectPr>
      </w:pPr>
    </w:p>
    <w:bookmarkStart w:id="70" w:name="page71"/>
    <w:bookmarkEnd w:id="70"/>
    <w:p>
      <w:pPr>
        <w:spacing w:after="0" w:line="199" w:lineRule="exact"/>
        <w:rPr>
          <w:sz w:val="20"/>
          <w:szCs w:val="20"/>
          <w:color w:val="auto"/>
        </w:rPr>
      </w:pPr>
    </w:p>
    <w:p>
      <w:pPr>
        <w:ind w:left="966" w:right="20" w:hanging="480"/>
        <w:spacing w:after="0" w:line="236" w:lineRule="auto"/>
        <w:tabs>
          <w:tab w:leader="none" w:pos="9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Directly or indirectly engaging with a third party (e.g. current or potential supplier, customer, or business partner of the Company or an Affiliate) in a manner that creates a conflict of interest; or</w:t>
      </w:r>
    </w:p>
    <w:p>
      <w:pPr>
        <w:spacing w:after="0" w:line="177" w:lineRule="exact"/>
        <w:rPr>
          <w:rFonts w:ascii="Arial" w:cs="Arial" w:eastAsia="Arial" w:hAnsi="Arial"/>
          <w:sz w:val="22"/>
          <w:szCs w:val="22"/>
          <w:color w:val="auto"/>
        </w:rPr>
      </w:pPr>
    </w:p>
    <w:p>
      <w:pPr>
        <w:ind w:left="966" w:hanging="480"/>
        <w:spacing w:after="0"/>
        <w:tabs>
          <w:tab w:leader="none" w:pos="966" w:val="left"/>
        </w:tabs>
        <w:numPr>
          <w:ilvl w:val="1"/>
          <w:numId w:val="40"/>
        </w:numPr>
        <w:rPr>
          <w:rFonts w:ascii="Arial" w:cs="Arial" w:eastAsia="Arial" w:hAnsi="Arial"/>
          <w:sz w:val="22"/>
          <w:szCs w:val="22"/>
          <w:color w:val="auto"/>
        </w:rPr>
      </w:pPr>
      <w:r>
        <w:rPr>
          <w:rFonts w:ascii="Arial" w:cs="Arial" w:eastAsia="Arial" w:hAnsi="Arial"/>
          <w:sz w:val="22"/>
          <w:szCs w:val="22"/>
          <w:color w:val="auto"/>
        </w:rPr>
        <w:t>Engaging in conduct inconsistent with the Company’s Code of Conduct or Misconduct policy.</w:t>
      </w:r>
    </w:p>
    <w:p>
      <w:pPr>
        <w:spacing w:after="0" w:line="206" w:lineRule="exact"/>
        <w:rPr>
          <w:rFonts w:ascii="Arial" w:cs="Arial" w:eastAsia="Arial" w:hAnsi="Arial"/>
          <w:sz w:val="22"/>
          <w:szCs w:val="22"/>
          <w:color w:val="auto"/>
        </w:rPr>
      </w:pPr>
    </w:p>
    <w:p>
      <w:pPr>
        <w:ind w:left="506" w:hanging="506"/>
        <w:spacing w:after="0"/>
        <w:tabs>
          <w:tab w:leader="none" w:pos="50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Competition</w:t>
      </w:r>
      <w:r>
        <w:rPr>
          <w:rFonts w:ascii="Arial" w:cs="Arial" w:eastAsia="Arial" w:hAnsi="Arial"/>
          <w:sz w:val="22"/>
          <w:szCs w:val="22"/>
          <w:color w:val="auto"/>
        </w:rPr>
        <w:t>. The term “Competition” means:</w:t>
      </w:r>
    </w:p>
    <w:p>
      <w:pPr>
        <w:spacing w:after="0" w:line="206" w:lineRule="exact"/>
        <w:rPr>
          <w:sz w:val="20"/>
          <w:szCs w:val="20"/>
          <w:color w:val="auto"/>
        </w:rPr>
      </w:pPr>
    </w:p>
    <w:p>
      <w:pPr>
        <w:jc w:val="both"/>
        <w:ind w:left="966" w:hanging="480"/>
        <w:spacing w:after="0" w:line="220" w:lineRule="auto"/>
        <w:tabs>
          <w:tab w:leader="none" w:pos="961" w:val="left"/>
        </w:tabs>
        <w:numPr>
          <w:ilvl w:val="1"/>
          <w:numId w:val="42"/>
        </w:numPr>
        <w:rPr>
          <w:rFonts w:ascii="Arial" w:cs="Arial" w:eastAsia="Arial" w:hAnsi="Arial"/>
          <w:sz w:val="22"/>
          <w:szCs w:val="22"/>
          <w:color w:val="auto"/>
        </w:rPr>
      </w:pPr>
      <w:r>
        <w:rPr>
          <w:rFonts w:ascii="Arial" w:cs="Arial" w:eastAsia="Arial" w:hAnsi="Arial"/>
          <w:sz w:val="22"/>
          <w:szCs w:val="22"/>
          <w:color w:val="auto"/>
        </w:rPr>
        <w:t>engaging in any business activity similar to that in which you engaged during your last three years of employment with the Company or any Affiliate for any person or entity selling, marketing, designing or manufacturing products or technologies the same as, similar to, or that compete with products or technologies that the Company sells, markets, designs or manufactures;</w:t>
      </w:r>
    </w:p>
    <w:p>
      <w:pPr>
        <w:spacing w:after="0" w:line="179" w:lineRule="exact"/>
        <w:rPr>
          <w:rFonts w:ascii="Arial" w:cs="Arial" w:eastAsia="Arial" w:hAnsi="Arial"/>
          <w:sz w:val="22"/>
          <w:szCs w:val="22"/>
          <w:color w:val="auto"/>
        </w:rPr>
      </w:pPr>
    </w:p>
    <w:p>
      <w:pPr>
        <w:jc w:val="both"/>
        <w:ind w:left="966" w:hanging="480"/>
        <w:spacing w:after="0" w:line="226" w:lineRule="auto"/>
        <w:tabs>
          <w:tab w:leader="none" w:pos="1004" w:val="left"/>
        </w:tabs>
        <w:numPr>
          <w:ilvl w:val="1"/>
          <w:numId w:val="42"/>
        </w:numPr>
        <w:rPr>
          <w:rFonts w:ascii="Arial" w:cs="Arial" w:eastAsia="Arial" w:hAnsi="Arial"/>
          <w:sz w:val="22"/>
          <w:szCs w:val="22"/>
          <w:color w:val="auto"/>
        </w:rPr>
      </w:pPr>
      <w:r>
        <w:rPr>
          <w:rFonts w:ascii="Arial" w:cs="Arial" w:eastAsia="Arial" w:hAnsi="Arial"/>
          <w:sz w:val="22"/>
          <w:szCs w:val="22"/>
          <w:color w:val="auto"/>
        </w:rPr>
        <w:t>engaging in the selling or marketing of any products or technologies that are the same as, similar to, or that compete with any products or technologies that you sold or marketed, or attempted to sell or market, during the last three years of your employment with the Company or any Affiliate;</w:t>
      </w:r>
    </w:p>
    <w:p>
      <w:pPr>
        <w:spacing w:after="0" w:line="176" w:lineRule="exact"/>
        <w:rPr>
          <w:rFonts w:ascii="Arial" w:cs="Arial" w:eastAsia="Arial" w:hAnsi="Arial"/>
          <w:sz w:val="22"/>
          <w:szCs w:val="22"/>
          <w:color w:val="auto"/>
        </w:rPr>
      </w:pPr>
    </w:p>
    <w:p>
      <w:pPr>
        <w:jc w:val="both"/>
        <w:ind w:left="966" w:hanging="480"/>
        <w:spacing w:after="0" w:line="220" w:lineRule="auto"/>
        <w:tabs>
          <w:tab w:leader="none" w:pos="1048" w:val="left"/>
        </w:tabs>
        <w:numPr>
          <w:ilvl w:val="1"/>
          <w:numId w:val="42"/>
        </w:numPr>
        <w:rPr>
          <w:rFonts w:ascii="Arial" w:cs="Arial" w:eastAsia="Arial" w:hAnsi="Arial"/>
          <w:sz w:val="22"/>
          <w:szCs w:val="22"/>
          <w:color w:val="auto"/>
        </w:rPr>
      </w:pPr>
      <w:r>
        <w:rPr>
          <w:rFonts w:ascii="Arial" w:cs="Arial" w:eastAsia="Arial" w:hAnsi="Arial"/>
          <w:sz w:val="22"/>
          <w:szCs w:val="22"/>
          <w:color w:val="auto"/>
        </w:rPr>
        <w:t>engaging in the manufacture or design of any products or technologies that are the same as, similar to or that compete with any products or technologies that you sold or marketed, or attempted to sell or market, or participated in the design or manufacture of, during the last three years of your employment with the Company or any Affiliate; or</w:t>
      </w:r>
    </w:p>
    <w:p>
      <w:pPr>
        <w:spacing w:after="0" w:line="179" w:lineRule="exact"/>
        <w:rPr>
          <w:rFonts w:ascii="Arial" w:cs="Arial" w:eastAsia="Arial" w:hAnsi="Arial"/>
          <w:sz w:val="22"/>
          <w:szCs w:val="22"/>
          <w:color w:val="auto"/>
        </w:rPr>
      </w:pPr>
    </w:p>
    <w:p>
      <w:pPr>
        <w:jc w:val="both"/>
        <w:ind w:left="966" w:hanging="480"/>
        <w:spacing w:after="0" w:line="226" w:lineRule="auto"/>
        <w:tabs>
          <w:tab w:leader="none" w:pos="1051" w:val="left"/>
        </w:tabs>
        <w:numPr>
          <w:ilvl w:val="1"/>
          <w:numId w:val="42"/>
        </w:numPr>
        <w:rPr>
          <w:rFonts w:ascii="Arial" w:cs="Arial" w:eastAsia="Arial" w:hAnsi="Arial"/>
          <w:sz w:val="22"/>
          <w:szCs w:val="22"/>
          <w:color w:val="auto"/>
        </w:rPr>
      </w:pPr>
      <w:r>
        <w:rPr>
          <w:rFonts w:ascii="Arial" w:cs="Arial" w:eastAsia="Arial" w:hAnsi="Arial"/>
          <w:sz w:val="22"/>
          <w:szCs w:val="22"/>
          <w:color w:val="auto"/>
        </w:rPr>
        <w:t>engaging in the selling or marketing of any products or technologies that are the same as, similar to, or that compete with any products or technologies that you participated in the design or manufacture of during the last three years of your employment with the Company or any Affiliate.</w:t>
      </w:r>
    </w:p>
    <w:p>
      <w:pPr>
        <w:spacing w:after="0" w:line="176" w:lineRule="exact"/>
        <w:rPr>
          <w:rFonts w:ascii="Arial" w:cs="Arial" w:eastAsia="Arial" w:hAnsi="Arial"/>
          <w:sz w:val="22"/>
          <w:szCs w:val="22"/>
          <w:color w:val="auto"/>
        </w:rPr>
      </w:pPr>
    </w:p>
    <w:p>
      <w:pPr>
        <w:jc w:val="both"/>
        <w:ind w:left="486" w:hanging="486"/>
        <w:spacing w:after="0" w:line="212" w:lineRule="auto"/>
        <w:tabs>
          <w:tab w:leader="none" w:pos="4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Repayment</w:t>
      </w:r>
      <w:r>
        <w:rPr>
          <w:rFonts w:ascii="Arial" w:cs="Arial" w:eastAsia="Arial" w:hAnsi="Arial"/>
          <w:sz w:val="22"/>
          <w:szCs w:val="22"/>
          <w:color w:val="auto"/>
        </w:rPr>
        <w:t>. In addition to other remedies available to the Company, you agree that upon being provided with written notice that the Company has reasonably determined that you have engaged in a Detrimental Activity, you shall repay immediately to the Company any profit (spread between the exercise price you paid for shares of the Company’s company stock pursuant to the terms of this Option and the market price of the Company’s common stock on the date of exercise) made on the Option within three years prior to termination of your employment or any time after termination of your employment. Any amount payable to the Company pursuant to this provision may be reduced or waived as the Company, in its sole judgment, deems warranted by the circumstances.</w:t>
      </w:r>
    </w:p>
    <w:p>
      <w:pPr>
        <w:spacing w:after="0" w:line="183" w:lineRule="exact"/>
        <w:rPr>
          <w:sz w:val="20"/>
          <w:szCs w:val="20"/>
          <w:color w:val="auto"/>
        </w:rPr>
      </w:pPr>
    </w:p>
    <w:p>
      <w:pPr>
        <w:ind w:left="486" w:hanging="486"/>
        <w:spacing w:after="0" w:line="236" w:lineRule="auto"/>
        <w:tabs>
          <w:tab w:leader="none" w:pos="445"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Recoupment Policy</w:t>
      </w:r>
      <w:r>
        <w:rPr>
          <w:rFonts w:ascii="Arial" w:cs="Arial" w:eastAsia="Arial" w:hAnsi="Arial"/>
          <w:sz w:val="22"/>
          <w:szCs w:val="22"/>
          <w:color w:val="auto"/>
        </w:rPr>
        <w:t>. You agree that this Option is subject to the Company’s Recoupment Policy adopted by the Committee, as amended.</w:t>
      </w:r>
    </w:p>
    <w:p>
      <w:pPr>
        <w:spacing w:after="0" w:line="177" w:lineRule="exact"/>
        <w:rPr>
          <w:rFonts w:ascii="Arial" w:cs="Arial" w:eastAsia="Arial" w:hAnsi="Arial"/>
          <w:sz w:val="22"/>
          <w:szCs w:val="22"/>
          <w:color w:val="auto"/>
        </w:rPr>
      </w:pPr>
    </w:p>
    <w:p>
      <w:pPr>
        <w:jc w:val="both"/>
        <w:ind w:left="486" w:hanging="486"/>
        <w:spacing w:after="0" w:line="220" w:lineRule="auto"/>
        <w:tabs>
          <w:tab w:leader="none" w:pos="762"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Reasonableness of commitments</w:t>
      </w:r>
      <w:r>
        <w:rPr>
          <w:rFonts w:ascii="Arial" w:cs="Arial" w:eastAsia="Arial" w:hAnsi="Arial"/>
          <w:sz w:val="22"/>
          <w:szCs w:val="22"/>
          <w:color w:val="auto"/>
        </w:rPr>
        <w:t>. You acknowledge the reasonableness of the commitments and agreements in this Section 8, including their scope, duration and geographic coverage. You recognize and acknowledge that the provisions of this Section 8 are entered into by you in consideration of, and as a material inducement to, the agreements by the Company herein as well as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7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46"/>
          </w:cols>
          <w:pgMar w:left="814" w:top="1440" w:right="339" w:bottom="1440" w:gutter="0" w:footer="0" w:header="0"/>
        </w:sectPr>
      </w:pPr>
    </w:p>
    <w:bookmarkStart w:id="71" w:name="page72"/>
    <w:bookmarkEnd w:id="71"/>
    <w:p>
      <w:pPr>
        <w:jc w:val="both"/>
        <w:ind w:left="980"/>
        <w:spacing w:after="0" w:line="226" w:lineRule="auto"/>
        <w:rPr>
          <w:sz w:val="20"/>
          <w:szCs w:val="20"/>
          <w:color w:val="auto"/>
        </w:rPr>
      </w:pPr>
      <w:r>
        <w:rPr>
          <w:rFonts w:ascii="Arial" w:cs="Arial" w:eastAsia="Arial" w:hAnsi="Arial"/>
          <w:sz w:val="22"/>
          <w:szCs w:val="22"/>
          <w:color w:val="auto"/>
        </w:rPr>
        <w:t>an inducement for the Company to enter into this Agreement and provide you Confidential Information, and that, but for your agreement to the provisions of this Section 8, the Company would not have entered into this Agreement.</w:t>
      </w:r>
    </w:p>
    <w:p>
      <w:pPr>
        <w:spacing w:after="0" w:line="176" w:lineRule="exact"/>
        <w:rPr>
          <w:sz w:val="20"/>
          <w:szCs w:val="20"/>
          <w:color w:val="auto"/>
        </w:rPr>
      </w:pPr>
    </w:p>
    <w:p>
      <w:pPr>
        <w:jc w:val="both"/>
        <w:ind w:left="340" w:hanging="332"/>
        <w:spacing w:after="0" w:line="219" w:lineRule="auto"/>
        <w:tabs>
          <w:tab w:leader="none" w:pos="331"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Responsibility for Taxes</w:t>
      </w:r>
      <w:r>
        <w:rPr>
          <w:rFonts w:ascii="Arial" w:cs="Arial" w:eastAsia="Arial" w:hAnsi="Arial"/>
          <w:sz w:val="21"/>
          <w:szCs w:val="21"/>
          <w:color w:val="auto"/>
        </w:rPr>
        <w:t>. You acknowledge that regardless of any action taken by the Company, or, if different, your employer or the Affiliate to which you provide services (the “Service Recipient”), the ultimate liability for income tax (including U.S. and non-U.S. federal, state, and local tax), social insurance, payroll tax, fringe benefits tax, payment on account or other tax-related items related to your participation in the Plan and legally applicable to you in connection with this Option (“Tax-Related Items”), is and remains your responsibility and may exceed the amount, if any, actually withheld by the Company or the Service Recipient. You further acknowledge that the Company and/or the Service Recipient (a) make no representations or undertakings regarding the treatment of any Tax-Related Items in connection with any aspect of the Option or the underlying shares, including, but not limited to, the grant, vesting or exercise of the Option, the subsequent sale of shares acquired pursuant to such exercise and the receipt of any dividends; and (b) do not commit to and is under no obligation to structure the terms of the grant or any aspect of the Option to reduce or eliminate your liability for Tax-Related Items or to achieve any particular tax result. Further, if you are subject to Tax-Related Items in more than one jurisdiction, you acknowledge that the Company and/or the Service Recipient (or former service recipient, as applicable) may be required to withhold or account for Tax-Related Items in more than one jurisdiction.</w:t>
      </w:r>
    </w:p>
    <w:p>
      <w:pPr>
        <w:spacing w:after="0" w:line="182" w:lineRule="exact"/>
        <w:rPr>
          <w:rFonts w:ascii="Arial" w:cs="Arial" w:eastAsia="Arial" w:hAnsi="Arial"/>
          <w:sz w:val="21"/>
          <w:szCs w:val="21"/>
          <w:color w:val="auto"/>
        </w:rPr>
      </w:pPr>
    </w:p>
    <w:p>
      <w:pPr>
        <w:jc w:val="both"/>
        <w:ind w:left="340"/>
        <w:spacing w:after="0" w:line="223" w:lineRule="auto"/>
        <w:rPr>
          <w:rFonts w:ascii="Arial" w:cs="Arial" w:eastAsia="Arial" w:hAnsi="Arial"/>
          <w:sz w:val="21"/>
          <w:szCs w:val="21"/>
          <w:color w:val="auto"/>
        </w:rPr>
      </w:pPr>
      <w:r>
        <w:rPr>
          <w:rFonts w:ascii="Arial" w:cs="Arial" w:eastAsia="Arial" w:hAnsi="Arial"/>
          <w:sz w:val="21"/>
          <w:szCs w:val="21"/>
          <w:color w:val="auto"/>
        </w:rPr>
        <w:t>In connection with the relevant taxable or tax withholding event, as applicable, you authorize the Company and the Service Recipient, or their agents, at their discretion, to withhold all applicable Tax-Related Items legally payable by you by one or a combination of the following methods: (a) withholding from your wages or other cash compensation paid to you by the Company or the Service Recipient, including from proceeds of the sale of the shares; (b) withholding from proceeds of the sale of shares acquired upon exercise of the Option either through a voluntary sale or through a mandatory sale arranged by the Company (on your behalf pursuant to this authorization without further consent); (c) withholding from shares to be issued to you upon exercise of the Option; or (d) any other method of withholding determined by the Company and permitted by applicable law and the Plan.</w:t>
      </w:r>
    </w:p>
    <w:p>
      <w:pPr>
        <w:spacing w:after="0" w:line="175" w:lineRule="exact"/>
        <w:rPr>
          <w:rFonts w:ascii="Arial" w:cs="Arial" w:eastAsia="Arial" w:hAnsi="Arial"/>
          <w:sz w:val="21"/>
          <w:szCs w:val="21"/>
          <w:color w:val="auto"/>
        </w:rPr>
      </w:pPr>
    </w:p>
    <w:p>
      <w:pPr>
        <w:jc w:val="both"/>
        <w:ind w:left="340"/>
        <w:spacing w:after="0" w:line="212" w:lineRule="auto"/>
        <w:rPr>
          <w:rFonts w:ascii="Arial" w:cs="Arial" w:eastAsia="Arial" w:hAnsi="Arial"/>
          <w:sz w:val="21"/>
          <w:szCs w:val="21"/>
          <w:color w:val="auto"/>
        </w:rPr>
      </w:pPr>
      <w:r>
        <w:rPr>
          <w:rFonts w:ascii="Arial" w:cs="Arial" w:eastAsia="Arial" w:hAnsi="Arial"/>
          <w:sz w:val="22"/>
          <w:szCs w:val="22"/>
          <w:color w:val="auto"/>
        </w:rPr>
        <w:t>The Company and/or the Service Recipient may withhold or account for Tax-Related Items by considering applicable statutory withholding amounts or other applicable withholding rates, including maximum applicable rates in your jurisdiction(s). If a maximum rate is used, you may receive a refund of any over-withheld amount in cash from the Company (with no entitlement to the equivalent in shares) or, if not refunded, you may be able to seek a refund from the local tax authorities. In the event of under-withholding, you may be required to pay any additional Tax-Related Items directly to the applicable tax authority or to the Company. Further, if the obligation for the Tax-Related Items is satisfied by withholding in shares, for tax purposes, you will be deemed to have been issued the full number of shares, notwithstanding that a number of the shares is held back solely for the purpose of paying the Tax-Related Items.</w:t>
      </w:r>
    </w:p>
    <w:p>
      <w:pPr>
        <w:spacing w:after="0" w:line="175" w:lineRule="exact"/>
        <w:rPr>
          <w:rFonts w:ascii="Arial" w:cs="Arial" w:eastAsia="Arial" w:hAnsi="Arial"/>
          <w:sz w:val="21"/>
          <w:szCs w:val="21"/>
          <w:color w:val="auto"/>
        </w:rPr>
      </w:pPr>
    </w:p>
    <w:p>
      <w:pPr>
        <w:jc w:val="both"/>
        <w:ind w:left="340"/>
        <w:spacing w:after="0" w:line="217" w:lineRule="auto"/>
        <w:rPr>
          <w:rFonts w:ascii="Arial" w:cs="Arial" w:eastAsia="Arial" w:hAnsi="Arial"/>
          <w:sz w:val="21"/>
          <w:szCs w:val="21"/>
          <w:color w:val="auto"/>
        </w:rPr>
      </w:pPr>
      <w:r>
        <w:rPr>
          <w:rFonts w:ascii="Arial" w:cs="Arial" w:eastAsia="Arial" w:hAnsi="Arial"/>
          <w:sz w:val="22"/>
          <w:szCs w:val="22"/>
          <w:color w:val="auto"/>
        </w:rPr>
        <w:t>You agree to pay to the Company or the Service Recipient any amount of Tax-Related Items that the Company or the Service Recipient may be required to withhold that cannot be satisfied by the means described above. The Company may refuse to honor the vesting and exercise of the Option and/or refuse to issue or deliver the shares or proceeds from the sale of the shares if you fail to comply with your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96" w:right="339" w:bottom="1440" w:gutter="0" w:footer="0" w:header="0"/>
        </w:sectPr>
      </w:pPr>
    </w:p>
    <w:bookmarkStart w:id="72" w:name="page73"/>
    <w:bookmarkEnd w:id="72"/>
    <w:p>
      <w:pPr>
        <w:spacing w:after="0" w:line="199"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You acknowledge that:</w:t>
      </w:r>
    </w:p>
    <w:p>
      <w:pPr>
        <w:spacing w:after="0" w:line="206" w:lineRule="exact"/>
        <w:rPr>
          <w:rFonts w:ascii="Arial" w:cs="Arial" w:eastAsia="Arial" w:hAnsi="Arial"/>
          <w:sz w:val="22"/>
          <w:szCs w:val="22"/>
          <w:color w:val="auto"/>
        </w:rPr>
      </w:pPr>
    </w:p>
    <w:p>
      <w:pPr>
        <w:ind w:left="820" w:hanging="488"/>
        <w:spacing w:after="0" w:line="236" w:lineRule="auto"/>
        <w:tabs>
          <w:tab w:leader="none" w:pos="964"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as provided in the Plan;</w:t>
      </w:r>
    </w:p>
    <w:p>
      <w:pPr>
        <w:spacing w:after="0" w:line="177" w:lineRule="exact"/>
        <w:rPr>
          <w:rFonts w:ascii="Arial" w:cs="Arial" w:eastAsia="Arial" w:hAnsi="Arial"/>
          <w:sz w:val="22"/>
          <w:szCs w:val="22"/>
          <w:color w:val="auto"/>
        </w:rPr>
      </w:pPr>
    </w:p>
    <w:p>
      <w:pPr>
        <w:ind w:left="820" w:hanging="488"/>
        <w:spacing w:after="0" w:line="236" w:lineRule="auto"/>
        <w:tabs>
          <w:tab w:leader="none" w:pos="995" w:val="left"/>
        </w:tabs>
        <w:numPr>
          <w:ilvl w:val="1"/>
          <w:numId w:val="46"/>
        </w:numPr>
        <w:rPr>
          <w:rFonts w:ascii="Arial" w:cs="Arial" w:eastAsia="Arial" w:hAnsi="Arial"/>
          <w:sz w:val="22"/>
          <w:szCs w:val="22"/>
          <w:color w:val="auto"/>
        </w:rPr>
      </w:pPr>
      <w:r>
        <w:rPr>
          <w:rFonts w:ascii="Arial" w:cs="Arial" w:eastAsia="Arial" w:hAnsi="Arial"/>
          <w:sz w:val="22"/>
          <w:szCs w:val="22"/>
          <w:color w:val="auto"/>
        </w:rPr>
        <w:t>all decisions with respect to future Options or other grants, if any, will be at the sole discretion of the Company;</w:t>
      </w:r>
    </w:p>
    <w:p>
      <w:pPr>
        <w:spacing w:after="0" w:line="177" w:lineRule="exact"/>
        <w:rPr>
          <w:rFonts w:ascii="Arial" w:cs="Arial" w:eastAsia="Arial" w:hAnsi="Arial"/>
          <w:sz w:val="22"/>
          <w:szCs w:val="22"/>
          <w:color w:val="auto"/>
        </w:rPr>
      </w:pPr>
    </w:p>
    <w:p>
      <w:pPr>
        <w:ind w:left="820" w:hanging="488"/>
        <w:spacing w:after="0" w:line="256" w:lineRule="auto"/>
        <w:tabs>
          <w:tab w:leader="none" w:pos="831" w:val="left"/>
        </w:tabs>
        <w:numPr>
          <w:ilvl w:val="1"/>
          <w:numId w:val="46"/>
        </w:numPr>
        <w:rPr>
          <w:rFonts w:ascii="Arial" w:cs="Arial" w:eastAsia="Arial" w:hAnsi="Arial"/>
          <w:sz w:val="21"/>
          <w:szCs w:val="21"/>
          <w:color w:val="auto"/>
        </w:rPr>
      </w:pPr>
      <w:r>
        <w:rPr>
          <w:rFonts w:ascii="Arial" w:cs="Arial" w:eastAsia="Arial" w:hAnsi="Arial"/>
          <w:sz w:val="21"/>
          <w:szCs w:val="21"/>
          <w:color w:val="auto"/>
        </w:rPr>
        <w:t>the grant of your option is exceptional, voluntary and occasional and does not create any contractual or other right to receive future Options, or benefits in lieu of Options, even if Options have been granted in the past;</w:t>
      </w:r>
    </w:p>
    <w:p>
      <w:pPr>
        <w:spacing w:after="0" w:line="159" w:lineRule="exact"/>
        <w:rPr>
          <w:rFonts w:ascii="Arial" w:cs="Arial" w:eastAsia="Arial" w:hAnsi="Arial"/>
          <w:sz w:val="21"/>
          <w:szCs w:val="21"/>
          <w:color w:val="auto"/>
        </w:rPr>
      </w:pPr>
    </w:p>
    <w:p>
      <w:pPr>
        <w:ind w:left="840" w:hanging="508"/>
        <w:spacing w:after="0"/>
        <w:tabs>
          <w:tab w:leader="none" w:pos="840" w:val="left"/>
        </w:tabs>
        <w:numPr>
          <w:ilvl w:val="1"/>
          <w:numId w:val="46"/>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06" w:lineRule="exact"/>
        <w:rPr>
          <w:rFonts w:ascii="Arial" w:cs="Arial" w:eastAsia="Arial" w:hAnsi="Arial"/>
          <w:sz w:val="22"/>
          <w:szCs w:val="22"/>
          <w:color w:val="auto"/>
        </w:rPr>
      </w:pPr>
    </w:p>
    <w:p>
      <w:pPr>
        <w:ind w:left="820" w:hanging="488"/>
        <w:spacing w:after="0" w:line="236" w:lineRule="auto"/>
        <w:tabs>
          <w:tab w:leader="none" w:pos="963" w:val="left"/>
        </w:tabs>
        <w:numPr>
          <w:ilvl w:val="1"/>
          <w:numId w:val="46"/>
        </w:numPr>
        <w:rPr>
          <w:rFonts w:ascii="Arial" w:cs="Arial" w:eastAsia="Arial" w:hAnsi="Arial"/>
          <w:sz w:val="22"/>
          <w:szCs w:val="22"/>
          <w:color w:val="auto"/>
        </w:rPr>
      </w:pPr>
      <w:r>
        <w:rPr>
          <w:rFonts w:ascii="Arial" w:cs="Arial" w:eastAsia="Arial" w:hAnsi="Arial"/>
          <w:sz w:val="22"/>
          <w:szCs w:val="22"/>
          <w:color w:val="auto"/>
        </w:rPr>
        <w:t>your Option is an extraordinary item that does not constitute compensation for services rendered to the Company or the Service Recipient, and is outside the scope of your employment contract, if any;</w:t>
      </w:r>
    </w:p>
    <w:p>
      <w:pPr>
        <w:spacing w:after="0" w:line="177" w:lineRule="exact"/>
        <w:rPr>
          <w:rFonts w:ascii="Arial" w:cs="Arial" w:eastAsia="Arial" w:hAnsi="Arial"/>
          <w:sz w:val="22"/>
          <w:szCs w:val="22"/>
          <w:color w:val="auto"/>
        </w:rPr>
      </w:pPr>
    </w:p>
    <w:p>
      <w:pPr>
        <w:jc w:val="both"/>
        <w:ind w:left="820" w:hanging="488"/>
        <w:spacing w:after="0" w:line="220" w:lineRule="auto"/>
        <w:tabs>
          <w:tab w:leader="none" w:pos="792" w:val="left"/>
        </w:tabs>
        <w:numPr>
          <w:ilvl w:val="1"/>
          <w:numId w:val="46"/>
        </w:numPr>
        <w:rPr>
          <w:rFonts w:ascii="Arial" w:cs="Arial" w:eastAsia="Arial" w:hAnsi="Arial"/>
          <w:sz w:val="22"/>
          <w:szCs w:val="22"/>
          <w:color w:val="auto"/>
        </w:rPr>
      </w:pPr>
      <w:r>
        <w:rPr>
          <w:rFonts w:ascii="Arial" w:cs="Arial" w:eastAsia="Arial" w:hAnsi="Arial"/>
          <w:sz w:val="22"/>
          <w:szCs w:val="22"/>
          <w:color w:val="auto"/>
        </w:rPr>
        <w:t>your Option and the shares subject to the exercise of the Option, and the income from and exercise of same, are not part of normal or expected compensation or salary for any purposes, including, but not limited to, calculating any severance, resignation, termination, redundancy, dismissal, end of service payments, bonuses, holiday pay, pension or retirement benefits, welfare benefits or similar payments;</w:t>
      </w:r>
    </w:p>
    <w:p>
      <w:pPr>
        <w:spacing w:after="0" w:line="179" w:lineRule="exact"/>
        <w:rPr>
          <w:rFonts w:ascii="Arial" w:cs="Arial" w:eastAsia="Arial" w:hAnsi="Arial"/>
          <w:sz w:val="22"/>
          <w:szCs w:val="22"/>
          <w:color w:val="auto"/>
        </w:rPr>
      </w:pPr>
    </w:p>
    <w:p>
      <w:pPr>
        <w:jc w:val="both"/>
        <w:ind w:left="820" w:hanging="488"/>
        <w:spacing w:after="0" w:line="226" w:lineRule="auto"/>
        <w:tabs>
          <w:tab w:leader="none" w:pos="972"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grant of your Option will not be interpreted to form an employment contract or relationship with the Company or the Service Recipient, and will not interfere with the ability of the Company or the Service Recipient to terminate your employment or service relationship at any time;</w:t>
      </w:r>
    </w:p>
    <w:p>
      <w:pPr>
        <w:spacing w:after="0" w:line="176" w:lineRule="exact"/>
        <w:rPr>
          <w:rFonts w:ascii="Arial" w:cs="Arial" w:eastAsia="Arial" w:hAnsi="Arial"/>
          <w:sz w:val="22"/>
          <w:szCs w:val="22"/>
          <w:color w:val="auto"/>
        </w:rPr>
      </w:pPr>
    </w:p>
    <w:p>
      <w:pPr>
        <w:ind w:left="840" w:hanging="508"/>
        <w:spacing w:after="0"/>
        <w:tabs>
          <w:tab w:leader="none" w:pos="840" w:val="left"/>
        </w:tabs>
        <w:numPr>
          <w:ilvl w:val="1"/>
          <w:numId w:val="46"/>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17" w:lineRule="exact"/>
        <w:rPr>
          <w:rFonts w:ascii="Arial" w:cs="Arial" w:eastAsia="Arial" w:hAnsi="Arial"/>
          <w:sz w:val="21"/>
          <w:szCs w:val="21"/>
          <w:color w:val="auto"/>
        </w:rPr>
      </w:pPr>
    </w:p>
    <w:p>
      <w:pPr>
        <w:ind w:left="760" w:hanging="428"/>
        <w:spacing w:after="0"/>
        <w:tabs>
          <w:tab w:leader="none" w:pos="7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value of any shares acquired upon exercise may increase or decrease in value;</w:t>
      </w:r>
    </w:p>
    <w:p>
      <w:pPr>
        <w:spacing w:after="0" w:line="206" w:lineRule="exact"/>
        <w:rPr>
          <w:rFonts w:ascii="Arial" w:cs="Arial" w:eastAsia="Arial" w:hAnsi="Arial"/>
          <w:sz w:val="22"/>
          <w:szCs w:val="22"/>
          <w:color w:val="auto"/>
        </w:rPr>
      </w:pPr>
    </w:p>
    <w:p>
      <w:pPr>
        <w:jc w:val="both"/>
        <w:ind w:left="820" w:hanging="488"/>
        <w:spacing w:after="0" w:line="215" w:lineRule="auto"/>
        <w:tabs>
          <w:tab w:leader="none" w:pos="836" w:val="left"/>
        </w:tabs>
        <w:numPr>
          <w:ilvl w:val="1"/>
          <w:numId w:val="46"/>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Option resulting from your termination of employment (for any reason whatsoever, whether or not later found to be invalid or in breach of applicable laws in the jurisdiction where you are employed or the terms of your employment agreement, if any), from the enforcement of any covenant to which this Option is subject or breach of company policy to which this Option is subject, or from the application of any clawback provision herein or recoupment policy adopted by the Company or imposed by applicable law; and</w:t>
      </w:r>
    </w:p>
    <w:p>
      <w:pPr>
        <w:spacing w:after="0" w:line="179" w:lineRule="exact"/>
        <w:rPr>
          <w:rFonts w:ascii="Arial" w:cs="Arial" w:eastAsia="Arial" w:hAnsi="Arial"/>
          <w:sz w:val="22"/>
          <w:szCs w:val="22"/>
          <w:color w:val="auto"/>
        </w:rPr>
      </w:pPr>
    </w:p>
    <w:p>
      <w:pPr>
        <w:jc w:val="both"/>
        <w:ind w:left="820" w:hanging="488"/>
        <w:spacing w:after="0" w:line="220" w:lineRule="auto"/>
        <w:tabs>
          <w:tab w:leader="none" w:pos="858" w:val="left"/>
        </w:tabs>
        <w:numPr>
          <w:ilvl w:val="1"/>
          <w:numId w:val="46"/>
        </w:numPr>
        <w:rPr>
          <w:rFonts w:ascii="Arial" w:cs="Arial" w:eastAsia="Arial" w:hAnsi="Arial"/>
          <w:sz w:val="22"/>
          <w:szCs w:val="22"/>
          <w:color w:val="auto"/>
        </w:rPr>
      </w:pPr>
      <w:r>
        <w:rPr>
          <w:rFonts w:ascii="Arial" w:cs="Arial" w:eastAsia="Arial" w:hAnsi="Arial"/>
          <w:sz w:val="22"/>
          <w:szCs w:val="22"/>
          <w:color w:val="auto"/>
        </w:rPr>
        <w:t>if you are providing services outside the United States, neither the Company nor the Service Recipient shall be liable for any foreign exchange rate fluctuation between your local currency and the United States Dollar that may affect the value of the Option or any amounts due to you pursuant to the exercise of the Option or the subsequent sale of any shares acquired upon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73" w:name="page74"/>
    <w:bookmarkEnd w:id="73"/>
    <w:p>
      <w:pPr>
        <w:jc w:val="both"/>
        <w:ind w:left="340" w:hanging="332"/>
        <w:spacing w:after="0" w:line="237" w:lineRule="auto"/>
        <w:tabs>
          <w:tab w:leader="none" w:pos="314"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You will not have any rights as a stockholder of the Company in respect of any shares of common stock of the Company issuable under this Option unless and until such shares are issued in your name and delivered to you in accordance with the provisions hereof.</w:t>
      </w:r>
    </w:p>
    <w:p>
      <w:pPr>
        <w:spacing w:after="0" w:line="175" w:lineRule="exact"/>
        <w:rPr>
          <w:rFonts w:ascii="Arial" w:cs="Arial" w:eastAsia="Arial" w:hAnsi="Arial"/>
          <w:sz w:val="21"/>
          <w:szCs w:val="21"/>
          <w:color w:val="auto"/>
        </w:rPr>
      </w:pPr>
    </w:p>
    <w:p>
      <w:pPr>
        <w:jc w:val="both"/>
        <w:ind w:left="340" w:hanging="332"/>
        <w:spacing w:after="0" w:line="212" w:lineRule="auto"/>
        <w:tabs>
          <w:tab w:leader="none" w:pos="33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Governing Law and Forum</w:t>
      </w:r>
      <w:r>
        <w:rPr>
          <w:rFonts w:ascii="Arial" w:cs="Arial" w:eastAsia="Arial" w:hAnsi="Arial"/>
          <w:sz w:val="22"/>
          <w:szCs w:val="22"/>
          <w:color w:val="auto"/>
        </w:rPr>
        <w:t>. This Option and this Agreement shall be governed by and construed in accordance with the laws of the U.S. State of Texas, without giving effect to the principles of conflict of laws thereof. For purposes of litigating any dispute concerning the Award or this Agreement, you consent to the jurisdiction of the U.S. State of Texas and agree that such litigation shall be conducted exclusively in the courts of the State of Texas, or the federal courts for the United States located in the State of Texas, where this grant is made and/or to be performed. You agree that forum is proper in these courts in any such action or proceeding and waive, to the fullest extent permitted by law, any objection that the laying of forum of any legal or equitable proceedings related to, concerning or arising from such dispute which is brought in any such court is improper or that such proceedings have been brought in an inconvenient forum.</w:t>
      </w:r>
    </w:p>
    <w:p>
      <w:pPr>
        <w:spacing w:after="0" w:line="175" w:lineRule="exact"/>
        <w:rPr>
          <w:rFonts w:ascii="Arial" w:cs="Arial" w:eastAsia="Arial" w:hAnsi="Arial"/>
          <w:sz w:val="22"/>
          <w:szCs w:val="22"/>
          <w:color w:val="auto"/>
        </w:rPr>
      </w:pPr>
    </w:p>
    <w:p>
      <w:pPr>
        <w:jc w:val="both"/>
        <w:ind w:left="340" w:hanging="332"/>
        <w:spacing w:after="0" w:line="209" w:lineRule="auto"/>
        <w:tabs>
          <w:tab w:leader="none" w:pos="33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Severability and Reformation</w:t>
      </w:r>
      <w:r>
        <w:rPr>
          <w:rFonts w:ascii="Arial" w:cs="Arial" w:eastAsia="Arial" w:hAnsi="Arial"/>
          <w:sz w:val="22"/>
          <w:szCs w:val="22"/>
          <w:color w:val="auto"/>
        </w:rPr>
        <w:t>. Except as provided in the last sentence of this Section, the covenants in each section of this Agreement are independent of any other provisions of this Agreement, each term in this Agreement constitutes a separate covenant between the parties, and each term is fully severable from any other term. You and the Company agree if any particular paragraphs, subparagraphs, phrases, words or other portions of this Agreement are determined by an appropriate court to be invalid or unenforceable as written, they shall be modified as necessary to comport with the reasonable intent and expectations of the parties and in favor of providing reasonable protection to all of the Company’s legitimate business interests, and such modification shall not affect the remaining provisions of this Agreement, or if they cannot be modified to be made valid or enforceable, then they shall be severed from this Agreement, and all remaining terms and provisions shall nevertheless be binding and enforceable. Notwithstanding the foregoing, should any portion of Section 8 be determined by an appropriate court to be invalid or unenforceable, and such Section or any portion thereof cannot be modified in a manner that provides reasonable protection to all of the Company’s legitimate business interests, then rather than such Section or any portion thereof being severed from this Agreement, this Agreement in its entirety shall be null and void and you shall not be entitled to the Option or underlying shares or other benefits set forth herein.</w:t>
      </w:r>
    </w:p>
    <w:p>
      <w:pPr>
        <w:spacing w:after="0" w:line="178" w:lineRule="exact"/>
        <w:rPr>
          <w:rFonts w:ascii="Arial" w:cs="Arial" w:eastAsia="Arial" w:hAnsi="Arial"/>
          <w:sz w:val="22"/>
          <w:szCs w:val="22"/>
          <w:color w:val="auto"/>
        </w:rPr>
      </w:pPr>
    </w:p>
    <w:p>
      <w:pPr>
        <w:jc w:val="both"/>
        <w:ind w:left="340" w:hanging="332"/>
        <w:spacing w:after="0" w:line="212" w:lineRule="auto"/>
        <w:tabs>
          <w:tab w:leader="none" w:pos="33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Recoupment Authority</w:t>
      </w:r>
      <w:r>
        <w:rPr>
          <w:rFonts w:ascii="Arial" w:cs="Arial" w:eastAsia="Arial" w:hAnsi="Arial"/>
          <w:sz w:val="22"/>
          <w:szCs w:val="22"/>
          <w:color w:val="auto"/>
        </w:rPr>
        <w:t>. The Option, whether exercisable or not yet exercisable, and any shares issued on exercise of the Option, shall be subject to deduction, forfeiture or recoupment as set forth in this Agreement or to the extent required to comply with any recoupment requirement imposed under applicable laws, rules, regulations or stock exchange listing standards or under any associated Company recoupment policy. In order to satisfy any such terms and conditions and requirements, you expressly and explicitly authorize the Company to, among other things, issue instructions, on your behalf, to any brokerage firm or stock plan service provider engaged by the Company to hold any shares or other amounts acquired pursuant to the Option to re-convey, transfer or otherwise return such shares and/or other amounts to the Company upon the Company’s enforcement of the terms and conditions and requirements described in this Section.</w:t>
      </w:r>
    </w:p>
    <w:p>
      <w:pPr>
        <w:spacing w:after="0" w:line="175" w:lineRule="exact"/>
        <w:rPr>
          <w:rFonts w:ascii="Arial" w:cs="Arial" w:eastAsia="Arial" w:hAnsi="Arial"/>
          <w:sz w:val="22"/>
          <w:szCs w:val="22"/>
          <w:color w:val="auto"/>
        </w:rPr>
      </w:pPr>
    </w:p>
    <w:p>
      <w:pPr>
        <w:ind w:left="340" w:right="20" w:hanging="332"/>
        <w:spacing w:after="0" w:line="236" w:lineRule="auto"/>
        <w:tabs>
          <w:tab w:leader="none" w:pos="33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You understand that a waiver by the Company with respect to your compliance with any provision of this Agreement shall not operate or be construed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396" w:right="339" w:bottom="1440" w:gutter="0" w:footer="0" w:header="0"/>
        </w:sectPr>
      </w:pPr>
    </w:p>
    <w:bookmarkStart w:id="74" w:name="page75"/>
    <w:bookmarkEnd w:id="74"/>
    <w:p>
      <w:pPr>
        <w:ind w:left="340"/>
        <w:spacing w:after="0" w:line="236" w:lineRule="auto"/>
        <w:rPr>
          <w:sz w:val="20"/>
          <w:szCs w:val="20"/>
          <w:color w:val="auto"/>
        </w:rPr>
      </w:pPr>
      <w:r>
        <w:rPr>
          <w:rFonts w:ascii="Arial" w:cs="Arial" w:eastAsia="Arial" w:hAnsi="Arial"/>
          <w:sz w:val="22"/>
          <w:szCs w:val="22"/>
          <w:color w:val="auto"/>
        </w:rPr>
        <w:t>as a waiver of any other provision of this Agreement, or of any subsequent breach of a provision of this Agreement.</w:t>
      </w:r>
    </w:p>
    <w:p>
      <w:pPr>
        <w:spacing w:after="0" w:line="178" w:lineRule="exact"/>
        <w:rPr>
          <w:sz w:val="20"/>
          <w:szCs w:val="20"/>
          <w:color w:val="auto"/>
        </w:rPr>
      </w:pPr>
    </w:p>
    <w:p>
      <w:pPr>
        <w:jc w:val="both"/>
        <w:ind w:left="340" w:hanging="332"/>
        <w:spacing w:after="0" w:line="231" w:lineRule="auto"/>
        <w:tabs>
          <w:tab w:leader="none" w:pos="33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Language</w:t>
      </w:r>
      <w:r>
        <w:rPr>
          <w:rFonts w:ascii="Arial" w:cs="Arial" w:eastAsia="Arial" w:hAnsi="Arial"/>
          <w:sz w:val="21"/>
          <w:szCs w:val="21"/>
          <w:color w:val="auto"/>
        </w:rPr>
        <w:t>. You acknowledge that you are sufficiently proficient in English, or have consulted with an advisor who is sufficiently proficient in English, so as to allow you to understand the terms and conditions of this Agreement. Furthermore, if you received this or any other document related to the Plan translated into a language other than English and if the translated version is different than the English version, the English version will control.</w:t>
      </w:r>
    </w:p>
    <w:p>
      <w:pPr>
        <w:spacing w:after="0" w:line="177" w:lineRule="exact"/>
        <w:rPr>
          <w:rFonts w:ascii="Arial" w:cs="Arial" w:eastAsia="Arial" w:hAnsi="Arial"/>
          <w:sz w:val="21"/>
          <w:szCs w:val="21"/>
          <w:color w:val="auto"/>
        </w:rPr>
      </w:pPr>
    </w:p>
    <w:p>
      <w:pPr>
        <w:jc w:val="both"/>
        <w:ind w:left="340" w:hanging="332"/>
        <w:spacing w:after="0" w:line="217" w:lineRule="auto"/>
        <w:tabs>
          <w:tab w:leader="none" w:pos="33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Country-Specific Provisions</w:t>
      </w:r>
      <w:r>
        <w:rPr>
          <w:rFonts w:ascii="Arial" w:cs="Arial" w:eastAsia="Arial" w:hAnsi="Arial"/>
          <w:sz w:val="22"/>
          <w:szCs w:val="22"/>
          <w:color w:val="auto"/>
        </w:rPr>
        <w:t>. If you reside and/or work in any country in the Appendix to this Agreement, your grant is also subject to the additional terms and conditions for that country as stated in the Appendix. Further, if you relocate to one of the countries included in the Appendix, the terms and conditions for such country will apply to you to the extent the Company determines that the application of such terms and conditions is necessary or advisable for legal or administrative reasons. The Appendix constitutes a part of this Agreement.</w:t>
      </w:r>
    </w:p>
    <w:p>
      <w:pPr>
        <w:spacing w:after="0" w:line="179" w:lineRule="exact"/>
        <w:rPr>
          <w:rFonts w:ascii="Arial" w:cs="Arial" w:eastAsia="Arial" w:hAnsi="Arial"/>
          <w:sz w:val="22"/>
          <w:szCs w:val="22"/>
          <w:color w:val="auto"/>
        </w:rPr>
      </w:pPr>
    </w:p>
    <w:p>
      <w:pPr>
        <w:jc w:val="both"/>
        <w:ind w:left="340" w:hanging="332"/>
        <w:spacing w:after="0" w:line="220" w:lineRule="auto"/>
        <w:tabs>
          <w:tab w:leader="none" w:pos="33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in its sole discretion, may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79" w:lineRule="exact"/>
        <w:rPr>
          <w:rFonts w:ascii="Arial" w:cs="Arial" w:eastAsia="Arial" w:hAnsi="Arial"/>
          <w:sz w:val="22"/>
          <w:szCs w:val="22"/>
          <w:color w:val="auto"/>
        </w:rPr>
      </w:pPr>
    </w:p>
    <w:p>
      <w:pPr>
        <w:jc w:val="both"/>
        <w:ind w:left="340" w:hanging="332"/>
        <w:spacing w:after="0" w:line="217" w:lineRule="auto"/>
        <w:tabs>
          <w:tab w:leader="none" w:pos="33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Grant Notice, Agreement and the Plan constitute the entire agreement of the parties and supersede all prior undertakings and agreements with respect to the subject matter hereof. You understand and agree that the terms of the Award can be amended only by the Committee or its designee. You agree that the terms of the Plan govern this Award and that all interpretations and determinations made by the Company or the Committee with respect to the Plan and the Agreement shall be final and binding on all persons.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END</w:t>
      </w:r>
    </w:p>
    <w:p>
      <w:pPr>
        <w:spacing w:after="0" w:line="20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b w:val="1"/>
          <w:bCs w:val="1"/>
          <w:color w:val="auto"/>
        </w:rPr>
        <w:t>By accepting this Nonqualified Stock Option Award Agreement, I acknowledge I have read and I agree to be bound by all of the terms and conditions set forth above, as well as the terms and conditions set forth in the Appendix and any other exhibit attached to the Nonqualified Stock Option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96"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u w:val="single" w:color="auto"/>
          <w:color w:val="auto"/>
        </w:rPr>
        <w:t>Exhibit 10(l)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Incorporated</w:t>
      </w:r>
    </w:p>
    <w:p>
      <w:pPr>
        <w:jc w:val="center"/>
        <w:spacing w:after="0" w:line="204" w:lineRule="auto"/>
        <w:rPr>
          <w:sz w:val="20"/>
          <w:szCs w:val="20"/>
          <w:color w:val="auto"/>
        </w:rPr>
      </w:pPr>
      <w:r>
        <w:rPr>
          <w:rFonts w:ascii="Arial" w:cs="Arial" w:eastAsia="Arial" w:hAnsi="Arial"/>
          <w:sz w:val="22"/>
          <w:szCs w:val="22"/>
          <w:b w:val="1"/>
          <w:bCs w:val="1"/>
          <w:color w:val="auto"/>
        </w:rPr>
        <w:t>Restricted Stock Unit Award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RSU Form No. 2 (Officers)</w:t>
      </w:r>
    </w:p>
    <w:p>
      <w:pPr>
        <w:spacing w:after="0" w:line="18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Your award of restricted stock units (the “Award”) is subject to the following terms and conditions in this Restricted Stock Unit Award Agreement, including any additional terms and conditions for your country set forth in the appendix attached hereto (the “Appendix”) and any other exhibits attached hereto (collectively, the “Agreement”). Your acceptance of the Award is required within 120 days of the effective date of grant of this Award, as set forth in the notice of award to which this Agreement is attached (the “Grant Date”) and in which the number of shares under the Award and vesting schedule is communicated to you in writing by the Company or its designated stock plan service provider (the “Grant Notice”).</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2"/>
          <w:szCs w:val="22"/>
          <w:b w:val="1"/>
          <w:bCs w:val="1"/>
          <w:color w:val="auto"/>
        </w:rPr>
        <w:t xml:space="preserve">If you do not provide such acceptance within 120 days of the Grant Date, you will be deemed to have accepted your Award on the terms and conditions set forth herein. </w:t>
      </w:r>
      <w:r>
        <w:rPr>
          <w:rFonts w:ascii="Arial" w:cs="Arial" w:eastAsia="Arial" w:hAnsi="Arial"/>
          <w:sz w:val="22"/>
          <w:szCs w:val="22"/>
          <w:color w:val="auto"/>
        </w:rPr>
        <w:t>If you wish to decline this Award, you must</w:t>
      </w:r>
      <w:r>
        <w:rPr>
          <w:rFonts w:ascii="Arial" w:cs="Arial" w:eastAsia="Arial" w:hAnsi="Arial"/>
          <w:sz w:val="22"/>
          <w:szCs w:val="22"/>
          <w:b w:val="1"/>
          <w:bCs w:val="1"/>
          <w:color w:val="auto"/>
        </w:rPr>
        <w:t xml:space="preserve"> </w:t>
      </w:r>
      <w:r>
        <w:rPr>
          <w:rFonts w:ascii="Arial" w:cs="Arial" w:eastAsia="Arial" w:hAnsi="Arial"/>
          <w:sz w:val="22"/>
          <w:szCs w:val="22"/>
          <w:color w:val="auto"/>
        </w:rPr>
        <w:t>affirmatively notify the Company or the stock plan service provider of your choice to decline within 120 days of the Grant Date. Your choice to decline is irrevocable.</w:t>
      </w:r>
    </w:p>
    <w:p>
      <w:pPr>
        <w:spacing w:after="0" w:line="177" w:lineRule="exact"/>
        <w:rPr>
          <w:sz w:val="20"/>
          <w:szCs w:val="20"/>
          <w:color w:val="auto"/>
        </w:rPr>
      </w:pPr>
    </w:p>
    <w:p>
      <w:pPr>
        <w:jc w:val="both"/>
        <w:ind w:left="340" w:hanging="332"/>
        <w:spacing w:after="0" w:line="217" w:lineRule="auto"/>
        <w:tabs>
          <w:tab w:leader="none" w:pos="331"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Long-Term Incentive Plan</w:t>
      </w:r>
      <w:r>
        <w:rPr>
          <w:rFonts w:ascii="Arial" w:cs="Arial" w:eastAsia="Arial" w:hAnsi="Arial"/>
          <w:sz w:val="22"/>
          <w:szCs w:val="22"/>
          <w:color w:val="auto"/>
        </w:rPr>
        <w:t>. This Award is subject to all of the terms and conditions of the most recently approved Texas Instruments Long-Term Incentive Plan in effect as of the Grant Date (the “Plan”). In the event there is a conflict between the terms and conditions of the Plan and those of this Award, the terms of the Plan shall govern and be determinative. The capitalized terms in this Agreement have the meaning stated in the Plan, except as otherwise specified.</w:t>
      </w:r>
    </w:p>
    <w:p>
      <w:pPr>
        <w:spacing w:after="0" w:line="179" w:lineRule="exact"/>
        <w:rPr>
          <w:rFonts w:ascii="Arial" w:cs="Arial" w:eastAsia="Arial" w:hAnsi="Arial"/>
          <w:sz w:val="22"/>
          <w:szCs w:val="22"/>
          <w:color w:val="auto"/>
        </w:rPr>
      </w:pPr>
    </w:p>
    <w:p>
      <w:pPr>
        <w:jc w:val="both"/>
        <w:ind w:left="340" w:hanging="332"/>
        <w:spacing w:after="0" w:line="237" w:lineRule="auto"/>
        <w:tabs>
          <w:tab w:leader="none" w:pos="331"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Share Issuance</w:t>
      </w:r>
      <w:r>
        <w:rPr>
          <w:rFonts w:ascii="Arial" w:cs="Arial" w:eastAsia="Arial" w:hAnsi="Arial"/>
          <w:sz w:val="21"/>
          <w:szCs w:val="21"/>
          <w:color w:val="auto"/>
        </w:rPr>
        <w:t>. Each restricted stock unit represents the right to receive one share of common stock of the Company. The shares covered by this Award will be issued in your name on, or as soon as practicable (but no later than 60 days) after, the date of vesting stated in the Grant Notice (“Vesting Date”), except as provided below.</w:t>
      </w:r>
    </w:p>
    <w:p>
      <w:pPr>
        <w:spacing w:after="0" w:line="175" w:lineRule="exact"/>
        <w:rPr>
          <w:rFonts w:ascii="Arial" w:cs="Arial" w:eastAsia="Arial" w:hAnsi="Arial"/>
          <w:sz w:val="21"/>
          <w:szCs w:val="21"/>
          <w:color w:val="auto"/>
        </w:rPr>
      </w:pPr>
    </w:p>
    <w:p>
      <w:pPr>
        <w:ind w:left="340" w:right="20" w:hanging="332"/>
        <w:spacing w:after="0" w:line="236" w:lineRule="auto"/>
        <w:tabs>
          <w:tab w:leader="none" w:pos="436"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The effect of termination of employment with the Company or any Affiliate before the Vesting Date will be as follows:</w:t>
      </w:r>
    </w:p>
    <w:p>
      <w:pPr>
        <w:spacing w:after="0" w:line="177" w:lineRule="exact"/>
        <w:rPr>
          <w:rFonts w:ascii="Arial" w:cs="Arial" w:eastAsia="Arial" w:hAnsi="Arial"/>
          <w:sz w:val="22"/>
          <w:szCs w:val="22"/>
          <w:color w:val="auto"/>
        </w:rPr>
      </w:pPr>
    </w:p>
    <w:p>
      <w:pPr>
        <w:jc w:val="both"/>
        <w:ind w:left="820" w:hanging="488"/>
        <w:spacing w:after="0" w:line="217" w:lineRule="auto"/>
        <w:tabs>
          <w:tab w:leader="none" w:pos="946"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The Award will terminate and become void without any shares being issued. For avoidance of doubt, you will not earn or be entitled to any pro-rated vesting of the Award for any portion of time before the termination occurred, nor will you be entitled to any compensation for lost vesting. “Cause” in this Agreement shall be determined within the Company’s sole discretion, which shall not be applied arbitrarily or capriciously.</w:t>
      </w:r>
    </w:p>
    <w:p>
      <w:pPr>
        <w:spacing w:after="0" w:line="179" w:lineRule="exact"/>
        <w:rPr>
          <w:rFonts w:ascii="Arial" w:cs="Arial" w:eastAsia="Arial" w:hAnsi="Arial"/>
          <w:sz w:val="22"/>
          <w:szCs w:val="22"/>
          <w:color w:val="auto"/>
        </w:rPr>
      </w:pPr>
    </w:p>
    <w:p>
      <w:pPr>
        <w:jc w:val="both"/>
        <w:ind w:left="820" w:hanging="488"/>
        <w:spacing w:after="0" w:line="231" w:lineRule="auto"/>
        <w:tabs>
          <w:tab w:leader="none" w:pos="892"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Termination due to death or permanent disability</w:t>
      </w:r>
      <w:r>
        <w:rPr>
          <w:rFonts w:ascii="Arial" w:cs="Arial" w:eastAsia="Arial" w:hAnsi="Arial"/>
          <w:sz w:val="21"/>
          <w:szCs w:val="21"/>
          <w:color w:val="auto"/>
        </w:rPr>
        <w:t>. The Award will remain outstanding and be settled on the Vesting Date(s), subject to the other terms and conditions of this Agreement, and shares will be issued to you or to your personal representatives, heirs, legatees or distributees, as applicable, at such times and in such number and manner as if you were still an employee of the Company or any Affiliate on each Vesting Date.</w:t>
      </w:r>
    </w:p>
    <w:p>
      <w:pPr>
        <w:spacing w:after="0" w:line="177" w:lineRule="exact"/>
        <w:rPr>
          <w:rFonts w:ascii="Arial" w:cs="Arial" w:eastAsia="Arial" w:hAnsi="Arial"/>
          <w:sz w:val="21"/>
          <w:szCs w:val="21"/>
          <w:color w:val="auto"/>
        </w:rPr>
      </w:pPr>
    </w:p>
    <w:p>
      <w:pPr>
        <w:jc w:val="both"/>
        <w:ind w:left="820" w:hanging="488"/>
        <w:spacing w:after="0" w:line="220" w:lineRule="auto"/>
        <w:tabs>
          <w:tab w:leader="none" w:pos="866"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Termination (except for Cause), at least six months after the Grant Date, when you are Retirement Eligible</w:t>
      </w:r>
      <w:r>
        <w:rPr>
          <w:rFonts w:ascii="Arial" w:cs="Arial" w:eastAsia="Arial" w:hAnsi="Arial"/>
          <w:sz w:val="22"/>
          <w:szCs w:val="22"/>
          <w:color w:val="auto"/>
        </w:rPr>
        <w:t>. The Award will remain outstanding and be settled on the Vesting Date(s), subject to the other terms and conditions of this Agreement. The term “Retirement Eligible” means (i) at least 55 years of age with at least 10 years of service (measured from your service date as shown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368969v1</w:t>
      </w:r>
    </w:p>
    <w:p>
      <w:pPr>
        <w:sectPr>
          <w:pgSz w:w="11900" w:h="16838" w:orient="portrait"/>
          <w:cols w:equalWidth="0" w:num="1">
            <w:col w:w="11240"/>
          </w:cols>
          <w:pgMar w:left="320" w:top="127" w:right="339" w:bottom="1440" w:gutter="0" w:footer="0" w:header="0"/>
        </w:sectPr>
      </w:pPr>
    </w:p>
    <w:bookmarkStart w:id="76" w:name="page77"/>
    <w:bookmarkEnd w:id="76"/>
    <w:p>
      <w:pPr>
        <w:ind w:left="820"/>
        <w:spacing w:after="0" w:line="236" w:lineRule="auto"/>
        <w:rPr>
          <w:sz w:val="20"/>
          <w:szCs w:val="20"/>
          <w:color w:val="auto"/>
        </w:rPr>
      </w:pPr>
      <w:r>
        <w:rPr>
          <w:rFonts w:ascii="Arial" w:cs="Arial" w:eastAsia="Arial" w:hAnsi="Arial"/>
          <w:sz w:val="22"/>
          <w:szCs w:val="22"/>
          <w:color w:val="auto"/>
        </w:rPr>
        <w:t>the Company’s global human resources database) with the Company or any Affiliate, or (ii) at least 65 years of age.</w:t>
      </w:r>
    </w:p>
    <w:p>
      <w:pPr>
        <w:spacing w:after="0" w:line="178" w:lineRule="exact"/>
        <w:rPr>
          <w:sz w:val="20"/>
          <w:szCs w:val="20"/>
          <w:color w:val="auto"/>
        </w:rPr>
      </w:pPr>
    </w:p>
    <w:p>
      <w:pPr>
        <w:jc w:val="both"/>
        <w:ind w:left="820" w:hanging="488"/>
        <w:spacing w:after="0" w:line="226" w:lineRule="auto"/>
        <w:tabs>
          <w:tab w:leader="none" w:pos="851"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Involuntary Termination (except for Cause) within 24 months after a Change in Control</w:t>
      </w:r>
      <w:r>
        <w:rPr>
          <w:rFonts w:ascii="Arial" w:cs="Arial" w:eastAsia="Arial" w:hAnsi="Arial"/>
          <w:sz w:val="22"/>
          <w:szCs w:val="22"/>
          <w:color w:val="auto"/>
        </w:rPr>
        <w:t>. If you experience an Involuntary Termination within 24 months after a Change in Control, shares will be issued to you as described in Section 11(h) of the Plan.</w:t>
      </w:r>
    </w:p>
    <w:p>
      <w:pPr>
        <w:spacing w:after="0" w:line="176" w:lineRule="exact"/>
        <w:rPr>
          <w:rFonts w:ascii="Arial" w:cs="Arial" w:eastAsia="Arial" w:hAnsi="Arial"/>
          <w:sz w:val="22"/>
          <w:szCs w:val="22"/>
          <w:color w:val="auto"/>
        </w:rPr>
      </w:pPr>
    </w:p>
    <w:p>
      <w:pPr>
        <w:ind w:left="820" w:hanging="488"/>
        <w:spacing w:after="0" w:line="236" w:lineRule="auto"/>
        <w:tabs>
          <w:tab w:leader="none" w:pos="919"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Termination under other circumstances</w:t>
      </w:r>
      <w:r>
        <w:rPr>
          <w:rFonts w:ascii="Arial" w:cs="Arial" w:eastAsia="Arial" w:hAnsi="Arial"/>
          <w:sz w:val="22"/>
          <w:szCs w:val="22"/>
          <w:color w:val="auto"/>
        </w:rPr>
        <w:t>. For any termination other than those described above, the Award will terminate and become void without any shares being issued.</w:t>
      </w:r>
    </w:p>
    <w:p>
      <w:pPr>
        <w:spacing w:after="0" w:line="177" w:lineRule="exact"/>
        <w:rPr>
          <w:rFonts w:ascii="Arial" w:cs="Arial" w:eastAsia="Arial" w:hAnsi="Arial"/>
          <w:sz w:val="22"/>
          <w:szCs w:val="22"/>
          <w:color w:val="auto"/>
        </w:rPr>
      </w:pPr>
    </w:p>
    <w:p>
      <w:pPr>
        <w:ind w:left="340" w:right="20" w:hanging="332"/>
        <w:spacing w:after="0" w:line="236" w:lineRule="auto"/>
        <w:tabs>
          <w:tab w:leader="none" w:pos="477"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Grant Notice</w:t>
      </w:r>
      <w:r>
        <w:rPr>
          <w:rFonts w:ascii="Arial" w:cs="Arial" w:eastAsia="Arial" w:hAnsi="Arial"/>
          <w:sz w:val="22"/>
          <w:szCs w:val="22"/>
          <w:color w:val="auto"/>
        </w:rPr>
        <w:t>. This Award was granted by the Committee or its designee. In the event of a conflict between the Grant Notice and the records of the Committee, the latter shall govern and be determinative.</w:t>
      </w:r>
    </w:p>
    <w:p>
      <w:pPr>
        <w:spacing w:after="0" w:line="191" w:lineRule="exact"/>
        <w:rPr>
          <w:rFonts w:ascii="Arial" w:cs="Arial" w:eastAsia="Arial" w:hAnsi="Arial"/>
          <w:sz w:val="22"/>
          <w:szCs w:val="22"/>
          <w:color w:val="auto"/>
        </w:rPr>
      </w:pPr>
    </w:p>
    <w:p>
      <w:pPr>
        <w:jc w:val="both"/>
        <w:ind w:left="340" w:right="80" w:hanging="332"/>
        <w:spacing w:after="0"/>
        <w:tabs>
          <w:tab w:leader="none" w:pos="50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Each year in which this Award is in effect, you will receive a payment equivalent to the cash dividends you would have received if the shares underlying this Award, but not yet issued in your name, had already been issued to you (“Dividend Equivalents”); provided, however, that no payment will be made if your Award has terminated before the last dividend record date of the year for any reason other than vesting. The Dividend Equivalent payment under this paragraph will be made once each year on or as soon as practicable after the date of the last cash dividend payment in the year (but in any event before year-end). The Dividend Equivalents will be calculated based on the record dates for any dividends paid during the year in which this Award was in effect.</w:t>
      </w:r>
    </w:p>
    <w:p>
      <w:pPr>
        <w:spacing w:after="0" w:line="190" w:lineRule="exact"/>
        <w:rPr>
          <w:rFonts w:ascii="Arial" w:cs="Arial" w:eastAsia="Arial" w:hAnsi="Arial"/>
          <w:sz w:val="22"/>
          <w:szCs w:val="22"/>
          <w:color w:val="auto"/>
        </w:rPr>
      </w:pPr>
    </w:p>
    <w:p>
      <w:pPr>
        <w:jc w:val="both"/>
        <w:ind w:left="340" w:hanging="332"/>
        <w:spacing w:after="0" w:line="217" w:lineRule="auto"/>
        <w:tabs>
          <w:tab w:leader="none" w:pos="477"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Compliance with Laws and Regulations</w:t>
      </w:r>
      <w:r>
        <w:rPr>
          <w:rFonts w:ascii="Arial" w:cs="Arial" w:eastAsia="Arial" w:hAnsi="Arial"/>
          <w:sz w:val="22"/>
          <w:szCs w:val="22"/>
          <w:color w:val="auto"/>
        </w:rPr>
        <w:t>. The Company shall not be obligated to maintain the Award or issue or transfer any shares of Company common stock (or the equivalent value) to you if doing so would violate applicable requirements of U.S. or non-U.S. federal, state, or local securities, exchange control or other laws or applicable requirements, including but not limited to of any stock exchange or national market system on which the shares may be listed.</w:t>
      </w:r>
    </w:p>
    <w:p>
      <w:pPr>
        <w:spacing w:after="0" w:line="179" w:lineRule="exact"/>
        <w:rPr>
          <w:rFonts w:ascii="Arial" w:cs="Arial" w:eastAsia="Arial" w:hAnsi="Arial"/>
          <w:sz w:val="22"/>
          <w:szCs w:val="22"/>
          <w:color w:val="auto"/>
        </w:rPr>
      </w:pPr>
    </w:p>
    <w:p>
      <w:pPr>
        <w:ind w:left="340" w:hanging="332"/>
        <w:spacing w:after="0" w:line="236" w:lineRule="auto"/>
        <w:tabs>
          <w:tab w:leader="none" w:pos="50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Your Award is not transferable except by will or by the laws of descent and distribution. During your lifetime, the shares issuable hereunder may be issued only to you.</w:t>
      </w:r>
    </w:p>
    <w:p>
      <w:pPr>
        <w:spacing w:after="0" w:line="175" w:lineRule="exact"/>
        <w:rPr>
          <w:rFonts w:ascii="Arial" w:cs="Arial" w:eastAsia="Arial" w:hAnsi="Arial"/>
          <w:sz w:val="22"/>
          <w:szCs w:val="22"/>
          <w:color w:val="auto"/>
        </w:rPr>
      </w:pPr>
    </w:p>
    <w:p>
      <w:pPr>
        <w:jc w:val="both"/>
        <w:ind w:left="340" w:hanging="332"/>
        <w:spacing w:after="0" w:line="226" w:lineRule="auto"/>
        <w:tabs>
          <w:tab w:leader="none" w:pos="909"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 Non-solicitation, Competition, Detrimental Activity, Repayment and Recoupment</w:t>
      </w:r>
      <w:r>
        <w:rPr>
          <w:rFonts w:ascii="Arial" w:cs="Arial" w:eastAsia="Arial" w:hAnsi="Arial"/>
          <w:sz w:val="22"/>
          <w:szCs w:val="22"/>
          <w:color w:val="auto"/>
        </w:rPr>
        <w:t>. By accepting your Award, and in consideration for the Award and for the Company’s obligations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in this Agreement, you agree with the Company as follows:</w:t>
      </w:r>
    </w:p>
    <w:p>
      <w:pPr>
        <w:spacing w:after="0" w:line="178" w:lineRule="exact"/>
        <w:rPr>
          <w:rFonts w:ascii="Arial" w:cs="Arial" w:eastAsia="Arial" w:hAnsi="Arial"/>
          <w:sz w:val="22"/>
          <w:szCs w:val="22"/>
          <w:color w:val="auto"/>
        </w:rPr>
      </w:pPr>
    </w:p>
    <w:p>
      <w:pPr>
        <w:jc w:val="both"/>
        <w:ind w:left="820" w:hanging="488"/>
        <w:spacing w:after="0" w:line="215" w:lineRule="auto"/>
        <w:tabs>
          <w:tab w:leader="none" w:pos="878"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Access to Confidential Information</w:t>
      </w:r>
      <w:r>
        <w:rPr>
          <w:rFonts w:ascii="Arial" w:cs="Arial" w:eastAsia="Arial" w:hAnsi="Arial"/>
          <w:sz w:val="22"/>
          <w:szCs w:val="22"/>
          <w:color w:val="auto"/>
        </w:rPr>
        <w:t>. You recognize and acknowledge that in the course of your employment with the Company or any Affiliate, you have obtained and will continue to obtain and have access to private or confidential information and proprietary data relating to the Company, its customers, and its suppliers, including but not limited to the Company’s trade secrets (hereinafter, collectively, “Confidential Information”). The Company agrees that it will continue to provide you Confidential Information for you to carry out the duties of your employment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6" w:right="339" w:bottom="1440" w:gutter="0" w:footer="0" w:header="0"/>
        </w:sectPr>
      </w:pPr>
    </w:p>
    <w:bookmarkStart w:id="77" w:name="page78"/>
    <w:bookmarkEnd w:id="77"/>
    <w:p>
      <w:pPr>
        <w:jc w:val="both"/>
        <w:ind w:left="488" w:hanging="488"/>
        <w:spacing w:after="0" w:line="217" w:lineRule="auto"/>
        <w:tabs>
          <w:tab w:leader="none" w:pos="482"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Acknowledgments</w:t>
      </w:r>
      <w:r>
        <w:rPr>
          <w:rFonts w:ascii="Arial" w:cs="Arial" w:eastAsia="Arial" w:hAnsi="Arial"/>
          <w:sz w:val="22"/>
          <w:szCs w:val="22"/>
          <w:color w:val="auto"/>
        </w:rPr>
        <w:t>. You recognize and acknowledge that (i) the Company manufactures, designs, sells and markets its products and technologies in global markets, (ii) the Company’s success depends to a significant degree on the skills of its employees and their knowledge of the Company’s customers and suppliers, many of which operate on a global basis, and (iii) much of the information that the Company maintains regarding its products, employees, customers and suppliers is Confidential Information.</w:t>
      </w:r>
    </w:p>
    <w:p>
      <w:pPr>
        <w:spacing w:after="0" w:line="179" w:lineRule="exact"/>
        <w:rPr>
          <w:rFonts w:ascii="Arial" w:cs="Arial" w:eastAsia="Arial" w:hAnsi="Arial"/>
          <w:sz w:val="22"/>
          <w:szCs w:val="22"/>
          <w:color w:val="auto"/>
        </w:rPr>
      </w:pPr>
    </w:p>
    <w:p>
      <w:pPr>
        <w:jc w:val="both"/>
        <w:ind w:left="488" w:hanging="488"/>
        <w:spacing w:after="0" w:line="217" w:lineRule="auto"/>
        <w:tabs>
          <w:tab w:leader="none" w:pos="482"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Information</w:t>
      </w:r>
      <w:r>
        <w:rPr>
          <w:rFonts w:ascii="Arial" w:cs="Arial" w:eastAsia="Arial" w:hAnsi="Arial"/>
          <w:sz w:val="22"/>
          <w:szCs w:val="22"/>
          <w:color w:val="auto"/>
        </w:rPr>
        <w:t>. You agree not to use or disclose to any third party, either directly or indirectly, Confidential Information at any time, except as required in your work for the Company or any Affiliate or with the prior written consent of the Company. You understand that nothing herein prevents you from disclosing Confidential Information to the extent required to effectively report potential violations of law to an appropriate governmental authority charged with enforcing such law.</w:t>
      </w:r>
    </w:p>
    <w:p>
      <w:pPr>
        <w:spacing w:after="0" w:line="179" w:lineRule="exact"/>
        <w:rPr>
          <w:rFonts w:ascii="Arial" w:cs="Arial" w:eastAsia="Arial" w:hAnsi="Arial"/>
          <w:sz w:val="22"/>
          <w:szCs w:val="22"/>
          <w:color w:val="auto"/>
        </w:rPr>
      </w:pPr>
    </w:p>
    <w:p>
      <w:pPr>
        <w:jc w:val="both"/>
        <w:ind w:left="488" w:hanging="488"/>
        <w:spacing w:after="0" w:line="214" w:lineRule="auto"/>
        <w:tabs>
          <w:tab w:leader="none" w:pos="482"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Non-solicitation of certain employees</w:t>
      </w:r>
      <w:r>
        <w:rPr>
          <w:rFonts w:ascii="Arial" w:cs="Arial" w:eastAsia="Arial" w:hAnsi="Arial"/>
          <w:sz w:val="22"/>
          <w:szCs w:val="22"/>
          <w:color w:val="auto"/>
        </w:rPr>
        <w:t>. You agree not to, during the Restricted Period, either directly or indirectly, solicit, recruit, or hire for your own benefit or for any other person or entity any employee of the Company or any Affiliate with whom you had business contact with or knowledge of as a result of your employment with the Company or any Affiliate to be an employee, director, officer, agent, consultant, partner or independent contractor without the prior written consent of the Company. The term “Restricted Period” means the period from the effective date of this Agreement until the second anniversary of the date on which your employment with the Company or any Affiliate has terminated for any reason.</w:t>
      </w:r>
    </w:p>
    <w:p>
      <w:pPr>
        <w:spacing w:after="0" w:line="176" w:lineRule="exact"/>
        <w:rPr>
          <w:rFonts w:ascii="Arial" w:cs="Arial" w:eastAsia="Arial" w:hAnsi="Arial"/>
          <w:sz w:val="22"/>
          <w:szCs w:val="22"/>
          <w:color w:val="auto"/>
        </w:rPr>
      </w:pPr>
    </w:p>
    <w:p>
      <w:pPr>
        <w:jc w:val="both"/>
        <w:ind w:left="488" w:hanging="488"/>
        <w:spacing w:after="0" w:line="220" w:lineRule="auto"/>
        <w:tabs>
          <w:tab w:leader="none" w:pos="482"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Non-solicitation of certain customers</w:t>
      </w:r>
      <w:r>
        <w:rPr>
          <w:rFonts w:ascii="Arial" w:cs="Arial" w:eastAsia="Arial" w:hAnsi="Arial"/>
          <w:sz w:val="22"/>
          <w:szCs w:val="22"/>
          <w:color w:val="auto"/>
        </w:rPr>
        <w:t>. You agree not to, during the Restricted Period, either directly or indirectly, solicit for your own benefit or for any other person or entity any customer of the Company or any Affiliate to which you marketed or sold Company products or technologies during the last two years of your employment with the Company or any Affiliate, without the prior written consent of the Company.</w:t>
      </w:r>
    </w:p>
    <w:p>
      <w:pPr>
        <w:spacing w:after="0" w:line="179" w:lineRule="exact"/>
        <w:rPr>
          <w:rFonts w:ascii="Arial" w:cs="Arial" w:eastAsia="Arial" w:hAnsi="Arial"/>
          <w:sz w:val="22"/>
          <w:szCs w:val="22"/>
          <w:color w:val="auto"/>
        </w:rPr>
      </w:pPr>
    </w:p>
    <w:p>
      <w:pPr>
        <w:jc w:val="both"/>
        <w:ind w:left="488" w:hanging="488"/>
        <w:spacing w:after="0" w:line="217" w:lineRule="auto"/>
        <w:tabs>
          <w:tab w:leader="none" w:pos="482"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Injunctive relief</w:t>
      </w:r>
      <w:r>
        <w:rPr>
          <w:rFonts w:ascii="Arial" w:cs="Arial" w:eastAsia="Arial" w:hAnsi="Arial"/>
          <w:sz w:val="22"/>
          <w:szCs w:val="22"/>
          <w:color w:val="auto"/>
        </w:rPr>
        <w:t>. Without limiting the remedies available to the Company and its Affiliates, you acknowledge that damages at law will be an insufficient remedy to the Company and its Affiliates if you violate Section 8(c), (d) or (e), and agree that the Company and its Affiliates will be entitled to injunctive relief in any court of competent jurisdiction upon the breach or threatened breach of any such terms or otherwise specifically to enforce such terms.</w:t>
      </w:r>
    </w:p>
    <w:p>
      <w:pPr>
        <w:spacing w:after="0" w:line="179" w:lineRule="exact"/>
        <w:rPr>
          <w:rFonts w:ascii="Arial" w:cs="Arial" w:eastAsia="Arial" w:hAnsi="Arial"/>
          <w:sz w:val="22"/>
          <w:szCs w:val="22"/>
          <w:color w:val="auto"/>
        </w:rPr>
      </w:pPr>
    </w:p>
    <w:p>
      <w:pPr>
        <w:jc w:val="both"/>
        <w:ind w:left="328" w:hanging="328"/>
        <w:spacing w:after="0" w:line="212" w:lineRule="auto"/>
        <w:tabs>
          <w:tab w:leader="none" w:pos="322"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In addition to any other remedies available to the Company and its Affiliates, you agree that if the Company reasonably determines you have engaged in any activity that is detrimental to the interests of the Company or any Affiliate (a “Detrimental Activity”), or that you are likely to engage in a Detrimental Activity, then the Company shall have the sole discretion to suspend your right to receive the Award and the issuance of shares under this Award and any payment of Dividend Equivalents under this Award, up to and including cancellation of the Award and Dividend Equivalents. The Company shall also have the sole discretion to suspend the issuance of shares and payment of Dividend Equivalents while it is undertaking reasonable efforts to make such a determination. Detrimental Activities include, but are not limited to:</w:t>
      </w:r>
    </w:p>
    <w:p>
      <w:pPr>
        <w:spacing w:after="0" w:line="183" w:lineRule="exact"/>
        <w:rPr>
          <w:rFonts w:ascii="Arial" w:cs="Arial" w:eastAsia="Arial" w:hAnsi="Arial"/>
          <w:sz w:val="22"/>
          <w:szCs w:val="22"/>
          <w:color w:val="auto"/>
        </w:rPr>
      </w:pPr>
    </w:p>
    <w:p>
      <w:pPr>
        <w:ind w:left="1128" w:hanging="480"/>
        <w:spacing w:after="0"/>
        <w:tabs>
          <w:tab w:leader="none" w:pos="1128" w:val="left"/>
        </w:tabs>
        <w:numPr>
          <w:ilvl w:val="1"/>
          <w:numId w:val="52"/>
        </w:numPr>
        <w:rPr>
          <w:rFonts w:ascii="Arial" w:cs="Arial" w:eastAsia="Arial" w:hAnsi="Arial"/>
          <w:sz w:val="22"/>
          <w:szCs w:val="22"/>
          <w:color w:val="auto"/>
        </w:rPr>
      </w:pPr>
      <w:r>
        <w:rPr>
          <w:rFonts w:ascii="Arial" w:cs="Arial" w:eastAsia="Arial" w:hAnsi="Arial"/>
          <w:sz w:val="22"/>
          <w:szCs w:val="22"/>
          <w:color w:val="auto"/>
        </w:rPr>
        <w:t>Violation of any aspect of Section 8(c), (d) or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08"/>
          </w:cols>
          <w:pgMar w:left="652" w:top="1396" w:right="339" w:bottom="1440" w:gutter="0" w:footer="0" w:header="0"/>
        </w:sectPr>
      </w:pPr>
    </w:p>
    <w:bookmarkStart w:id="78" w:name="page79"/>
    <w:bookmarkEnd w:id="78"/>
    <w:p>
      <w:pPr>
        <w:ind w:left="1128" w:hanging="480"/>
        <w:spacing w:after="0"/>
        <w:tabs>
          <w:tab w:leader="none" w:pos="1128" w:val="left"/>
        </w:tabs>
        <w:numPr>
          <w:ilvl w:val="1"/>
          <w:numId w:val="53"/>
        </w:numPr>
        <w:rPr>
          <w:rFonts w:ascii="Arial" w:cs="Arial" w:eastAsia="Arial" w:hAnsi="Arial"/>
          <w:sz w:val="21"/>
          <w:szCs w:val="21"/>
          <w:color w:val="auto"/>
        </w:rPr>
      </w:pPr>
      <w:r>
        <w:rPr>
          <w:rFonts w:ascii="Arial" w:cs="Arial" w:eastAsia="Arial" w:hAnsi="Arial"/>
          <w:sz w:val="21"/>
          <w:szCs w:val="21"/>
          <w:color w:val="auto"/>
        </w:rPr>
        <w:t>Directly or indirectly engaging in Competition, as defined in Section 8(h), during the Restricted Period;</w:t>
      </w:r>
    </w:p>
    <w:p>
      <w:pPr>
        <w:spacing w:after="0" w:line="217" w:lineRule="exact"/>
        <w:rPr>
          <w:rFonts w:ascii="Arial" w:cs="Arial" w:eastAsia="Arial" w:hAnsi="Arial"/>
          <w:sz w:val="21"/>
          <w:szCs w:val="21"/>
          <w:color w:val="auto"/>
        </w:rPr>
      </w:pPr>
    </w:p>
    <w:p>
      <w:pPr>
        <w:ind w:left="1128" w:right="20" w:hanging="480"/>
        <w:spacing w:after="0" w:line="236" w:lineRule="auto"/>
        <w:tabs>
          <w:tab w:leader="none" w:pos="1122" w:val="left"/>
        </w:tabs>
        <w:numPr>
          <w:ilvl w:val="1"/>
          <w:numId w:val="53"/>
        </w:numPr>
        <w:rPr>
          <w:rFonts w:ascii="Arial" w:cs="Arial" w:eastAsia="Arial" w:hAnsi="Arial"/>
          <w:sz w:val="22"/>
          <w:szCs w:val="22"/>
          <w:color w:val="auto"/>
        </w:rPr>
      </w:pPr>
      <w:r>
        <w:rPr>
          <w:rFonts w:ascii="Arial" w:cs="Arial" w:eastAsia="Arial" w:hAnsi="Arial"/>
          <w:sz w:val="22"/>
          <w:szCs w:val="22"/>
          <w:color w:val="auto"/>
        </w:rPr>
        <w:t>Directly or indirectly engaging with a third party (e.g. current or potential supplier, customer, or business partner of the Company or an Affiliate) in a manner that creates a conflict of interest; or</w:t>
      </w:r>
    </w:p>
    <w:p>
      <w:pPr>
        <w:spacing w:after="0" w:line="177" w:lineRule="exact"/>
        <w:rPr>
          <w:rFonts w:ascii="Arial" w:cs="Arial" w:eastAsia="Arial" w:hAnsi="Arial"/>
          <w:sz w:val="22"/>
          <w:szCs w:val="22"/>
          <w:color w:val="auto"/>
        </w:rPr>
      </w:pPr>
    </w:p>
    <w:p>
      <w:pPr>
        <w:ind w:left="1128" w:hanging="480"/>
        <w:spacing w:after="0"/>
        <w:tabs>
          <w:tab w:leader="none" w:pos="1128" w:val="left"/>
        </w:tabs>
        <w:numPr>
          <w:ilvl w:val="1"/>
          <w:numId w:val="53"/>
        </w:numPr>
        <w:rPr>
          <w:rFonts w:ascii="Arial" w:cs="Arial" w:eastAsia="Arial" w:hAnsi="Arial"/>
          <w:sz w:val="22"/>
          <w:szCs w:val="22"/>
          <w:color w:val="auto"/>
        </w:rPr>
      </w:pPr>
      <w:r>
        <w:rPr>
          <w:rFonts w:ascii="Arial" w:cs="Arial" w:eastAsia="Arial" w:hAnsi="Arial"/>
          <w:sz w:val="22"/>
          <w:szCs w:val="22"/>
          <w:color w:val="auto"/>
        </w:rPr>
        <w:t>Engaging in conduct inconsistent with the Company’s Code of Conduct or Misconduct policy.</w:t>
      </w:r>
    </w:p>
    <w:p>
      <w:pPr>
        <w:spacing w:after="0" w:line="206" w:lineRule="exact"/>
        <w:rPr>
          <w:rFonts w:ascii="Arial" w:cs="Arial" w:eastAsia="Arial" w:hAnsi="Arial"/>
          <w:sz w:val="22"/>
          <w:szCs w:val="22"/>
          <w:color w:val="auto"/>
        </w:rPr>
      </w:pPr>
    </w:p>
    <w:p>
      <w:pPr>
        <w:ind w:left="588" w:hanging="507"/>
        <w:spacing w:after="0"/>
        <w:tabs>
          <w:tab w:leader="none" w:pos="588"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Competition</w:t>
      </w:r>
      <w:r>
        <w:rPr>
          <w:rFonts w:ascii="Arial" w:cs="Arial" w:eastAsia="Arial" w:hAnsi="Arial"/>
          <w:sz w:val="22"/>
          <w:szCs w:val="22"/>
          <w:color w:val="auto"/>
        </w:rPr>
        <w:t>. The term “Competition” means:</w:t>
      </w:r>
    </w:p>
    <w:p>
      <w:pPr>
        <w:spacing w:after="0" w:line="206" w:lineRule="exact"/>
        <w:rPr>
          <w:sz w:val="20"/>
          <w:szCs w:val="20"/>
          <w:color w:val="auto"/>
        </w:rPr>
      </w:pPr>
    </w:p>
    <w:p>
      <w:pPr>
        <w:jc w:val="both"/>
        <w:ind w:left="1128" w:hanging="480"/>
        <w:spacing w:after="0" w:line="220" w:lineRule="auto"/>
        <w:tabs>
          <w:tab w:leader="none" w:pos="1123" w:val="left"/>
        </w:tabs>
        <w:numPr>
          <w:ilvl w:val="1"/>
          <w:numId w:val="55"/>
        </w:numPr>
        <w:rPr>
          <w:rFonts w:ascii="Arial" w:cs="Arial" w:eastAsia="Arial" w:hAnsi="Arial"/>
          <w:sz w:val="22"/>
          <w:szCs w:val="22"/>
          <w:color w:val="auto"/>
        </w:rPr>
      </w:pPr>
      <w:r>
        <w:rPr>
          <w:rFonts w:ascii="Arial" w:cs="Arial" w:eastAsia="Arial" w:hAnsi="Arial"/>
          <w:sz w:val="22"/>
          <w:szCs w:val="22"/>
          <w:color w:val="auto"/>
        </w:rPr>
        <w:t>engaging in any business activity similar to that in which you engaged during your last three years of employment with the Company or any Affiliate for any person or entity selling, marketing, designing or manufacturing products or technologies the same as, similar to, or that compete with products or technologies that the Company sells, markets, designs or manufactures;</w:t>
      </w:r>
    </w:p>
    <w:p>
      <w:pPr>
        <w:spacing w:after="0" w:line="179" w:lineRule="exact"/>
        <w:rPr>
          <w:rFonts w:ascii="Arial" w:cs="Arial" w:eastAsia="Arial" w:hAnsi="Arial"/>
          <w:sz w:val="22"/>
          <w:szCs w:val="22"/>
          <w:color w:val="auto"/>
        </w:rPr>
      </w:pPr>
    </w:p>
    <w:p>
      <w:pPr>
        <w:jc w:val="both"/>
        <w:ind w:left="1128" w:hanging="480"/>
        <w:spacing w:after="0" w:line="226" w:lineRule="auto"/>
        <w:tabs>
          <w:tab w:leader="none" w:pos="1166" w:val="left"/>
        </w:tabs>
        <w:numPr>
          <w:ilvl w:val="1"/>
          <w:numId w:val="55"/>
        </w:numPr>
        <w:rPr>
          <w:rFonts w:ascii="Arial" w:cs="Arial" w:eastAsia="Arial" w:hAnsi="Arial"/>
          <w:sz w:val="22"/>
          <w:szCs w:val="22"/>
          <w:color w:val="auto"/>
        </w:rPr>
      </w:pPr>
      <w:r>
        <w:rPr>
          <w:rFonts w:ascii="Arial" w:cs="Arial" w:eastAsia="Arial" w:hAnsi="Arial"/>
          <w:sz w:val="22"/>
          <w:szCs w:val="22"/>
          <w:color w:val="auto"/>
        </w:rPr>
        <w:t>engaging in the selling or marketing of any products or technologies that are the same as, similar to, or that compete with any products or technologies that you sold or marketed, or attempted to sell or market, during the last three years of your employment with the Company or any Affiliate;</w:t>
      </w:r>
    </w:p>
    <w:p>
      <w:pPr>
        <w:spacing w:after="0" w:line="176" w:lineRule="exact"/>
        <w:rPr>
          <w:rFonts w:ascii="Arial" w:cs="Arial" w:eastAsia="Arial" w:hAnsi="Arial"/>
          <w:sz w:val="22"/>
          <w:szCs w:val="22"/>
          <w:color w:val="auto"/>
        </w:rPr>
      </w:pPr>
    </w:p>
    <w:p>
      <w:pPr>
        <w:jc w:val="both"/>
        <w:ind w:left="1128" w:hanging="480"/>
        <w:spacing w:after="0" w:line="220" w:lineRule="auto"/>
        <w:tabs>
          <w:tab w:leader="none" w:pos="1210" w:val="left"/>
        </w:tabs>
        <w:numPr>
          <w:ilvl w:val="1"/>
          <w:numId w:val="55"/>
        </w:numPr>
        <w:rPr>
          <w:rFonts w:ascii="Arial" w:cs="Arial" w:eastAsia="Arial" w:hAnsi="Arial"/>
          <w:sz w:val="22"/>
          <w:szCs w:val="22"/>
          <w:color w:val="auto"/>
        </w:rPr>
      </w:pPr>
      <w:r>
        <w:rPr>
          <w:rFonts w:ascii="Arial" w:cs="Arial" w:eastAsia="Arial" w:hAnsi="Arial"/>
          <w:sz w:val="22"/>
          <w:szCs w:val="22"/>
          <w:color w:val="auto"/>
        </w:rPr>
        <w:t>engaging in the manufacture or design of any products or technologies that are the same as, similar to or that compete with any products or technologies that you sold or marketed, or attempted to sell or market, or participated in the design or manufacture of, during the last three years of your employment with the Company or any Affiliates; or</w:t>
      </w:r>
    </w:p>
    <w:p>
      <w:pPr>
        <w:spacing w:after="0" w:line="179" w:lineRule="exact"/>
        <w:rPr>
          <w:rFonts w:ascii="Arial" w:cs="Arial" w:eastAsia="Arial" w:hAnsi="Arial"/>
          <w:sz w:val="22"/>
          <w:szCs w:val="22"/>
          <w:color w:val="auto"/>
        </w:rPr>
      </w:pPr>
    </w:p>
    <w:p>
      <w:pPr>
        <w:jc w:val="both"/>
        <w:ind w:left="1128" w:hanging="480"/>
        <w:spacing w:after="0" w:line="226" w:lineRule="auto"/>
        <w:tabs>
          <w:tab w:leader="none" w:pos="1213" w:val="left"/>
        </w:tabs>
        <w:numPr>
          <w:ilvl w:val="1"/>
          <w:numId w:val="55"/>
        </w:numPr>
        <w:rPr>
          <w:rFonts w:ascii="Arial" w:cs="Arial" w:eastAsia="Arial" w:hAnsi="Arial"/>
          <w:sz w:val="22"/>
          <w:szCs w:val="22"/>
          <w:color w:val="auto"/>
        </w:rPr>
      </w:pPr>
      <w:r>
        <w:rPr>
          <w:rFonts w:ascii="Arial" w:cs="Arial" w:eastAsia="Arial" w:hAnsi="Arial"/>
          <w:sz w:val="22"/>
          <w:szCs w:val="22"/>
          <w:color w:val="auto"/>
        </w:rPr>
        <w:t>engaging in the selling or marketing of any products or technologies that are the same as, similar to, or that compete with any products or technologies that you participated in the design or manufacture of during the last three years of your employment with the Company or any Affiliate.</w:t>
      </w:r>
    </w:p>
    <w:p>
      <w:pPr>
        <w:spacing w:after="0" w:line="176" w:lineRule="exact"/>
        <w:rPr>
          <w:rFonts w:ascii="Arial" w:cs="Arial" w:eastAsia="Arial" w:hAnsi="Arial"/>
          <w:sz w:val="22"/>
          <w:szCs w:val="22"/>
          <w:color w:val="auto"/>
        </w:rPr>
      </w:pPr>
    </w:p>
    <w:p>
      <w:pPr>
        <w:jc w:val="both"/>
        <w:ind w:left="568" w:hanging="568"/>
        <w:spacing w:after="0" w:line="214" w:lineRule="auto"/>
        <w:tabs>
          <w:tab w:leader="none" w:pos="562"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Repayment.</w:t>
      </w:r>
      <w:r>
        <w:rPr>
          <w:rFonts w:ascii="Arial" w:cs="Arial" w:eastAsia="Arial" w:hAnsi="Arial"/>
          <w:sz w:val="22"/>
          <w:szCs w:val="22"/>
          <w:color w:val="auto"/>
        </w:rPr>
        <w:t xml:space="preserve"> In addition to the other remedies available to the Company, you agree that upon being provided with written notice that the Company has reasonably determined that you have engaged in a Detrimental Activity, you shall repay immediately to the Company the Fair Market Value of any shares of stock that were issued to you, and any Dividend Equivalents that were paid to you, under this Award within three years prior to termination of your employment or any time after termination of your employment. Any amount payable to the Company pursuant to this provision may be reduced or waived as the Company, in its sole judgment, deems warranted by the circumstances.</w:t>
      </w:r>
    </w:p>
    <w:p>
      <w:pPr>
        <w:spacing w:after="0" w:line="176" w:lineRule="exact"/>
        <w:rPr>
          <w:sz w:val="20"/>
          <w:szCs w:val="20"/>
          <w:color w:val="auto"/>
        </w:rPr>
      </w:pPr>
    </w:p>
    <w:p>
      <w:pPr>
        <w:ind w:left="488" w:hanging="488"/>
        <w:spacing w:after="0" w:line="236" w:lineRule="auto"/>
        <w:tabs>
          <w:tab w:leader="none" w:pos="488"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Recoupment Policy.</w:t>
      </w:r>
      <w:r>
        <w:rPr>
          <w:rFonts w:ascii="Arial" w:cs="Arial" w:eastAsia="Arial" w:hAnsi="Arial"/>
          <w:sz w:val="22"/>
          <w:szCs w:val="22"/>
          <w:color w:val="auto"/>
        </w:rPr>
        <w:t xml:space="preserve"> You agree that this Option is subject to the Company’s Recoupment Policy adopted by the Committee, as amended.</w:t>
      </w:r>
    </w:p>
    <w:p>
      <w:pPr>
        <w:spacing w:after="0" w:line="177" w:lineRule="exact"/>
        <w:rPr>
          <w:rFonts w:ascii="Arial" w:cs="Arial" w:eastAsia="Arial" w:hAnsi="Arial"/>
          <w:sz w:val="22"/>
          <w:szCs w:val="22"/>
          <w:color w:val="auto"/>
        </w:rPr>
      </w:pPr>
    </w:p>
    <w:p>
      <w:pPr>
        <w:jc w:val="both"/>
        <w:ind w:left="488" w:hanging="488"/>
        <w:spacing w:after="0" w:line="220" w:lineRule="auto"/>
        <w:tabs>
          <w:tab w:leader="none" w:pos="891"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Reasonableness of commitments.</w:t>
      </w:r>
      <w:r>
        <w:rPr>
          <w:rFonts w:ascii="Arial" w:cs="Arial" w:eastAsia="Arial" w:hAnsi="Arial"/>
          <w:sz w:val="22"/>
          <w:szCs w:val="22"/>
          <w:color w:val="auto"/>
        </w:rPr>
        <w:t xml:space="preserve"> You acknowledge the reasonableness of the commitments and agreements in this Section 8, including their scope, duration and geographic coverage. You recognize and acknowledge that the provisions of this Section 8 are entered into by you in consideration of, and as a material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08"/>
          </w:cols>
          <w:pgMar w:left="652" w:top="1396" w:right="339" w:bottom="1440" w:gutter="0" w:footer="0" w:header="0"/>
        </w:sectPr>
      </w:pPr>
    </w:p>
    <w:bookmarkStart w:id="79" w:name="page80"/>
    <w:bookmarkEnd w:id="79"/>
    <w:p>
      <w:pPr>
        <w:jc w:val="both"/>
        <w:ind w:left="820"/>
        <w:spacing w:after="0" w:line="226" w:lineRule="auto"/>
        <w:rPr>
          <w:sz w:val="20"/>
          <w:szCs w:val="20"/>
          <w:color w:val="auto"/>
        </w:rPr>
      </w:pPr>
      <w:r>
        <w:rPr>
          <w:rFonts w:ascii="Arial" w:cs="Arial" w:eastAsia="Arial" w:hAnsi="Arial"/>
          <w:sz w:val="22"/>
          <w:szCs w:val="22"/>
          <w:color w:val="auto"/>
        </w:rPr>
        <w:t>inducement to, the agreements by the Company herein as well as an inducement for the Company to enter into this Agreement and provide you Confidential Information, and that, but for your agreement to the provisions of this Section 8, the Company would not have entered into this Agreement.</w:t>
      </w:r>
    </w:p>
    <w:p>
      <w:pPr>
        <w:spacing w:after="0" w:line="190" w:lineRule="exact"/>
        <w:rPr>
          <w:sz w:val="20"/>
          <w:szCs w:val="20"/>
          <w:color w:val="auto"/>
        </w:rPr>
      </w:pPr>
    </w:p>
    <w:p>
      <w:pPr>
        <w:jc w:val="both"/>
        <w:ind w:left="420" w:right="80" w:hanging="412"/>
        <w:spacing w:after="0" w:line="249" w:lineRule="auto"/>
        <w:tabs>
          <w:tab w:leader="none" w:pos="462"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Responsibility for Taxes</w:t>
      </w:r>
      <w:r>
        <w:rPr>
          <w:rFonts w:ascii="Arial" w:cs="Arial" w:eastAsia="Arial" w:hAnsi="Arial"/>
          <w:sz w:val="21"/>
          <w:szCs w:val="21"/>
          <w:color w:val="auto"/>
        </w:rPr>
        <w:t>. You acknowledge that, regardless of any action taken by the Company, or, if different, your employer or the Affiliate to which you provide services (the “Service Recipient”), the ultimate liability for income tax (including U.S. and non-U.S. federal, state, and local tax), social insurance, payroll tax, fringe benefits tax, payment on account or other tax-related items related to your participation in the Plan and legally applicable to you, including any taxes under Section 409A of the Code (“Section 409A”) in connection with this Award (“Tax-Related Items”), is and remains your responsibility and may exceed the amount, if any, actually withheld by the Company or the Service Recipient. You further acknowledge that the Company and/or the Service Recipient (a) make no representations or undertakings regarding the treatment of any Tax-Related Items in connection with any aspect of this Award or the underlying shares, including, but not limited to, the grant, vesting or settlement of this Award, the subsequent sale of shares acquired pursuant to such settlement and the receipt of any dividends or Dividend Equivalents; and (b) do not commit to and are under no obligation to structure the terms of the grant or any aspect of this Award to reduce or eliminate your liability for Tax-Related Items or to achieve any particular tax result. Further, if you are subject to Tax-Related Items in more than one jurisdiction, you acknowledge that the Company and/or the Service Recipient (or former service recipient, as applicable) may be required to withhold or account for Tax-Related Items in more than one jurisdiction.</w:t>
      </w:r>
    </w:p>
    <w:p>
      <w:pPr>
        <w:spacing w:after="0" w:line="211" w:lineRule="exact"/>
        <w:rPr>
          <w:sz w:val="20"/>
          <w:szCs w:val="20"/>
          <w:color w:val="auto"/>
        </w:rPr>
      </w:pPr>
    </w:p>
    <w:p>
      <w:pPr>
        <w:jc w:val="both"/>
        <w:ind w:left="420" w:right="80" w:hanging="96"/>
        <w:spacing w:after="0" w:line="239" w:lineRule="auto"/>
        <w:rPr>
          <w:sz w:val="20"/>
          <w:szCs w:val="20"/>
          <w:color w:val="auto"/>
        </w:rPr>
      </w:pPr>
      <w:r>
        <w:rPr>
          <w:rFonts w:ascii="Arial" w:cs="Arial" w:eastAsia="Arial" w:hAnsi="Arial"/>
          <w:sz w:val="22"/>
          <w:szCs w:val="22"/>
          <w:color w:val="auto"/>
        </w:rPr>
        <w:t>In connection with the relevant taxable or tax withholding event, as applicable, you authorize the Company and the Service Recipient, or their agents, at their discretion, to withhold all applicable Tax-Related Items legally payable by you by one or a combination of the following methods: (a) withholding from your wages or other cash compensation paid to you by the Company or the Service Recipient, including from Dividend Equivalents or from proceeds of the sale of the shares; (b) withholding from proceeds of the sale of shares acquired upon settlement of the Award either through a voluntary sale or through a mandatory sale arranged by the Company (on your behalf pursuant to this authorization without further consent); (c) withholding from shares to be issued to you upon settlement of the Award; or (d) any other method of withholding determined by the Company and permitted by applicable law and the Plan.</w:t>
      </w:r>
    </w:p>
    <w:p>
      <w:pPr>
        <w:spacing w:after="0" w:line="203" w:lineRule="exact"/>
        <w:rPr>
          <w:sz w:val="20"/>
          <w:szCs w:val="20"/>
          <w:color w:val="auto"/>
        </w:rPr>
      </w:pPr>
    </w:p>
    <w:p>
      <w:pPr>
        <w:jc w:val="both"/>
        <w:ind w:left="420" w:right="80" w:firstLine="14"/>
        <w:spacing w:after="0" w:line="241" w:lineRule="auto"/>
        <w:rPr>
          <w:sz w:val="20"/>
          <w:szCs w:val="20"/>
          <w:color w:val="auto"/>
        </w:rPr>
      </w:pPr>
      <w:r>
        <w:rPr>
          <w:rFonts w:ascii="Arial" w:cs="Arial" w:eastAsia="Arial" w:hAnsi="Arial"/>
          <w:sz w:val="22"/>
          <w:szCs w:val="22"/>
          <w:color w:val="auto"/>
        </w:rPr>
        <w:t>The Company and/or the Service Recipient may withhold or account for Tax-Related Items by considering applicable statutory withholding amounts or other applicable withholding rates, including maximum applicable rates in your jurisdiction(s). If a maximum rate is used, you may receive a refund of any over-withheld amount in cash from the Company or the Service Recipient (with no entitlement to the equivalent in shares) or, if not refunded, you may be able to seek a refund from the local tax authorities. In the event of under-withholding, you may be required to pay any additional Tax-Related Items directly to the applicable tax authority or to the Company and/or the Service Recipient. Further, if the obligation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96" w:right="339" w:bottom="1440" w:gutter="0" w:footer="0" w:header="0"/>
        </w:sectPr>
      </w:pPr>
    </w:p>
    <w:bookmarkStart w:id="80" w:name="page81"/>
    <w:bookmarkEnd w:id="80"/>
    <w:p>
      <w:pPr>
        <w:jc w:val="both"/>
        <w:ind w:left="412"/>
        <w:spacing w:after="0" w:line="251" w:lineRule="auto"/>
        <w:rPr>
          <w:sz w:val="20"/>
          <w:szCs w:val="20"/>
          <w:color w:val="auto"/>
        </w:rPr>
      </w:pPr>
      <w:r>
        <w:rPr>
          <w:rFonts w:ascii="Arial" w:cs="Arial" w:eastAsia="Arial" w:hAnsi="Arial"/>
          <w:sz w:val="22"/>
          <w:szCs w:val="22"/>
          <w:color w:val="auto"/>
        </w:rPr>
        <w:t>for the Tax-Related Items is satisfied by withholding in shares, for tax purposes, you will be deemed to have been issued the full number of shares subject to the vested Award, notwithstanding that a number of the shares is held back solely for the purpose of paying the Tax-Related Items.</w:t>
      </w:r>
    </w:p>
    <w:p>
      <w:pPr>
        <w:spacing w:after="0" w:line="192" w:lineRule="exact"/>
        <w:rPr>
          <w:sz w:val="20"/>
          <w:szCs w:val="20"/>
          <w:color w:val="auto"/>
        </w:rPr>
      </w:pPr>
    </w:p>
    <w:p>
      <w:pPr>
        <w:jc w:val="both"/>
        <w:ind w:left="412" w:hanging="151"/>
        <w:spacing w:after="0" w:line="259" w:lineRule="auto"/>
        <w:rPr>
          <w:sz w:val="20"/>
          <w:szCs w:val="20"/>
          <w:color w:val="auto"/>
        </w:rPr>
      </w:pPr>
      <w:r>
        <w:rPr>
          <w:rFonts w:ascii="Arial" w:cs="Arial" w:eastAsia="Arial" w:hAnsi="Arial"/>
          <w:sz w:val="21"/>
          <w:szCs w:val="21"/>
          <w:color w:val="auto"/>
        </w:rPr>
        <w:t>You agree to pay to the Company or the Service Recipient any amount of Tax-Related Items that the Company or the Service Recipient may be required to withhold that cannot be satisfied by the means described above. The Company may refuse to honor the vesting of the Award and/or refuse to issue or deliver the shares or proceeds from the sale of the shares if you fail to comply with your obligations in connection with the Tax-Related Items.</w:t>
      </w:r>
    </w:p>
    <w:p>
      <w:pPr>
        <w:spacing w:after="0" w:line="200" w:lineRule="exact"/>
        <w:rPr>
          <w:sz w:val="20"/>
          <w:szCs w:val="20"/>
          <w:color w:val="auto"/>
        </w:rPr>
      </w:pPr>
    </w:p>
    <w:p>
      <w:pPr>
        <w:ind w:left="532" w:hanging="532"/>
        <w:spacing w:after="0"/>
        <w:tabs>
          <w:tab w:leader="none" w:pos="532"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You acknowledge that:</w:t>
      </w:r>
    </w:p>
    <w:p>
      <w:pPr>
        <w:spacing w:after="0" w:line="233" w:lineRule="exact"/>
        <w:rPr>
          <w:rFonts w:ascii="Arial" w:cs="Arial" w:eastAsia="Arial" w:hAnsi="Arial"/>
          <w:sz w:val="22"/>
          <w:szCs w:val="22"/>
          <w:color w:val="auto"/>
        </w:rPr>
      </w:pPr>
    </w:p>
    <w:p>
      <w:pPr>
        <w:ind w:left="812" w:right="20" w:hanging="488"/>
        <w:spacing w:after="0" w:line="272" w:lineRule="auto"/>
        <w:tabs>
          <w:tab w:leader="none" w:pos="941"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as provided in the Plan;</w:t>
      </w:r>
    </w:p>
    <w:p>
      <w:pPr>
        <w:spacing w:after="0" w:line="169" w:lineRule="exact"/>
        <w:rPr>
          <w:rFonts w:ascii="Arial" w:cs="Arial" w:eastAsia="Arial" w:hAnsi="Arial"/>
          <w:sz w:val="22"/>
          <w:szCs w:val="22"/>
          <w:color w:val="auto"/>
        </w:rPr>
      </w:pPr>
    </w:p>
    <w:p>
      <w:pPr>
        <w:ind w:left="812" w:hanging="488"/>
        <w:spacing w:after="0" w:line="259" w:lineRule="auto"/>
        <w:tabs>
          <w:tab w:leader="none" w:pos="1056" w:val="left"/>
        </w:tabs>
        <w:numPr>
          <w:ilvl w:val="1"/>
          <w:numId w:val="59"/>
        </w:numPr>
        <w:rPr>
          <w:rFonts w:ascii="Arial" w:cs="Arial" w:eastAsia="Arial" w:hAnsi="Arial"/>
          <w:sz w:val="22"/>
          <w:szCs w:val="22"/>
          <w:color w:val="auto"/>
        </w:rPr>
      </w:pPr>
      <w:r>
        <w:rPr>
          <w:rFonts w:ascii="Arial" w:cs="Arial" w:eastAsia="Arial" w:hAnsi="Arial"/>
          <w:sz w:val="22"/>
          <w:szCs w:val="22"/>
          <w:color w:val="auto"/>
        </w:rPr>
        <w:t>all decisions with respect to future Awards or other grants, if any, will be at the sole discretion of the Company;</w:t>
      </w:r>
    </w:p>
    <w:p>
      <w:pPr>
        <w:spacing w:after="0" w:line="196" w:lineRule="exact"/>
        <w:rPr>
          <w:rFonts w:ascii="Arial" w:cs="Arial" w:eastAsia="Arial" w:hAnsi="Arial"/>
          <w:sz w:val="22"/>
          <w:szCs w:val="22"/>
          <w:color w:val="auto"/>
        </w:rPr>
      </w:pPr>
    </w:p>
    <w:p>
      <w:pPr>
        <w:ind w:left="812" w:hanging="488"/>
        <w:spacing w:after="0" w:line="259" w:lineRule="auto"/>
        <w:tabs>
          <w:tab w:leader="none" w:pos="91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Award is exceptional, voluntary and occasional and does not create any contractual or other right to receive future Awards, or benefits in lieu of Awards, even if Awards have been granted in the past;</w:t>
      </w:r>
    </w:p>
    <w:p>
      <w:pPr>
        <w:spacing w:after="0" w:line="183" w:lineRule="exact"/>
        <w:rPr>
          <w:rFonts w:ascii="Arial" w:cs="Arial" w:eastAsia="Arial" w:hAnsi="Arial"/>
          <w:sz w:val="22"/>
          <w:szCs w:val="22"/>
          <w:color w:val="auto"/>
        </w:rPr>
      </w:pPr>
    </w:p>
    <w:p>
      <w:pPr>
        <w:ind w:left="892" w:hanging="568"/>
        <w:spacing w:after="0"/>
        <w:tabs>
          <w:tab w:leader="none" w:pos="892" w:val="left"/>
        </w:tabs>
        <w:numPr>
          <w:ilvl w:val="1"/>
          <w:numId w:val="59"/>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46" w:lineRule="exact"/>
        <w:rPr>
          <w:rFonts w:ascii="Arial" w:cs="Arial" w:eastAsia="Arial" w:hAnsi="Arial"/>
          <w:sz w:val="22"/>
          <w:szCs w:val="22"/>
          <w:color w:val="auto"/>
        </w:rPr>
      </w:pPr>
    </w:p>
    <w:p>
      <w:pPr>
        <w:ind w:left="812" w:right="20" w:hanging="488"/>
        <w:spacing w:after="0" w:line="259" w:lineRule="auto"/>
        <w:tabs>
          <w:tab w:leader="none" w:pos="1008" w:val="left"/>
        </w:tabs>
        <w:numPr>
          <w:ilvl w:val="1"/>
          <w:numId w:val="59"/>
        </w:numPr>
        <w:rPr>
          <w:rFonts w:ascii="Arial" w:cs="Arial" w:eastAsia="Arial" w:hAnsi="Arial"/>
          <w:sz w:val="22"/>
          <w:szCs w:val="22"/>
          <w:color w:val="auto"/>
        </w:rPr>
      </w:pPr>
      <w:r>
        <w:rPr>
          <w:rFonts w:ascii="Arial" w:cs="Arial" w:eastAsia="Arial" w:hAnsi="Arial"/>
          <w:sz w:val="22"/>
          <w:szCs w:val="22"/>
          <w:color w:val="auto"/>
        </w:rPr>
        <w:t>your Award is an extraordinary item that does not constitute compensation for services rendered to the Company or the Service Recipient, and is outside the scope of your employment contract, if any;</w:t>
      </w:r>
    </w:p>
    <w:p>
      <w:pPr>
        <w:spacing w:after="0" w:line="196" w:lineRule="exact"/>
        <w:rPr>
          <w:rFonts w:ascii="Arial" w:cs="Arial" w:eastAsia="Arial" w:hAnsi="Arial"/>
          <w:sz w:val="22"/>
          <w:szCs w:val="22"/>
          <w:color w:val="auto"/>
        </w:rPr>
      </w:pPr>
    </w:p>
    <w:p>
      <w:pPr>
        <w:jc w:val="both"/>
        <w:ind w:left="812" w:hanging="488"/>
        <w:spacing w:after="0" w:line="244" w:lineRule="auto"/>
        <w:tabs>
          <w:tab w:leader="none" w:pos="876" w:val="left"/>
        </w:tabs>
        <w:numPr>
          <w:ilvl w:val="1"/>
          <w:numId w:val="59"/>
        </w:numPr>
        <w:rPr>
          <w:rFonts w:ascii="Arial" w:cs="Arial" w:eastAsia="Arial" w:hAnsi="Arial"/>
          <w:sz w:val="22"/>
          <w:szCs w:val="22"/>
          <w:color w:val="auto"/>
        </w:rPr>
      </w:pPr>
      <w:r>
        <w:rPr>
          <w:rFonts w:ascii="Arial" w:cs="Arial" w:eastAsia="Arial" w:hAnsi="Arial"/>
          <w:sz w:val="22"/>
          <w:szCs w:val="22"/>
          <w:color w:val="auto"/>
        </w:rPr>
        <w:t>your Award and the shares subject to the Award, and the income from and value of the same, are not part of normal or expected compensation or salary for any purposes, including, but not limited to, calculating any severance, resignation, termination, redundancy, dismissal, end of service payments, bonuses, holiday pay, pension or retirement benefits, welfare benefits or similar payments;</w:t>
      </w:r>
    </w:p>
    <w:p>
      <w:pPr>
        <w:spacing w:after="0" w:line="199" w:lineRule="exact"/>
        <w:rPr>
          <w:rFonts w:ascii="Arial" w:cs="Arial" w:eastAsia="Arial" w:hAnsi="Arial"/>
          <w:sz w:val="22"/>
          <w:szCs w:val="22"/>
          <w:color w:val="auto"/>
        </w:rPr>
      </w:pPr>
    </w:p>
    <w:p>
      <w:pPr>
        <w:jc w:val="both"/>
        <w:ind w:left="812" w:hanging="488"/>
        <w:spacing w:after="0" w:line="251" w:lineRule="auto"/>
        <w:tabs>
          <w:tab w:leader="none" w:pos="89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Award will not be interpreted to form an employment contract or relationship with the Company or the Service Recipient, and will not interfere with the ability of the Company or the Service Recipient to terminate your employment or service relationship at any time;</w:t>
      </w:r>
    </w:p>
    <w:p>
      <w:pPr>
        <w:spacing w:after="0" w:line="191" w:lineRule="exact"/>
        <w:rPr>
          <w:rFonts w:ascii="Arial" w:cs="Arial" w:eastAsia="Arial" w:hAnsi="Arial"/>
          <w:sz w:val="22"/>
          <w:szCs w:val="22"/>
          <w:color w:val="auto"/>
        </w:rPr>
      </w:pPr>
    </w:p>
    <w:p>
      <w:pPr>
        <w:ind w:left="832" w:hanging="508"/>
        <w:spacing w:after="0"/>
        <w:tabs>
          <w:tab w:leader="none" w:pos="832"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58" w:lineRule="exact"/>
        <w:rPr>
          <w:rFonts w:ascii="Arial" w:cs="Arial" w:eastAsia="Arial" w:hAnsi="Arial"/>
          <w:sz w:val="21"/>
          <w:szCs w:val="21"/>
          <w:color w:val="auto"/>
        </w:rPr>
      </w:pPr>
    </w:p>
    <w:p>
      <w:pPr>
        <w:ind w:left="812" w:hanging="488"/>
        <w:spacing w:after="0"/>
        <w:tabs>
          <w:tab w:leader="none" w:pos="812" w:val="left"/>
        </w:tabs>
        <w:numPr>
          <w:ilvl w:val="1"/>
          <w:numId w:val="59"/>
        </w:numPr>
        <w:rPr>
          <w:rFonts w:ascii="Arial" w:cs="Arial" w:eastAsia="Arial" w:hAnsi="Arial"/>
          <w:sz w:val="22"/>
          <w:szCs w:val="22"/>
          <w:color w:val="auto"/>
        </w:rPr>
      </w:pPr>
      <w:r>
        <w:rPr>
          <w:rFonts w:ascii="Arial" w:cs="Arial" w:eastAsia="Arial" w:hAnsi="Arial"/>
          <w:sz w:val="22"/>
          <w:szCs w:val="22"/>
          <w:color w:val="auto"/>
        </w:rPr>
        <w:t>if you receive shares, the value of such shares may increase or decrease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52"/>
          </w:cols>
          <w:pgMar w:left="328" w:top="1409" w:right="419" w:bottom="1440" w:gutter="0" w:footer="0" w:header="0"/>
        </w:sectPr>
      </w:pPr>
    </w:p>
    <w:bookmarkStart w:id="81" w:name="page82"/>
    <w:bookmarkEnd w:id="81"/>
    <w:p>
      <w:pPr>
        <w:jc w:val="both"/>
        <w:ind w:left="812" w:hanging="488"/>
        <w:spacing w:after="0" w:line="241" w:lineRule="auto"/>
        <w:tabs>
          <w:tab w:leader="none" w:pos="817" w:val="left"/>
        </w:tabs>
        <w:numPr>
          <w:ilvl w:val="1"/>
          <w:numId w:val="6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your termination of employment (for any reason whatsoever, whether or not later found to be invalid or in breach of applicable laws in the jurisdiction where you are employed or the terms of your employment agreement, if any), from the enforcement of any covenant to which this Award is subject or breach of company policy to which this Award is subject, or from the application of any clawback provision herein or recoupment policy adopted by the Company or imposed by applicable law; and</w:t>
      </w:r>
    </w:p>
    <w:p>
      <w:pPr>
        <w:spacing w:after="0" w:line="203" w:lineRule="exact"/>
        <w:rPr>
          <w:rFonts w:ascii="Arial" w:cs="Arial" w:eastAsia="Arial" w:hAnsi="Arial"/>
          <w:sz w:val="22"/>
          <w:szCs w:val="22"/>
          <w:color w:val="auto"/>
        </w:rPr>
      </w:pPr>
    </w:p>
    <w:p>
      <w:pPr>
        <w:jc w:val="both"/>
        <w:ind w:left="812" w:hanging="488"/>
        <w:spacing w:after="0" w:line="248" w:lineRule="auto"/>
        <w:tabs>
          <w:tab w:leader="none" w:pos="834" w:val="left"/>
        </w:tabs>
        <w:numPr>
          <w:ilvl w:val="1"/>
          <w:numId w:val="60"/>
        </w:numPr>
        <w:rPr>
          <w:rFonts w:ascii="Arial" w:cs="Arial" w:eastAsia="Arial" w:hAnsi="Arial"/>
          <w:sz w:val="22"/>
          <w:szCs w:val="22"/>
          <w:color w:val="auto"/>
        </w:rPr>
      </w:pPr>
      <w:r>
        <w:rPr>
          <w:rFonts w:ascii="Arial" w:cs="Arial" w:eastAsia="Arial" w:hAnsi="Arial"/>
          <w:sz w:val="22"/>
          <w:szCs w:val="22"/>
          <w:color w:val="auto"/>
        </w:rPr>
        <w:t>if you are providing services outside the United States, neither the Company nor the Service Recipient shall be liable for any foreign exchange rate fluctuation between your local currency and the United States Dollar that may affect the value of the Award or any amounts due to you pursuant to the vesting of the Award or the subsequent sale of any shares acquired upon such vesting.</w:t>
      </w:r>
    </w:p>
    <w:p>
      <w:pPr>
        <w:spacing w:after="0" w:line="196" w:lineRule="exact"/>
        <w:rPr>
          <w:rFonts w:ascii="Arial" w:cs="Arial" w:eastAsia="Arial" w:hAnsi="Arial"/>
          <w:sz w:val="22"/>
          <w:szCs w:val="22"/>
          <w:color w:val="auto"/>
        </w:rPr>
      </w:pPr>
    </w:p>
    <w:p>
      <w:pPr>
        <w:jc w:val="both"/>
        <w:ind w:left="412" w:hanging="412"/>
        <w:spacing w:after="0" w:line="251" w:lineRule="auto"/>
        <w:tabs>
          <w:tab w:leader="none" w:pos="55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Rights as Stockholder</w:t>
      </w:r>
      <w:r>
        <w:rPr>
          <w:rFonts w:ascii="Arial" w:cs="Arial" w:eastAsia="Arial" w:hAnsi="Arial"/>
          <w:sz w:val="22"/>
          <w:szCs w:val="22"/>
          <w:color w:val="auto"/>
        </w:rPr>
        <w:t>. You will not have any rights as a stockholder of the Company in respect of any shares of common stock of the Company issuable under this Award unless and until such shares are issued in your name and delivered to you in accordance with the provisions hereof.</w:t>
      </w:r>
    </w:p>
    <w:p>
      <w:pPr>
        <w:spacing w:after="0" w:line="191" w:lineRule="exact"/>
        <w:rPr>
          <w:rFonts w:ascii="Arial" w:cs="Arial" w:eastAsia="Arial" w:hAnsi="Arial"/>
          <w:sz w:val="22"/>
          <w:szCs w:val="22"/>
          <w:color w:val="auto"/>
        </w:rPr>
      </w:pPr>
    </w:p>
    <w:p>
      <w:pPr>
        <w:jc w:val="both"/>
        <w:ind w:left="412" w:hanging="412"/>
        <w:spacing w:after="0" w:line="239" w:lineRule="auto"/>
        <w:tabs>
          <w:tab w:leader="none" w:pos="547"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Governing Law and Forum</w:t>
      </w:r>
      <w:r>
        <w:rPr>
          <w:rFonts w:ascii="Arial" w:cs="Arial" w:eastAsia="Arial" w:hAnsi="Arial"/>
          <w:sz w:val="22"/>
          <w:szCs w:val="22"/>
          <w:color w:val="auto"/>
        </w:rPr>
        <w:t>. This Award and this Agreement shall be governed by and construed in accordance with the laws of the U.S. State of Texas, without giving effect to the principles of conflict of laws thereof. For purposes of litigating any dispute concerning the Award or this Agreement, you consent to the jurisdiction of the U.S. State of Texas and agree that such litigation shall be conducted exclusively in the courts of the State of Texas, or the federal courts for the United States located in the State of Texas, where this grant is made and/or to be performed. You agree that forum is proper in these courts in any such action or proceeding and waive, to the fullest extent permitted by law, any objection that the laying of forum of any legal or equitable proceedings related to, concerning or arising from such dispute which is brought in any such court is improper or that such proceedings have been brought in an inconvenient forum.</w:t>
      </w:r>
    </w:p>
    <w:p>
      <w:pPr>
        <w:spacing w:after="0" w:line="216" w:lineRule="exact"/>
        <w:rPr>
          <w:rFonts w:ascii="Arial" w:cs="Arial" w:eastAsia="Arial" w:hAnsi="Arial"/>
          <w:sz w:val="22"/>
          <w:szCs w:val="22"/>
          <w:color w:val="auto"/>
        </w:rPr>
      </w:pPr>
    </w:p>
    <w:p>
      <w:pPr>
        <w:jc w:val="both"/>
        <w:ind w:left="412" w:hanging="412"/>
        <w:spacing w:after="0" w:line="238" w:lineRule="auto"/>
        <w:tabs>
          <w:tab w:leader="none" w:pos="601"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Severability and Reformation</w:t>
      </w:r>
      <w:r>
        <w:rPr>
          <w:rFonts w:ascii="Arial" w:cs="Arial" w:eastAsia="Arial" w:hAnsi="Arial"/>
          <w:sz w:val="22"/>
          <w:szCs w:val="22"/>
          <w:color w:val="auto"/>
        </w:rPr>
        <w:t>. Except as provided in the last sentence of this Section, the covenants in each section of this Agreement are independent of any other provisions of this Agreement, each term in this Agreement constitutes a separate covenant between the parties, and each term is fully severable from any other term. You and the Company agree if any particular paragraphs, subparagraphs, phrases, words or other portions of this Agreement are determined by an appropriate court to be invalid or unenforceable as written, they shall be modified as necessary to comport with the reasonable intent and expectations of the parties and in favor of providing reasonable protection to all of the Company’s legitimate business interests, and such modification shall not affect the remaining provisions of this Agreement, or if they cannot be modified to be made valid or enforceable, then they shall be severed from this Agreement, and all remaining terms and provisions shall nevertheless be binding and enforceable.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52"/>
          </w:cols>
          <w:pgMar w:left="328" w:top="1409" w:right="419" w:bottom="1440" w:gutter="0" w:footer="0" w:header="0"/>
        </w:sectPr>
      </w:pPr>
    </w:p>
    <w:bookmarkStart w:id="82" w:name="page83"/>
    <w:bookmarkEnd w:id="82"/>
    <w:p>
      <w:pPr>
        <w:jc w:val="both"/>
        <w:ind w:left="412"/>
        <w:spacing w:after="0" w:line="244" w:lineRule="auto"/>
        <w:rPr>
          <w:sz w:val="20"/>
          <w:szCs w:val="20"/>
          <w:color w:val="auto"/>
        </w:rPr>
      </w:pPr>
      <w:r>
        <w:rPr>
          <w:rFonts w:ascii="Arial" w:cs="Arial" w:eastAsia="Arial" w:hAnsi="Arial"/>
          <w:sz w:val="22"/>
          <w:szCs w:val="22"/>
          <w:color w:val="auto"/>
        </w:rPr>
        <w:t>Notwithstanding the foregoing, should any portion of Section 8 be determined by an appropriate court to be invalid or unenforceable, and such Section or any portion thereof cannot be modified in a manner that provides reasonable protection to all of the Company’s legitimate business interests, then rather than such Section or any portion thereof being severed from this Agreement, this Agreement in its entirety shall be null and void and you shall not be entitled to the Award or underlying shares or other benefits set forth herein.</w:t>
      </w:r>
    </w:p>
    <w:p>
      <w:pPr>
        <w:spacing w:after="0" w:line="199" w:lineRule="exact"/>
        <w:rPr>
          <w:sz w:val="20"/>
          <w:szCs w:val="20"/>
          <w:color w:val="auto"/>
        </w:rPr>
      </w:pPr>
    </w:p>
    <w:p>
      <w:pPr>
        <w:jc w:val="both"/>
        <w:ind w:left="412" w:hanging="412"/>
        <w:spacing w:after="0" w:line="239" w:lineRule="auto"/>
        <w:tabs>
          <w:tab w:leader="none" w:pos="669"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Recoupment Authority</w:t>
      </w:r>
      <w:r>
        <w:rPr>
          <w:rFonts w:ascii="Arial" w:cs="Arial" w:eastAsia="Arial" w:hAnsi="Arial"/>
          <w:sz w:val="22"/>
          <w:szCs w:val="22"/>
          <w:color w:val="auto"/>
        </w:rPr>
        <w:t>. The Award, whether unvested or vested, and any shares issued on vesting of the Award, shall be subject to deduction, forfeiture or recoupment set forth in this Agreement or to the extent required to comply with any recoupment requirement imposed under applicable laws, rules, regulations or stock exchange listing standards or under any associated Company recoupment policy. In order to satisfy any such terms and conditions and requirements, you expressly and explicitly authorize the Company to, among other things, issue instructions, on your behalf, to any brokerage firm or stock plan service provider engaged by the Company to hold any shares or other amounts acquired pursuant to the Award to re-convey, transfer or otherwise return such shares and/or other amounts to the Company upon the Company’s enforcement of the terms and conditions and requirements described in this section.</w:t>
      </w:r>
    </w:p>
    <w:p>
      <w:pPr>
        <w:spacing w:after="0" w:line="203" w:lineRule="exact"/>
        <w:rPr>
          <w:rFonts w:ascii="Arial" w:cs="Arial" w:eastAsia="Arial" w:hAnsi="Arial"/>
          <w:sz w:val="22"/>
          <w:szCs w:val="22"/>
          <w:color w:val="auto"/>
        </w:rPr>
      </w:pPr>
    </w:p>
    <w:p>
      <w:pPr>
        <w:jc w:val="both"/>
        <w:ind w:left="412" w:hanging="412"/>
        <w:spacing w:after="0" w:line="251" w:lineRule="auto"/>
        <w:tabs>
          <w:tab w:leader="none" w:pos="661"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You understand that a waiver by the Company with respect to your compliance with any provision of this Agreement shall not operate or be construed as a waiver of any other provision of this Agreement, or of any subsequent breach of a provision of this Agreement.</w:t>
      </w:r>
    </w:p>
    <w:p>
      <w:pPr>
        <w:spacing w:after="0" w:line="205" w:lineRule="exact"/>
        <w:rPr>
          <w:rFonts w:ascii="Arial" w:cs="Arial" w:eastAsia="Arial" w:hAnsi="Arial"/>
          <w:sz w:val="22"/>
          <w:szCs w:val="22"/>
          <w:color w:val="auto"/>
        </w:rPr>
      </w:pPr>
    </w:p>
    <w:p>
      <w:pPr>
        <w:jc w:val="both"/>
        <w:ind w:left="412" w:hanging="412"/>
        <w:spacing w:after="0"/>
        <w:tabs>
          <w:tab w:leader="none" w:pos="661"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You acknowledge that you are sufficiently proficient in English, or have consulted with an advisor who is sufficiently proficient in English, so as to allow you to understand the terms and conditions of this Agreement. Furthermore, if you received this or any other document related to the Plan translated into a language other than English and if the translated version is different than the English version, the English version will control.</w:t>
      </w:r>
    </w:p>
    <w:p>
      <w:pPr>
        <w:spacing w:after="0" w:line="220" w:lineRule="exact"/>
        <w:rPr>
          <w:rFonts w:ascii="Arial" w:cs="Arial" w:eastAsia="Arial" w:hAnsi="Arial"/>
          <w:sz w:val="22"/>
          <w:szCs w:val="22"/>
          <w:color w:val="auto"/>
        </w:rPr>
      </w:pPr>
    </w:p>
    <w:p>
      <w:pPr>
        <w:jc w:val="both"/>
        <w:ind w:left="412" w:hanging="412"/>
        <w:spacing w:after="0" w:line="255" w:lineRule="auto"/>
        <w:tabs>
          <w:tab w:leader="none" w:pos="588"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Country-Specific Provisions</w:t>
      </w:r>
      <w:r>
        <w:rPr>
          <w:rFonts w:ascii="Arial" w:cs="Arial" w:eastAsia="Arial" w:hAnsi="Arial"/>
          <w:sz w:val="21"/>
          <w:szCs w:val="21"/>
          <w:color w:val="auto"/>
        </w:rPr>
        <w:t>. If you reside and/or work in any country in the Appendix to this Agreement, your grant is also subject to the additional terms and conditions for that country as stated in the Appendix. Further, if you relocate to one of the countries included in the Appendix, the terms and conditions for such country will apply to you to the extent the Company determines that the application of such terms and conditions is necessary or advisable for legal or administrative reasons. The Appendix constitutes a part of this Agreement.</w:t>
      </w:r>
    </w:p>
    <w:p>
      <w:pPr>
        <w:spacing w:after="0" w:line="202" w:lineRule="exact"/>
        <w:rPr>
          <w:rFonts w:ascii="Arial" w:cs="Arial" w:eastAsia="Arial" w:hAnsi="Arial"/>
          <w:sz w:val="21"/>
          <w:szCs w:val="21"/>
          <w:color w:val="auto"/>
        </w:rPr>
      </w:pPr>
    </w:p>
    <w:p>
      <w:pPr>
        <w:jc w:val="both"/>
        <w:ind w:left="332" w:hanging="332"/>
        <w:spacing w:after="0" w:line="244" w:lineRule="auto"/>
        <w:tabs>
          <w:tab w:leader="none" w:pos="38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in its sole discretion, may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52"/>
          </w:cols>
          <w:pgMar w:left="328" w:top="1409" w:right="419" w:bottom="1440" w:gutter="0" w:footer="0" w:header="0"/>
        </w:sectPr>
      </w:pPr>
    </w:p>
    <w:bookmarkStart w:id="83" w:name="page84"/>
    <w:bookmarkEnd w:id="83"/>
    <w:p>
      <w:pPr>
        <w:jc w:val="both"/>
        <w:ind w:left="340" w:right="60" w:hanging="332"/>
        <w:spacing w:after="0" w:line="258" w:lineRule="auto"/>
        <w:tabs>
          <w:tab w:leader="none" w:pos="376"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The Grant Notice, Agreement and the Plan constitute the entire agreement of the parties and supersede all prior undertakings and agreements with respect to the subject matter hereof. You understand and agree that the terms of the Award can be amended only by the Committee or its designee. You agree that the terms of the Plan govern this Award and that all interpretations and determinations made by the Company or the Committee with respect to the Plan and the Agreement shall be final and binding on all persons.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END</w:t>
      </w:r>
    </w:p>
    <w:p>
      <w:pPr>
        <w:spacing w:after="0" w:line="20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b w:val="1"/>
          <w:bCs w:val="1"/>
          <w:color w:val="auto"/>
        </w:rPr>
        <w:t>By accepting this Restricted Stock Unit Award Agreement, I acknowledge I have read and I agree to be bound by all of the terms and conditions set forth above, as well as the terms and conditions set forth in the Appendix and any other exhibit attached to the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09" w:right="35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80" w:type="dxa"/>
            <w:vAlign w:val="bottom"/>
            <w:gridSpan w:val="4"/>
          </w:tcPr>
          <w:p>
            <w:pPr>
              <w:ind w:left="3020"/>
              <w:spacing w:after="0"/>
              <w:rPr>
                <w:sz w:val="20"/>
                <w:szCs w:val="20"/>
                <w:color w:val="auto"/>
              </w:rPr>
            </w:pPr>
            <w:r>
              <w:rPr>
                <w:rFonts w:ascii="Arial" w:cs="Arial" w:eastAsia="Arial" w:hAnsi="Arial"/>
                <w:sz w:val="18"/>
                <w:szCs w:val="18"/>
                <w:color w:val="auto"/>
              </w:rPr>
              <w:t>TEXAS INSTRUMENTS INCORPORATED AND SUBSIDIARIES</w:t>
            </w:r>
          </w:p>
        </w:tc>
      </w:tr>
      <w:tr>
        <w:trPr>
          <w:trHeight w:val="239"/>
        </w:trPr>
        <w:tc>
          <w:tcPr>
            <w:tcW w:w="20" w:type="dxa"/>
            <w:vAlign w:val="bottom"/>
          </w:tcPr>
          <w:p>
            <w:pPr>
              <w:spacing w:after="0"/>
              <w:rPr>
                <w:sz w:val="20"/>
                <w:szCs w:val="20"/>
                <w:color w:val="auto"/>
              </w:rPr>
            </w:pPr>
          </w:p>
        </w:tc>
        <w:tc>
          <w:tcPr>
            <w:tcW w:w="8780" w:type="dxa"/>
            <w:vAlign w:val="bottom"/>
            <w:gridSpan w:val="4"/>
          </w:tcPr>
          <w:p>
            <w:pPr>
              <w:ind w:left="3640"/>
              <w:spacing w:after="0"/>
              <w:rPr>
                <w:sz w:val="20"/>
                <w:szCs w:val="20"/>
                <w:color w:val="auto"/>
              </w:rPr>
            </w:pPr>
            <w:r>
              <w:rPr>
                <w:rFonts w:ascii="Arial" w:cs="Arial" w:eastAsia="Arial" w:hAnsi="Arial"/>
                <w:sz w:val="18"/>
                <w:szCs w:val="18"/>
                <w:color w:val="auto"/>
              </w:rPr>
              <w:t>LIST OF SUBSIDIARIES OF THE REGISTRANT</w:t>
            </w:r>
          </w:p>
        </w:tc>
      </w:tr>
      <w:tr>
        <w:trPr>
          <w:trHeight w:val="418"/>
        </w:trPr>
        <w:tc>
          <w:tcPr>
            <w:tcW w:w="6600" w:type="dxa"/>
            <w:vAlign w:val="bottom"/>
            <w:gridSpan w:val="3"/>
          </w:tcPr>
          <w:p>
            <w:pPr>
              <w:spacing w:after="0"/>
              <w:rPr>
                <w:sz w:val="20"/>
                <w:szCs w:val="20"/>
                <w:color w:val="auto"/>
              </w:rPr>
            </w:pPr>
            <w:r>
              <w:rPr>
                <w:rFonts w:ascii="Arial" w:cs="Arial" w:eastAsia="Arial" w:hAnsi="Arial"/>
                <w:sz w:val="18"/>
                <w:szCs w:val="18"/>
                <w:color w:val="auto"/>
              </w:rPr>
              <w:t>The following are subsidiaries of the Registrant as of December 31, 2023.</w:t>
            </w: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2200" w:type="dxa"/>
            <w:vAlign w:val="bottom"/>
            <w:gridSpan w:val="2"/>
          </w:tcPr>
          <w:p>
            <w:pPr>
              <w:ind w:left="720"/>
              <w:spacing w:after="0"/>
              <w:rPr>
                <w:sz w:val="20"/>
                <w:szCs w:val="20"/>
                <w:color w:val="auto"/>
              </w:rPr>
            </w:pPr>
            <w:r>
              <w:rPr>
                <w:rFonts w:ascii="Arial" w:cs="Arial" w:eastAsia="Arial" w:hAnsi="Arial"/>
                <w:sz w:val="18"/>
                <w:szCs w:val="18"/>
                <w:b w:val="1"/>
                <w:bCs w:val="1"/>
                <w:color w:val="auto"/>
                <w:w w:val="98"/>
              </w:rPr>
              <w:t>Where Organized</w:t>
            </w:r>
          </w:p>
        </w:tc>
      </w:tr>
      <w:tr>
        <w:trPr>
          <w:trHeight w:val="281"/>
        </w:trPr>
        <w:tc>
          <w:tcPr>
            <w:tcW w:w="20" w:type="dxa"/>
            <w:vAlign w:val="bottom"/>
          </w:tcPr>
          <w:p>
            <w:pPr>
              <w:spacing w:after="0"/>
              <w:rPr>
                <w:sz w:val="24"/>
                <w:szCs w:val="24"/>
                <w:color w:val="auto"/>
              </w:rPr>
            </w:pPr>
          </w:p>
        </w:tc>
        <w:tc>
          <w:tcPr>
            <w:tcW w:w="4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Algorex Inc.</w:t>
            </w: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ASIC II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Hawaii</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Energy Recommerce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California</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innoCOMM wireless</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Maryland</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Mediamatics,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National Acquisition Sub,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National Semiconductor (Maine),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National Semiconductor Corporation</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B.V.</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Netherlands</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National Semiconductor Labuan Ltd.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Malaysia</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PT Texas Instruments Indonesia</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Indonesia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India</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(Philippines) LLC</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(Shanghai) Co., Ltd.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PRC</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(U.K.) Holdings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United Kingdom</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(U.K.)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United Kingdom</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Austin Incorporated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Australia</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Germany</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Canada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Canada</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China Sales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Hong Kong</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China Trading Limited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Hong Kong</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CZ, s.r.o.</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Czech Republic</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de Mexico, S. de R.L. de C.V.</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Mexico</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Denmark ApS</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Denmark</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Deutschland GmbH</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Germany</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Education Technology GmbH</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Germany</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Electronics Malaysia Sdn. Bhd.</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Malaysia</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EMEA Sales GmbH</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Germany</w:t>
            </w:r>
          </w:p>
        </w:tc>
      </w:tr>
      <w:tr>
        <w:trPr>
          <w:trHeight w:val="256"/>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España, S.A. Unipersonal</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Spain</w:t>
            </w:r>
          </w:p>
        </w:tc>
      </w:tr>
      <w:tr>
        <w:trPr>
          <w:trHeight w:val="257"/>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Texas Instruments Finland Oy</w:t>
            </w:r>
          </w:p>
        </w:tc>
        <w:tc>
          <w:tcPr>
            <w:tcW w:w="2200" w:type="dxa"/>
            <w:vAlign w:val="bottom"/>
            <w:gridSpan w:val="2"/>
          </w:tcPr>
          <w:p>
            <w:pPr>
              <w:ind w:left="720"/>
              <w:spacing w:after="0"/>
              <w:rPr>
                <w:sz w:val="20"/>
                <w:szCs w:val="20"/>
                <w:color w:val="auto"/>
              </w:rPr>
            </w:pPr>
            <w:r>
              <w:rPr>
                <w:rFonts w:ascii="Arial" w:cs="Arial" w:eastAsia="Arial" w:hAnsi="Arial"/>
                <w:sz w:val="18"/>
                <w:szCs w:val="18"/>
                <w:color w:val="auto"/>
              </w:rPr>
              <w:t>Finland</w:t>
            </w:r>
          </w:p>
        </w:tc>
      </w:tr>
    </w:tbl>
    <w:p>
      <w:pPr>
        <w:sectPr>
          <w:pgSz w:w="11900" w:h="16838" w:orient="portrait"/>
          <w:cols w:equalWidth="0" w:num="1">
            <w:col w:w="11240"/>
          </w:cols>
          <w:pgMar w:left="320" w:top="890"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Where Organized</w:t>
            </w:r>
          </w:p>
        </w:tc>
      </w:tr>
      <w:tr>
        <w:trPr>
          <w:trHeight w:val="281"/>
        </w:trPr>
        <w:tc>
          <w:tcPr>
            <w:tcW w:w="4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Texas Instruments France SAS</w:t>
            </w:r>
          </w:p>
        </w:tc>
        <w:tc>
          <w:tcPr>
            <w:tcW w:w="2840" w:type="dxa"/>
            <w:vAlign w:val="bottom"/>
          </w:tcPr>
          <w:p>
            <w:pPr>
              <w:spacing w:after="0"/>
              <w:rPr>
                <w:sz w:val="24"/>
                <w:szCs w:val="24"/>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France</w:t>
            </w:r>
          </w:p>
        </w:tc>
        <w:tc>
          <w:tcPr>
            <w:tcW w:w="840" w:type="dxa"/>
            <w:vAlign w:val="bottom"/>
          </w:tcPr>
          <w:p>
            <w:pPr>
              <w:spacing w:after="0"/>
              <w:rPr>
                <w:sz w:val="24"/>
                <w:szCs w:val="24"/>
                <w:color w:val="auto"/>
              </w:rPr>
            </w:pP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Gesellschaft m.b.H.</w:t>
            </w:r>
          </w:p>
        </w:tc>
        <w:tc>
          <w:tcPr>
            <w:tcW w:w="232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Global Investments LLC</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Holland B.V.</w:t>
            </w:r>
          </w:p>
        </w:tc>
        <w:tc>
          <w:tcPr>
            <w:tcW w:w="23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Hong Kong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Hungary Korlatolt Felelossegu Tarsasag</w:t>
            </w:r>
          </w:p>
        </w:tc>
        <w:tc>
          <w:tcPr>
            <w:tcW w:w="2320" w:type="dxa"/>
            <w:vAlign w:val="bottom"/>
            <w:gridSpan w:val="2"/>
          </w:tcPr>
          <w:p>
            <w:pPr>
              <w:spacing w:after="0"/>
              <w:rPr>
                <w:sz w:val="20"/>
                <w:szCs w:val="20"/>
                <w:color w:val="auto"/>
              </w:rPr>
            </w:pPr>
            <w:r>
              <w:rPr>
                <w:rFonts w:ascii="Arial" w:cs="Arial" w:eastAsia="Arial" w:hAnsi="Arial"/>
                <w:sz w:val="18"/>
                <w:szCs w:val="18"/>
                <w:color w:val="auto"/>
              </w:rPr>
              <w:t>Hungary</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(U.S.A.) Inc.</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Capital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Trade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Ireland Trading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Israel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Italia S.r.l.</w:t>
            </w:r>
          </w:p>
        </w:tc>
        <w:tc>
          <w:tcPr>
            <w:tcW w:w="232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Japan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Korea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Korea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Lehigh Valley Incorporated</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Logistics Malaysia Sdn. Bhd.</w:t>
            </w:r>
          </w:p>
        </w:tc>
        <w:tc>
          <w:tcPr>
            <w:tcW w:w="232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Low Power Wireless San Diego LLC</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Malaysia Sdn. Bhd.</w:t>
            </w:r>
          </w:p>
        </w:tc>
        <w:tc>
          <w:tcPr>
            <w:tcW w:w="232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Management GmbH &amp; Co. KG</w:t>
            </w:r>
          </w:p>
        </w:tc>
        <w:tc>
          <w:tcPr>
            <w:tcW w:w="232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Northern Virginia Incorporated</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Norway AS</w:t>
            </w:r>
          </w:p>
        </w:tc>
        <w:tc>
          <w:tcPr>
            <w:tcW w:w="232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Palo Alto Incorporated</w:t>
            </w:r>
          </w:p>
        </w:tc>
        <w:tc>
          <w:tcPr>
            <w:tcW w:w="232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Richardson LLC</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Romania S.R.L.</w:t>
            </w:r>
          </w:p>
        </w:tc>
        <w:tc>
          <w:tcPr>
            <w:tcW w:w="2320" w:type="dxa"/>
            <w:vAlign w:val="bottom"/>
            <w:gridSpan w:val="2"/>
          </w:tcPr>
          <w:p>
            <w:pPr>
              <w:spacing w:after="0"/>
              <w:rPr>
                <w:sz w:val="20"/>
                <w:szCs w:val="20"/>
                <w:color w:val="auto"/>
              </w:rPr>
            </w:pPr>
            <w:r>
              <w:rPr>
                <w:rFonts w:ascii="Arial" w:cs="Arial" w:eastAsia="Arial" w:hAnsi="Arial"/>
                <w:sz w:val="18"/>
                <w:szCs w:val="18"/>
                <w:color w:val="auto"/>
              </w:rPr>
              <w:t>Romania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Russia Sales LLC</w:t>
            </w:r>
          </w:p>
        </w:tc>
        <w:tc>
          <w:tcPr>
            <w:tcW w:w="2320" w:type="dxa"/>
            <w:vAlign w:val="bottom"/>
            <w:gridSpan w:val="2"/>
          </w:tcPr>
          <w:p>
            <w:pPr>
              <w:spacing w:after="0"/>
              <w:rPr>
                <w:sz w:val="20"/>
                <w:szCs w:val="20"/>
                <w:color w:val="auto"/>
              </w:rPr>
            </w:pPr>
            <w:r>
              <w:rPr>
                <w:rFonts w:ascii="Arial" w:cs="Arial" w:eastAsia="Arial" w:hAnsi="Arial"/>
                <w:sz w:val="18"/>
                <w:szCs w:val="18"/>
                <w:color w:val="auto"/>
              </w:rPr>
              <w:t>Russian Federation</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Santa Rosa Incorporated</w:t>
            </w:r>
          </w:p>
        </w:tc>
        <w:tc>
          <w:tcPr>
            <w:tcW w:w="232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Semiconductor Manufacturing (Chengdu) Co.,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PRC</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PRC</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Semiconductor Trading Limited Company</w:t>
            </w:r>
          </w:p>
        </w:tc>
        <w:tc>
          <w:tcPr>
            <w:tcW w:w="232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Semicondutores e Tecnologias Ltda.</w:t>
            </w:r>
          </w:p>
        </w:tc>
        <w:tc>
          <w:tcPr>
            <w:tcW w:w="232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Singapore (Pte)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Southeast Asia Pte.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Sunnyvale Incorporated</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Sweden AB</w:t>
            </w:r>
          </w:p>
        </w:tc>
        <w:tc>
          <w:tcPr>
            <w:tcW w:w="23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Taiwan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Tucson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Vietnam LLC</w:t>
            </w:r>
          </w:p>
        </w:tc>
        <w:tc>
          <w:tcPr>
            <w:tcW w:w="2320" w:type="dxa"/>
            <w:vAlign w:val="bottom"/>
            <w:gridSpan w:val="2"/>
          </w:tcPr>
          <w:p>
            <w:pPr>
              <w:spacing w:after="0"/>
              <w:rPr>
                <w:sz w:val="20"/>
                <w:szCs w:val="20"/>
                <w:color w:val="auto"/>
              </w:rPr>
            </w:pPr>
            <w:r>
              <w:rPr>
                <w:rFonts w:ascii="Arial" w:cs="Arial" w:eastAsia="Arial" w:hAnsi="Arial"/>
                <w:sz w:val="18"/>
                <w:szCs w:val="18"/>
                <w:color w:val="auto"/>
                <w:w w:val="98"/>
              </w:rPr>
              <w:t>Socialist Republic of Vietnam</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TI (Philippines), Inc.</w:t>
            </w:r>
          </w:p>
        </w:tc>
        <w:tc>
          <w:tcPr>
            <w:tcW w:w="232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TI Europe B.V.</w:t>
            </w:r>
          </w:p>
        </w:tc>
        <w:tc>
          <w:tcPr>
            <w:tcW w:w="23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Unitrode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Unitrode-Maine</w:t>
            </w:r>
          </w:p>
        </w:tc>
        <w:tc>
          <w:tcPr>
            <w:tcW w:w="2320" w:type="dxa"/>
            <w:vAlign w:val="bottom"/>
            <w:gridSpan w:val="2"/>
          </w:tcPr>
          <w:p>
            <w:pPr>
              <w:spacing w:after="0"/>
              <w:rPr>
                <w:sz w:val="20"/>
                <w:szCs w:val="20"/>
                <w:color w:val="auto"/>
              </w:rPr>
            </w:pPr>
            <w:r>
              <w:rPr>
                <w:rFonts w:ascii="Arial" w:cs="Arial" w:eastAsia="Arial" w:hAnsi="Arial"/>
                <w:sz w:val="18"/>
                <w:szCs w:val="18"/>
                <w:color w:val="auto"/>
              </w:rPr>
              <w:t>Maine</w:t>
            </w:r>
          </w:p>
        </w:tc>
      </w:tr>
    </w:tbl>
    <w:p>
      <w:pPr>
        <w:sectPr>
          <w:pgSz w:w="11900" w:h="16838" w:orient="portrait"/>
          <w:cols w:equalWidth="0" w:num="1">
            <w:col w:w="10119"/>
          </w:cols>
          <w:pgMar w:left="340" w:top="932"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39"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Texas Instruments Incorporated and in the related prospectuses of our reports dated February 2, 2024, with respect to the consolidated financial statements of Texas Instruments Incorporated, and the effectiveness of internal control over financial reporting of Texas Instruments Incorporated, included in this Annual Report on Form 10-K for the year ended December 31, 2023: Registration Statements (Forms S-8) No. 333-158933, No. 333-158934, No. 033-42172, No. 33-54615, No. 033-61154, No. 333-07127 (as amended), No. 333-41913, No. 333-41919, No. 333-31321 (as amended), No. 333-31323, No. 333-48389, No. 333-44662, No. 333-107759, No. 333-107760, No. 333-107761, No. 333-127021, No. 333-177235, No. 333-195692, No. 333-211111, and No. 333-224639; Registration Statements (Forms S-3) No. 333-165045, No. 333-186803, No. 333-209678, No. 333-229797, and No. 333-262523; and Registration Statements (Forms S-4) No. 333-89433 (as amended), No. 333-87199, No. 333-80157 (as amended), and No. 333-41030 (as amended).</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440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2024</w:t>
      </w:r>
    </w:p>
    <w:p>
      <w:pPr>
        <w:sectPr>
          <w:pgSz w:w="11900" w:h="16838" w:orient="portrait"/>
          <w:cols w:equalWidth="0" w:num="1">
            <w:col w:w="11240"/>
          </w:cols>
          <w:pgMar w:left="320" w:top="141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Haviv Ilan, certify that:</w:t>
      </w:r>
    </w:p>
    <w:p>
      <w:pPr>
        <w:spacing w:after="0" w:line="225" w:lineRule="exact"/>
        <w:rPr>
          <w:sz w:val="20"/>
          <w:szCs w:val="20"/>
          <w:color w:val="auto"/>
        </w:rPr>
      </w:pPr>
    </w:p>
    <w:p>
      <w:pPr>
        <w:ind w:left="480" w:hanging="472"/>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ind w:left="500" w:right="120" w:hanging="492"/>
        <w:spacing w:after="0" w:line="268" w:lineRule="auto"/>
        <w:tabs>
          <w:tab w:leader="none" w:pos="4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00" w:hanging="492"/>
        <w:spacing w:after="0" w:line="318" w:lineRule="auto"/>
        <w:tabs>
          <w:tab w:leader="none" w:pos="488"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left="500" w:right="100" w:hanging="492"/>
        <w:spacing w:after="0" w:line="268" w:lineRule="auto"/>
        <w:tabs>
          <w:tab w:leader="none" w:pos="4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300" w:hanging="492"/>
        <w:spacing w:after="0" w:line="268" w:lineRule="auto"/>
        <w:tabs>
          <w:tab w:leader="none" w:pos="4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2024</w:t>
      </w:r>
    </w:p>
    <w:p>
      <w:pPr>
        <w:spacing w:after="0" w:line="5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17780</wp:posOffset>
            </wp:positionV>
            <wp:extent cx="19627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Haviv Ilan</w:t>
      </w:r>
    </w:p>
    <w:p>
      <w:pPr>
        <w:jc w:val="center"/>
        <w:ind w:left="5760"/>
        <w:spacing w:after="0" w:line="219" w:lineRule="auto"/>
        <w:rPr>
          <w:sz w:val="20"/>
          <w:szCs w:val="20"/>
          <w:color w:val="auto"/>
        </w:rPr>
      </w:pPr>
      <w:r>
        <w:rPr>
          <w:rFonts w:ascii="Arial" w:cs="Arial" w:eastAsia="Arial" w:hAnsi="Arial"/>
          <w:sz w:val="18"/>
          <w:szCs w:val="18"/>
          <w:color w:val="auto"/>
        </w:rPr>
        <w:t>President and</w:t>
      </w:r>
    </w:p>
    <w:p>
      <w:pPr>
        <w:jc w:val="center"/>
        <w:ind w:left="5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6"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480" w:hanging="472"/>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ind w:left="500" w:right="120" w:hanging="492"/>
        <w:spacing w:after="0" w:line="268" w:lineRule="auto"/>
        <w:tabs>
          <w:tab w:leader="none" w:pos="4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00" w:hanging="492"/>
        <w:spacing w:after="0" w:line="318" w:lineRule="auto"/>
        <w:tabs>
          <w:tab w:leader="none" w:pos="488"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left="500" w:right="100" w:hanging="492"/>
        <w:spacing w:after="0" w:line="268" w:lineRule="auto"/>
        <w:tabs>
          <w:tab w:leader="none" w:pos="4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300" w:hanging="492"/>
        <w:spacing w:after="0" w:line="268" w:lineRule="auto"/>
        <w:tabs>
          <w:tab w:leader="none" w:pos="4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2024</w:t>
      </w:r>
    </w:p>
    <w:p>
      <w:pPr>
        <w:spacing w:after="0" w:line="50"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17780</wp:posOffset>
            </wp:positionV>
            <wp:extent cx="19627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Rafael R. Lizardi</w:t>
      </w:r>
    </w:p>
    <w:p>
      <w:pPr>
        <w:jc w:val="center"/>
        <w:ind w:left="5760"/>
        <w:spacing w:after="0" w:line="219" w:lineRule="auto"/>
        <w:rPr>
          <w:sz w:val="20"/>
          <w:szCs w:val="20"/>
          <w:color w:val="auto"/>
        </w:rPr>
      </w:pPr>
      <w:r>
        <w:rPr>
          <w:rFonts w:ascii="Arial" w:cs="Arial" w:eastAsia="Arial" w:hAnsi="Arial"/>
          <w:sz w:val="18"/>
          <w:szCs w:val="18"/>
          <w:color w:val="auto"/>
        </w:rPr>
        <w:t>Senior Vice President and</w:t>
      </w:r>
    </w:p>
    <w:p>
      <w:pPr>
        <w:jc w:val="center"/>
        <w:ind w:left="5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6"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Haviv Ilan, president and chief executive officer of Texas Instruments Incorporated (the “Company”), hereby certifies that, to his knowledge:</w:t>
      </w:r>
    </w:p>
    <w:p>
      <w:pPr>
        <w:spacing w:after="0" w:line="207" w:lineRule="exact"/>
        <w:rPr>
          <w:sz w:val="20"/>
          <w:szCs w:val="20"/>
          <w:color w:val="auto"/>
        </w:rPr>
      </w:pPr>
    </w:p>
    <w:p>
      <w:pPr>
        <w:ind w:firstLine="494"/>
        <w:spacing w:after="0" w:line="268" w:lineRule="auto"/>
        <w:tabs>
          <w:tab w:leader="none" w:pos="6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2023,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2024</w:t>
      </w:r>
    </w:p>
    <w:p>
      <w:pPr>
        <w:spacing w:after="0" w:line="50"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jc w:val="center"/>
        <w:ind w:left="8120"/>
        <w:spacing w:after="0" w:line="219" w:lineRule="auto"/>
        <w:rPr>
          <w:sz w:val="20"/>
          <w:szCs w:val="20"/>
          <w:color w:val="auto"/>
        </w:rPr>
      </w:pPr>
      <w:r>
        <w:rPr>
          <w:rFonts w:ascii="Arial" w:cs="Arial" w:eastAsia="Arial" w:hAnsi="Arial"/>
          <w:sz w:val="18"/>
          <w:szCs w:val="18"/>
          <w:color w:val="auto"/>
        </w:rPr>
        <w:t>President and</w:t>
      </w:r>
    </w:p>
    <w:p>
      <w:pPr>
        <w:jc w:val="center"/>
        <w:ind w:left="81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6"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07" w:lineRule="exact"/>
        <w:rPr>
          <w:sz w:val="20"/>
          <w:szCs w:val="20"/>
          <w:color w:val="auto"/>
        </w:rPr>
      </w:pPr>
    </w:p>
    <w:p>
      <w:pPr>
        <w:ind w:right="80" w:firstLine="486"/>
        <w:spacing w:after="0" w:line="26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71" w:lineRule="exact"/>
        <w:rPr>
          <w:sz w:val="20"/>
          <w:szCs w:val="20"/>
          <w:color w:val="auto"/>
        </w:rPr>
      </w:pPr>
    </w:p>
    <w:p>
      <w:pPr>
        <w:ind w:firstLine="494"/>
        <w:spacing w:after="0" w:line="268" w:lineRule="auto"/>
        <w:tabs>
          <w:tab w:leader="none" w:pos="6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2023,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2024</w:t>
      </w:r>
    </w:p>
    <w:p>
      <w:pPr>
        <w:spacing w:after="0" w:line="50"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Rafael R. Lizardi</w:t>
      </w:r>
    </w:p>
    <w:p>
      <w:pPr>
        <w:jc w:val="center"/>
        <w:ind w:left="8120"/>
        <w:spacing w:after="0" w:line="219"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97</w:t>
      </w:r>
    </w:p>
    <w:p>
      <w:pPr>
        <w:jc w:val="center"/>
        <w:spacing w:after="0" w:line="227" w:lineRule="auto"/>
        <w:rPr>
          <w:sz w:val="20"/>
          <w:szCs w:val="20"/>
          <w:color w:val="auto"/>
        </w:rPr>
      </w:pPr>
      <w:r>
        <w:rPr>
          <w:rFonts w:ascii="Times New Roman" w:cs="Times New Roman" w:eastAsia="Times New Roman" w:hAnsi="Times New Roman"/>
          <w:sz w:val="22"/>
          <w:szCs w:val="22"/>
          <w:color w:val="auto"/>
        </w:rPr>
        <w:t>TEXAS INSTRUMENTS INCORPORATED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RECOUPMENT POLICY</w:t>
      </w:r>
    </w:p>
    <w:p>
      <w:pPr>
        <w:spacing w:after="0"/>
        <w:rPr>
          <w:sz w:val="20"/>
          <w:szCs w:val="20"/>
          <w:color w:val="auto"/>
        </w:rPr>
      </w:pPr>
      <w:r>
        <w:rPr>
          <w:rFonts w:ascii="Times New Roman" w:cs="Times New Roman" w:eastAsia="Times New Roman" w:hAnsi="Times New Roman"/>
          <w:sz w:val="22"/>
          <w:szCs w:val="22"/>
          <w:u w:val="single" w:color="auto"/>
          <w:color w:val="auto"/>
        </w:rPr>
        <w:t>1. Purpose</w:t>
      </w:r>
    </w:p>
    <w:p>
      <w:pPr>
        <w:spacing w:after="0" w:line="209" w:lineRule="exact"/>
        <w:rPr>
          <w:sz w:val="20"/>
          <w:szCs w:val="20"/>
          <w:color w:val="auto"/>
        </w:rPr>
      </w:pPr>
    </w:p>
    <w:p>
      <w:pPr>
        <w:jc w:val="both"/>
        <w:ind w:right="540"/>
        <w:spacing w:after="0" w:line="234" w:lineRule="auto"/>
        <w:rPr>
          <w:sz w:val="20"/>
          <w:szCs w:val="20"/>
          <w:color w:val="auto"/>
        </w:rPr>
      </w:pPr>
      <w:r>
        <w:rPr>
          <w:rFonts w:ascii="Times New Roman" w:cs="Times New Roman" w:eastAsia="Times New Roman" w:hAnsi="Times New Roman"/>
          <w:sz w:val="22"/>
          <w:szCs w:val="22"/>
          <w:color w:val="auto"/>
        </w:rPr>
        <w:t>The following Recoupment Policy (the “Policy”) is designed to comply with, and shall be interpreted to be consistent with, Section 10D of the Securities Exchange Act of 1934, as amended (the “Exchange Act”), Rule 10D-1 promulgated under the Exchange Act (“Rule 10D-1”) and Nasdaq Listing Rule 5608.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 Recoupment</w:t>
      </w:r>
    </w:p>
    <w:p>
      <w:pPr>
        <w:spacing w:after="0" w:line="22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1"/>
          <w:szCs w:val="21"/>
          <w:color w:val="auto"/>
        </w:rPr>
        <w:t>In the event that Texas Instruments Incorporated (the “Company”) is required to prepare an accounting restatement due to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at the direction of the Compensation Committee of the Board of Directors or such other committee of independent directors determined by the Board of Directors (the “Administrator”), shall reasonably promptly, after a review of the facts and circumstances, seek to recover incentive-based compensation (as defined in Rule 10D-1 “Incentive-Based Compensation”) received by any current or former executive officer during the three completed fiscal years immediately preceding the date that the Company is required to prepare such an accounting restatement in excess of the amount of Incentive-Based Compensation that otherwise would have been received by the executive officer had such Incentive-Based Compensation been determined based on the restated financial results, calculated on a pre-tax basis. The Company shall not indemnify any executive officer, directly or indirectly, for any losses that such executive officer may incur in connection with the recovery of such amounts pursuant to this paragraph, including through the payment of insurance premiums or gross-up payments.</w:t>
      </w:r>
    </w:p>
    <w:p>
      <w:pPr>
        <w:spacing w:after="0" w:line="19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Administrator shall determine, in its sole discretion, the timing and manner for promptly recouping any such Incentive-Based Compensation under this Policy. The Company is authorized and directed to recoup such Incentive-Based Compensation in compliance with this Policy unless the Administrator has determined that recovery would be impracticable in accordance with Rule 10D-1.</w:t>
      </w:r>
    </w:p>
    <w:p>
      <w:pPr>
        <w:spacing w:after="0" w:line="192" w:lineRule="exact"/>
        <w:rPr>
          <w:sz w:val="20"/>
          <w:szCs w:val="20"/>
          <w:color w:val="auto"/>
        </w:rPr>
      </w:pPr>
    </w:p>
    <w:p>
      <w:pPr>
        <w:jc w:val="both"/>
        <w:ind w:right="180"/>
        <w:spacing w:after="0" w:line="241" w:lineRule="auto"/>
        <w:rPr>
          <w:sz w:val="20"/>
          <w:szCs w:val="20"/>
          <w:color w:val="auto"/>
        </w:rPr>
      </w:pPr>
      <w:r>
        <w:rPr>
          <w:rFonts w:ascii="Times New Roman" w:cs="Times New Roman" w:eastAsia="Times New Roman" w:hAnsi="Times New Roman"/>
          <w:sz w:val="21"/>
          <w:szCs w:val="21"/>
          <w:color w:val="auto"/>
        </w:rPr>
        <w:t>For purposes of this Policy, the term “executive officer” means any officer of the Company, as determined by the Administrator in accordance with the definition of executive officer set forth in Rule 10D-1 and as otherwise determined by the Administrator. This Policy applies to Incentive-Based Compensation received by an executive officer after he or she commenced service as an executive officer and served in such capacity at any time during the performance period for the Incentive-Based Compensation.</w:t>
      </w:r>
    </w:p>
    <w:p>
      <w:pPr>
        <w:spacing w:after="0" w:line="19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In addition, the Administrator may, in its sole discretion, determine whether and to what extent additional recoupment of any compensation of current or former executive officers is appropriate to address the circumstances surrounding an accounting restatement including, but not limited to, with respect to the compensation of any current or former executive officer whose fraud or willful misconduct contributed to the need for an accounting restatement.</w:t>
      </w:r>
    </w:p>
    <w:p>
      <w:pPr>
        <w:sectPr>
          <w:pgSz w:w="11900" w:h="16838" w:orient="portrait"/>
          <w:cols w:equalWidth="0" w:num="1">
            <w:col w:w="11240"/>
          </w:cols>
          <w:pgMar w:left="320" w:top="1404" w:right="339" w:bottom="1440" w:gutter="0" w:footer="0" w:header="0"/>
        </w:sectPr>
      </w:pPr>
    </w:p>
    <w:bookmarkStart w:id="92" w:name="page93"/>
    <w:bookmarkEnd w:id="92"/>
    <w:p>
      <w:pPr>
        <w:ind w:right="80"/>
        <w:spacing w:after="0" w:line="226" w:lineRule="auto"/>
        <w:rPr>
          <w:sz w:val="20"/>
          <w:szCs w:val="20"/>
          <w:color w:val="auto"/>
        </w:rPr>
      </w:pPr>
      <w:r>
        <w:rPr>
          <w:rFonts w:ascii="Times New Roman" w:cs="Times New Roman" w:eastAsia="Times New Roman" w:hAnsi="Times New Roman"/>
          <w:sz w:val="22"/>
          <w:szCs w:val="22"/>
          <w:color w:val="auto"/>
        </w:rPr>
        <w:t xml:space="preserve">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amounts recouped or clawed back under any other policy that would be recoupable under this Policy shall count toward any required clawback or recoupment under this Policy and vice versa.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3. Administration</w:t>
      </w:r>
    </w:p>
    <w:p>
      <w:pPr>
        <w:spacing w:after="0" w:line="220"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The Administrator shall have full power and authority to (i) administer and interpret this Policy; (ii) correct any defect, supply any omission and reconcile any inconsistency in this Policy; and (iii) make any other determination and take any other action that the Administrator deems necessary or desirable for the administration of this Policy and to comply with applicable law (including Section 10D of the Exchange Act) and applicable stock market or exchange rules and regulations. The Administrator may amend, supplement, rescind or replace all or any portion of this Policy at any time. All determinations by the Administrator with respect to this Policy shall be final and binding on all interested parties.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4. Miscellaneous</w:t>
      </w:r>
    </w:p>
    <w:p>
      <w:pPr>
        <w:spacing w:after="0" w:line="220"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22"/>
          <w:szCs w:val="22"/>
          <w:color w:val="auto"/>
        </w:rPr>
        <w:t>All issues concerning the construction, validity, enforcement and interpretation of this Policy and its incorporation into any related documents, including, without limitation, any employment agreement, offer letter, equity award agreement or similar agreement, shall be governed by, and construed in accordance with, the laws of the State of Texas, without giving effect to any choice of law or conflict of law rules or provisions (whether of the State of Texas or any other jurisdiction) that would cause the application of the laws of any jurisdiction other than the State of Texas.</w:t>
      </w:r>
    </w:p>
    <w:p>
      <w:pPr>
        <w:spacing w:after="0" w:line="194"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22"/>
          <w:szCs w:val="22"/>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sectPr>
      <w:pgSz w:w="11900" w:h="16838" w:orient="portrait"/>
      <w:cols w:equalWidth="0" w:num="1">
        <w:col w:w="11220"/>
      </w:cols>
      <w:pgMar w:left="320" w:top="14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lowerLetter"/>
      <w:start w:val="1"/>
    </w:lvl>
  </w:abstractNum>
  <w:abstractNum w:abstractNumId="5">
    <w:nsid w:val="3804823E"/>
    <w:multiLevelType w:val="hybridMultilevel"/>
    <w:lvl w:ilvl="0">
      <w:lvlJc w:val="left"/>
      <w:lvlText w:val="%1."/>
      <w:numFmt w:val="decimal"/>
      <w:start w:val="1"/>
    </w:lvl>
    <w:lvl w:ilvl="1">
      <w:lvlJc w:val="left"/>
      <w:lvlText w:val="(%2)"/>
      <w:numFmt w:val="lowerLetter"/>
      <w:start w:val="1"/>
    </w:lvl>
  </w:abstractNum>
  <w:abstractNum w:abstractNumId="6">
    <w:nsid w:val="77465F01"/>
    <w:multiLevelType w:val="hybridMultilevel"/>
    <w:lvl w:ilvl="0">
      <w:lvlJc w:val="left"/>
      <w:lvlText w:val="%1."/>
      <w:numFmt w:val="decimal"/>
      <w:start w:val="2"/>
    </w:lvl>
  </w:abstractNum>
  <w:abstractNum w:abstractNumId="7">
    <w:nsid w:val="7724C67E"/>
    <w:multiLevelType w:val="hybridMultilevel"/>
    <w:lvl w:ilvl="0">
      <w:lvlJc w:val="left"/>
      <w:lvlText w:val="•"/>
      <w:numFmt w:val="bullet"/>
      <w:start w:val="1"/>
    </w:lvl>
    <w:lvl w:ilvl="1">
      <w:lvlJc w:val="left"/>
      <w:lvlText w:val="◦"/>
      <w:numFmt w:val="bullet"/>
      <w:start w:val="1"/>
    </w:lvl>
  </w:abstractNum>
  <w:abstractNum w:abstractNumId="8">
    <w:nsid w:val="5C482A97"/>
    <w:multiLevelType w:val="hybridMultilevel"/>
    <w:lvl w:ilvl="0">
      <w:lvlJc w:val="left"/>
      <w:lvlText w:val="•"/>
      <w:numFmt w:val="bullet"/>
      <w:start w:val="1"/>
    </w:lvl>
    <w:lvl w:ilvl="1">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1)"/>
      <w:numFmt w:val="lowerLetter"/>
      <w:start w:val="1"/>
    </w:lvl>
  </w:abstractNum>
  <w:abstractNum w:abstractNumId="14">
    <w:nsid w:val="153EA438"/>
    <w:multiLevelType w:val="hybridMultilevel"/>
    <w:lvl w:ilvl="0">
      <w:lvlJc w:val="left"/>
      <w:lvlText w:val="%1."/>
      <w:numFmt w:val="decimal"/>
      <w:start w:val="2"/>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3"/>
    </w:lvl>
  </w:abstractNum>
  <w:abstractNum w:abstractNumId="17">
    <w:nsid w:val="6A2342EC"/>
    <w:multiLevelType w:val="hybridMultilevel"/>
    <w:lvl w:ilvl="0">
      <w:lvlJc w:val="left"/>
      <w:lvlText w:val="(%1)"/>
      <w:numFmt w:val="lowerLetter"/>
      <w:start w:val="1"/>
    </w:lvl>
  </w:abstractNum>
  <w:abstractNum w:abstractNumId="18">
    <w:nsid w:val="2A487CB0"/>
    <w:multiLevelType w:val="hybridMultilevel"/>
    <w:lvl w:ilvl="0">
      <w:lvlJc w:val="left"/>
      <w:lvlText w:val="(%1)"/>
      <w:numFmt w:val="lowerLetter"/>
      <w:start w:val="1"/>
    </w:lvl>
  </w:abstractNum>
  <w:abstractNum w:abstractNumId="19">
    <w:nsid w:val="1D4ED43B"/>
    <w:multiLevelType w:val="hybridMultilevel"/>
    <w:lvl w:ilvl="0">
      <w:lvlJc w:val="left"/>
      <w:lvlText w:val="%1."/>
      <w:numFmt w:val="decimal"/>
      <w:start w:val="5"/>
    </w:lvl>
  </w:abstractNum>
  <w:abstractNum w:abstractNumId="20">
    <w:nsid w:val="725A06FB"/>
    <w:multiLevelType w:val="hybridMultilevel"/>
    <w:lvl w:ilvl="0">
      <w:lvlJc w:val="left"/>
      <w:lvlText w:val="%1."/>
      <w:numFmt w:val="decimal"/>
      <w:start w:val="6"/>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1."/>
      <w:numFmt w:val="decimal"/>
      <w:start w:val="7"/>
    </w:lvl>
  </w:abstractNum>
  <w:abstractNum w:abstractNumId="23">
    <w:nsid w:val="7A6D8D3C"/>
    <w:multiLevelType w:val="hybridMultilevel"/>
    <w:lvl w:ilvl="0">
      <w:lvlJc w:val="left"/>
      <w:lvlText w:val="(%1)"/>
      <w:numFmt w:val="lowerLetter"/>
      <w:start w:val="1"/>
    </w:lvl>
  </w:abstractNum>
  <w:abstractNum w:abstractNumId="24">
    <w:nsid w:val="4B588F54"/>
    <w:multiLevelType w:val="hybridMultilevel"/>
    <w:lvl w:ilvl="0">
      <w:lvlJc w:val="left"/>
      <w:lvlText w:val="(%1)"/>
      <w:numFmt w:val="lowerLetter"/>
      <w:start w:val="1"/>
    </w:lvl>
  </w:abstractNum>
  <w:abstractNum w:abstractNumId="25">
    <w:nsid w:val="542289EC"/>
    <w:multiLevelType w:val="hybridMultilevel"/>
    <w:lvl w:ilvl="0">
      <w:lvlJc w:val="left"/>
      <w:lvlText w:val="%1."/>
      <w:numFmt w:val="decimal"/>
      <w:start w:val="8"/>
    </w:lvl>
  </w:abstractNum>
  <w:abstractNum w:abstractNumId="26">
    <w:nsid w:val="6DE91B18"/>
    <w:multiLevelType w:val="hybridMultilevel"/>
    <w:lvl w:ilvl="0">
      <w:lvlJc w:val="left"/>
      <w:lvlText w:val="%1."/>
      <w:numFmt w:val="decimal"/>
      <w:start w:val="9"/>
    </w:lvl>
  </w:abstractNum>
  <w:abstractNum w:abstractNumId="27">
    <w:nsid w:val="38437FDB"/>
    <w:multiLevelType w:val="hybridMultilevel"/>
    <w:lvl w:ilvl="0">
      <w:lvlJc w:val="left"/>
      <w:lvlText w:val="%1."/>
      <w:numFmt w:val="decimal"/>
      <w:start w:val="10"/>
    </w:lvl>
  </w:abstractNum>
  <w:abstractNum w:abstractNumId="28">
    <w:nsid w:val="7644A45C"/>
    <w:multiLevelType w:val="hybridMultilevel"/>
    <w:lvl w:ilvl="0">
      <w:lvlJc w:val="left"/>
      <w:lvlText w:val="%1."/>
      <w:numFmt w:val="decimal"/>
      <w:start w:val="11"/>
    </w:lvl>
  </w:abstractNum>
  <w:abstractNum w:abstractNumId="29">
    <w:nsid w:val="32FFF902"/>
    <w:multiLevelType w:val="hybridMultilevel"/>
    <w:lvl w:ilvl="0">
      <w:lvlJc w:val="left"/>
      <w:lvlText w:val="(%1)"/>
      <w:numFmt w:val="lowerLetter"/>
      <w:start w:val="1"/>
    </w:lvl>
  </w:abstractNum>
  <w:abstractNum w:abstractNumId="30">
    <w:nsid w:val="684A481A"/>
    <w:multiLevelType w:val="hybridMultilevel"/>
    <w:lvl w:ilvl="0">
      <w:lvlJc w:val="left"/>
      <w:lvlText w:val="(%1)"/>
      <w:numFmt w:val="lowerLetter"/>
      <w:start w:val="1"/>
    </w:lvl>
  </w:abstractNum>
  <w:abstractNum w:abstractNumId="31">
    <w:nsid w:val="579478FE"/>
    <w:multiLevelType w:val="hybridMultilevel"/>
    <w:lvl w:ilvl="0">
      <w:lvlJc w:val="left"/>
      <w:lvlText w:val="(%1)"/>
      <w:numFmt w:val="lowerLetter"/>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3"/>
    </w:lvl>
    <w:lvl w:ilvl="1">
      <w:lvlJc w:val="left"/>
      <w:lvlText w:val="(%2)"/>
      <w:numFmt w:val="lowerLetter"/>
      <w:start w:val="1"/>
    </w:lvl>
  </w:abstractNum>
  <w:abstractNum w:abstractNumId="36">
    <w:nsid w:val="75C6C33A"/>
    <w:multiLevelType w:val="hybridMultilevel"/>
    <w:lvl w:ilvl="0">
      <w:lvlJc w:val="left"/>
      <w:lvlText w:val="%1"/>
      <w:numFmt w:val="decimal"/>
      <w:start w:val="1"/>
    </w:lvl>
    <w:lvl w:ilvl="1">
      <w:lvlJc w:val="left"/>
      <w:lvlText w:val="(%2)"/>
      <w:numFmt w:val="lowerLetter"/>
      <w:start w:val="4"/>
    </w:lvl>
  </w:abstractNum>
  <w:abstractNum w:abstractNumId="37">
    <w:nsid w:val="12E685FB"/>
    <w:multiLevelType w:val="hybridMultilevel"/>
    <w:lvl w:ilvl="0">
      <w:lvlJc w:val="left"/>
      <w:lvlText w:val="%1."/>
      <w:numFmt w:val="decimal"/>
      <w:start w:val="4"/>
    </w:lvl>
    <w:lvl w:ilvl="1">
      <w:lvlJc w:val="left"/>
      <w:lvlText w:val="(%2)"/>
      <w:numFmt w:val="lowerLetter"/>
      <w:start w:val="1"/>
    </w:lvl>
  </w:abstractNum>
  <w:abstractNum w:abstractNumId="38">
    <w:nsid w:val="70C6A529"/>
    <w:multiLevelType w:val="hybridMultilevel"/>
    <w:lvl w:ilvl="0">
      <w:lvlJc w:val="left"/>
      <w:lvlText w:val="(%1)"/>
      <w:numFmt w:val="lowerLetter"/>
      <w:start w:val="2"/>
    </w:lvl>
    <w:lvl w:ilvl="1">
      <w:lvlJc w:val="left"/>
      <w:lvlText w:val="(%2)"/>
      <w:numFmt w:val="decimal"/>
      <w:start w:val="1"/>
    </w:lvl>
  </w:abstractNum>
  <w:abstractNum w:abstractNumId="39">
    <w:nsid w:val="520EEDD1"/>
    <w:multiLevelType w:val="hybridMultilevel"/>
    <w:lvl w:ilvl="0">
      <w:lvlJc w:val="left"/>
      <w:lvlText w:val="%1"/>
      <w:numFmt w:val="lowerLetter"/>
      <w:start w:val="1"/>
    </w:lvl>
    <w:lvl w:ilvl="1">
      <w:lvlJc w:val="left"/>
      <w:lvlText w:val="(%2)"/>
      <w:numFmt w:val="decimal"/>
      <w:start w:val="3"/>
    </w:lvl>
  </w:abstractNum>
  <w:abstractNum w:abstractNumId="40">
    <w:nsid w:val="374A3FE6"/>
    <w:multiLevelType w:val="hybridMultilevel"/>
    <w:lvl w:ilvl="0">
      <w:lvlJc w:val="left"/>
      <w:lvlText w:val="(%1)"/>
      <w:numFmt w:val="lowerLetter"/>
      <w:start w:val="8"/>
    </w:lvl>
    <w:lvl w:ilvl="1">
      <w:lvlJc w:val="left"/>
      <w:lvlText w:val="%2"/>
      <w:numFmt w:val="decimal"/>
      <w:start w:val="1"/>
    </w:lvl>
  </w:abstractNum>
  <w:abstractNum w:abstractNumId="41">
    <w:nsid w:val="4F4EF005"/>
    <w:multiLevelType w:val="hybridMultilevel"/>
    <w:lvl w:ilvl="0">
      <w:lvlJc w:val="left"/>
      <w:lvlText w:val="%1"/>
      <w:numFmt w:val="decimal"/>
      <w:start w:val="1"/>
    </w:lvl>
    <w:lvl w:ilvl="1">
      <w:lvlJc w:val="left"/>
      <w:lvlText w:val="(%2)"/>
      <w:numFmt w:val="lowerRoman"/>
      <w:start w:val="1"/>
    </w:lvl>
  </w:abstractNum>
  <w:abstractNum w:abstractNumId="42">
    <w:nsid w:val="23F9C13C"/>
    <w:multiLevelType w:val="hybridMultilevel"/>
    <w:lvl w:ilvl="0">
      <w:lvlJc w:val="left"/>
      <w:lvlText w:val="(%1)"/>
      <w:numFmt w:val="decimal"/>
      <w:start w:val="1"/>
    </w:lvl>
    <w:lvl w:ilvl="1">
      <w:lvlJc w:val="left"/>
      <w:lvlText w:val="%2"/>
      <w:numFmt w:val="lowerRoman"/>
      <w:start w:val="1"/>
    </w:lvl>
  </w:abstractNum>
  <w:abstractNum w:abstractNumId="43">
    <w:nsid w:val="649BB77C"/>
    <w:multiLevelType w:val="hybridMultilevel"/>
    <w:lvl w:ilvl="0">
      <w:lvlJc w:val="left"/>
      <w:lvlText w:val="(%1)"/>
      <w:numFmt w:val="lowerLetter"/>
      <w:start w:val="10"/>
    </w:lvl>
  </w:abstractNum>
  <w:abstractNum w:abstractNumId="44">
    <w:nsid w:val="275AC794"/>
    <w:multiLevelType w:val="hybridMultilevel"/>
    <w:lvl w:ilvl="0">
      <w:lvlJc w:val="left"/>
      <w:lvlText w:val="%1."/>
      <w:numFmt w:val="decimal"/>
      <w:start w:val="9"/>
    </w:lvl>
  </w:abstractNum>
  <w:abstractNum w:abstractNumId="45">
    <w:nsid w:val="39386575"/>
    <w:multiLevelType w:val="hybridMultilevel"/>
    <w:lvl w:ilvl="0">
      <w:lvlJc w:val="left"/>
      <w:lvlText w:val="%1."/>
      <w:numFmt w:val="decimal"/>
      <w:start w:val="10"/>
    </w:lvl>
    <w:lvl w:ilvl="1">
      <w:lvlJc w:val="left"/>
      <w:lvlText w:val="(%2)"/>
      <w:numFmt w:val="lowerLetter"/>
      <w:start w:val="1"/>
    </w:lvl>
  </w:abstractNum>
  <w:abstractNum w:abstractNumId="46">
    <w:nsid w:val="1CF10FD8"/>
    <w:multiLevelType w:val="hybridMultilevel"/>
    <w:lvl w:ilvl="0">
      <w:lvlJc w:val="left"/>
      <w:lvlText w:val="%1."/>
      <w:numFmt w:val="decimal"/>
      <w:start w:val="11"/>
    </w:lvl>
  </w:abstractNum>
  <w:abstractNum w:abstractNumId="47">
    <w:nsid w:val="180115BE"/>
    <w:multiLevelType w:val="hybridMultilevel"/>
    <w:lvl w:ilvl="0">
      <w:lvlJc w:val="left"/>
      <w:lvlText w:val="%1."/>
      <w:numFmt w:val="decimal"/>
      <w:start w:val="16"/>
    </w:lvl>
  </w:abstractNum>
  <w:abstractNum w:abstractNumId="48">
    <w:nsid w:val="235BA861"/>
    <w:multiLevelType w:val="hybridMultilevel"/>
    <w:lvl w:ilvl="0">
      <w:lvlJc w:val="left"/>
      <w:lvlText w:val="%1."/>
      <w:numFmt w:val="decimal"/>
      <w:start w:val="1"/>
    </w:lvl>
    <w:lvl w:ilvl="1">
      <w:lvlJc w:val="left"/>
      <w:lvlText w:val="(%2)"/>
      <w:numFmt w:val="lowerLetter"/>
      <w:start w:val="1"/>
    </w:lvl>
  </w:abstractNum>
  <w:abstractNum w:abstractNumId="49">
    <w:nsid w:val="47398C89"/>
    <w:multiLevelType w:val="hybridMultilevel"/>
    <w:lvl w:ilvl="0">
      <w:lvlJc w:val="left"/>
      <w:lvlText w:val="%1"/>
      <w:numFmt w:val="decimal"/>
      <w:start w:val="1"/>
    </w:lvl>
    <w:lvl w:ilvl="1">
      <w:lvlJc w:val="left"/>
      <w:lvlText w:val="(%2)"/>
      <w:numFmt w:val="lowerLetter"/>
      <w:start w:val="4"/>
    </w:lvl>
  </w:abstractNum>
  <w:abstractNum w:abstractNumId="50">
    <w:nsid w:val="354FE9F9"/>
    <w:multiLevelType w:val="hybridMultilevel"/>
    <w:lvl w:ilvl="0">
      <w:lvlJc w:val="left"/>
      <w:lvlText w:val="%1."/>
      <w:numFmt w:val="decimal"/>
      <w:start w:val="4"/>
    </w:lvl>
    <w:lvl w:ilvl="1">
      <w:lvlJc w:val="left"/>
      <w:lvlText w:val="(%2)"/>
      <w:numFmt w:val="lowerLetter"/>
      <w:start w:val="1"/>
    </w:lvl>
  </w:abstractNum>
  <w:abstractNum w:abstractNumId="51">
    <w:nsid w:val="15B5AF5C"/>
    <w:multiLevelType w:val="hybridMultilevel"/>
    <w:lvl w:ilvl="0">
      <w:lvlJc w:val="left"/>
      <w:lvlText w:val="(%1)"/>
      <w:numFmt w:val="decimal"/>
      <w:start w:val="2"/>
    </w:lvl>
    <w:lvl w:ilvl="1">
      <w:lvlJc w:val="left"/>
      <w:lvlText w:val="(%2)"/>
      <w:numFmt w:val="decimal"/>
      <w:start w:val="1"/>
    </w:lvl>
  </w:abstractNum>
  <w:abstractNum w:abstractNumId="52">
    <w:nsid w:val="741226BB"/>
    <w:multiLevelType w:val="hybridMultilevel"/>
    <w:lvl w:ilvl="0">
      <w:lvlJc w:val="left"/>
      <w:lvlText w:val="%1"/>
      <w:numFmt w:val="lowerLetter"/>
      <w:start w:val="1"/>
    </w:lvl>
    <w:lvl w:ilvl="1">
      <w:lvlJc w:val="left"/>
      <w:lvlText w:val="(%2)"/>
      <w:numFmt w:val="decimal"/>
      <w:start w:val="2"/>
    </w:lvl>
  </w:abstractNum>
  <w:abstractNum w:abstractNumId="53">
    <w:nsid w:val="D34B6A8"/>
    <w:multiLevelType w:val="hybridMultilevel"/>
    <w:lvl w:ilvl="0">
      <w:lvlJc w:val="left"/>
      <w:lvlText w:val="(%1)"/>
      <w:numFmt w:val="lowerLetter"/>
      <w:start w:val="8"/>
    </w:lvl>
    <w:lvl w:ilvl="1">
      <w:lvlJc w:val="left"/>
      <w:lvlText w:val="%2"/>
      <w:numFmt w:val="decimal"/>
      <w:start w:val="1"/>
    </w:lvl>
  </w:abstractNum>
  <w:abstractNum w:abstractNumId="54">
    <w:nsid w:val="10233C99"/>
    <w:multiLevelType w:val="hybridMultilevel"/>
    <w:lvl w:ilvl="0">
      <w:lvlJc w:val="left"/>
      <w:lvlText w:val="%1"/>
      <w:numFmt w:val="decimal"/>
      <w:start w:val="1"/>
    </w:lvl>
    <w:lvl w:ilvl="1">
      <w:lvlJc w:val="left"/>
      <w:lvlText w:val="(%2)"/>
      <w:numFmt w:val="lowerRoman"/>
      <w:start w:val="1"/>
    </w:lvl>
  </w:abstractNum>
  <w:abstractNum w:abstractNumId="55">
    <w:nsid w:val="3F6AB60F"/>
    <w:multiLevelType w:val="hybridMultilevel"/>
    <w:lvl w:ilvl="0">
      <w:lvlJc w:val="left"/>
      <w:lvlText w:val="(%1)"/>
      <w:numFmt w:val="decimal"/>
      <w:start w:val="1"/>
    </w:lvl>
    <w:lvl w:ilvl="1">
      <w:lvlJc w:val="left"/>
      <w:lvlText w:val="%2"/>
      <w:numFmt w:val="lowerRoman"/>
      <w:start w:val="1"/>
    </w:lvl>
  </w:abstractNum>
  <w:abstractNum w:abstractNumId="56">
    <w:nsid w:val="61574095"/>
    <w:multiLevelType w:val="hybridMultilevel"/>
    <w:lvl w:ilvl="0">
      <w:lvlJc w:val="left"/>
      <w:lvlText w:val="(%1)"/>
      <w:numFmt w:val="lowerLetter"/>
      <w:start w:val="10"/>
    </w:lvl>
  </w:abstractNum>
  <w:abstractNum w:abstractNumId="57">
    <w:nsid w:val="7E0C57B1"/>
    <w:multiLevelType w:val="hybridMultilevel"/>
    <w:lvl w:ilvl="0">
      <w:lvlJc w:val="left"/>
      <w:lvlText w:val="%1."/>
      <w:numFmt w:val="decimal"/>
      <w:start w:val="9"/>
    </w:lvl>
  </w:abstractNum>
  <w:abstractNum w:abstractNumId="58">
    <w:nsid w:val="77AE35EB"/>
    <w:multiLevelType w:val="hybridMultilevel"/>
    <w:lvl w:ilvl="0">
      <w:lvlJc w:val="left"/>
      <w:lvlText w:val="%1."/>
      <w:numFmt w:val="decimal"/>
      <w:start w:val="10"/>
    </w:lvl>
    <w:lvl w:ilvl="1">
      <w:lvlJc w:val="left"/>
      <w:lvlText w:val="(%2)"/>
      <w:numFmt w:val="low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10"/>
    </w:lvl>
  </w:abstractNum>
  <w:abstractNum w:abstractNumId="60">
    <w:nsid w:val="310C50B3"/>
    <w:multiLevelType w:val="hybridMultilevel"/>
    <w:lvl w:ilvl="0">
      <w:lvlJc w:val="left"/>
      <w:lvlText w:val="%1."/>
      <w:numFmt w:val="decimal"/>
      <w:start w:val="11"/>
    </w:lvl>
    <w:lvl w:ilvl="1">
      <w:lvlJc w:val="left"/>
      <w:lvlText w:val="%2"/>
      <w:numFmt w:val="lowerLetter"/>
      <w:start w:val="1"/>
    </w:lvl>
  </w:abstractNum>
  <w:abstractNum w:abstractNumId="61">
    <w:nsid w:val="5FF87E05"/>
    <w:multiLevelType w:val="hybridMultilevel"/>
    <w:lvl w:ilvl="0">
      <w:lvlJc w:val="left"/>
      <w:lvlText w:val="%1."/>
      <w:numFmt w:val="decimal"/>
      <w:start w:val="14"/>
    </w:lvl>
  </w:abstractNum>
  <w:abstractNum w:abstractNumId="62">
    <w:nsid w:val="2F305DEF"/>
    <w:multiLevelType w:val="hybridMultilevel"/>
    <w:lvl w:ilvl="0">
      <w:lvlJc w:val="left"/>
      <w:lvlText w:val="%1."/>
      <w:numFmt w:val="decimal"/>
      <w:start w:val="19"/>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lowerRoman"/>
      <w:start w:val="1"/>
    </w:lvl>
  </w:abstractNum>
  <w:abstractNum w:abstractNumId="66">
    <w:nsid w:val="1F48EA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106"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81" Type="http://schemas.openxmlformats.org/officeDocument/2006/relationships/hyperlink" Target="http://www.sec.gov/Archives/edgar/data/97476/000009747615000003/txn-12312014xexhibit3a.htm" TargetMode="External"/><Relationship Id="rId82" Type="http://schemas.openxmlformats.org/officeDocument/2006/relationships/hyperlink" Target="https://www.sec.gov/Archives/edgar/data/97476/000119312522018409/d252810dex3.htm" TargetMode="External"/><Relationship Id="rId83" Type="http://schemas.openxmlformats.org/officeDocument/2006/relationships/hyperlink" Target="http://www.sec.gov/Archives/edgar/data/97476/000119312511147104/dex42.htm" TargetMode="External"/><Relationship Id="rId84" Type="http://schemas.openxmlformats.org/officeDocument/2006/relationships/hyperlink" Target="http://www.sec.gov/Archives/edgar/data/97476/000119312517158011/d582525dex41.htm" TargetMode="External"/><Relationship Id="rId85" Type="http://schemas.openxmlformats.org/officeDocument/2006/relationships/hyperlink" Target="http://www.sec.gov/Archives/edgar/data/97476/000119312517332507/d482992dex41.htm" TargetMode="External"/><Relationship Id="rId86" Type="http://schemas.openxmlformats.org/officeDocument/2006/relationships/hyperlink" Target="http://www.sec.gov/Archives/edgar/data/97476/000119312518154669/d579571dex41.htm" TargetMode="External"/><Relationship Id="rId87" Type="http://schemas.openxmlformats.org/officeDocument/2006/relationships/hyperlink" Target="http://www.sec.gov/Archives/edgar/data/97476/000119312518187735/d603255dex41.htm" TargetMode="External"/><Relationship Id="rId88" Type="http://schemas.openxmlformats.org/officeDocument/2006/relationships/hyperlink" Target="http://www.sec.gov/Archives/edgar/data/97476/000119312519070297/d713107dex41.htm" TargetMode="External"/><Relationship Id="rId89" Type="http://schemas.openxmlformats.org/officeDocument/2006/relationships/hyperlink" Target="http://www.sec.gov/Archives/edgar/data/97476/000119312519237540/d783480dex41.htm" TargetMode="External"/><Relationship Id="rId90" Type="http://schemas.openxmlformats.org/officeDocument/2006/relationships/hyperlink" Target="http://www.sec.gov/Archives/edgar/data/97476/000119312520071568/d883949dex41.htm" TargetMode="External"/><Relationship Id="rId91" Type="http://schemas.openxmlformats.org/officeDocument/2006/relationships/hyperlink" Target="http://www.sec.gov/Archives/edgar/data/97476/000156459020020837/txn-ex41_7.htm" TargetMode="External"/><Relationship Id="rId92" Type="http://schemas.openxmlformats.org/officeDocument/2006/relationships/hyperlink" Target="https://www.sec.gov/Archives/edgar/data/0000097476/000119312521273955/d226154dex41.htm" TargetMode="External"/><Relationship Id="rId93" Type="http://schemas.openxmlformats.org/officeDocument/2006/relationships/hyperlink" Target="https://www.sec.gov/Archives/edgar/data/97476/000119312522222326/d393354dex41.htm" TargetMode="External"/><Relationship Id="rId94" Type="http://schemas.openxmlformats.org/officeDocument/2006/relationships/hyperlink" Target="https://www.sec.gov/Archives/edgar/data/97476/000119312522288982/d105858dex41.htm" TargetMode="External"/><Relationship Id="rId95" Type="http://schemas.openxmlformats.org/officeDocument/2006/relationships/hyperlink" Target="https://www.sec.gov/Archives/edgar/data/97476/000119312523070157/d443336dex41.htm" TargetMode="External"/><Relationship Id="rId96" Type="http://schemas.openxmlformats.org/officeDocument/2006/relationships/hyperlink" Target="https://www.sec.gov/Archives/edgar/data/97476/000119312523148183/d468248dex41.htm" TargetMode="External"/><Relationship Id="rId97" Type="http://schemas.openxmlformats.org/officeDocument/2006/relationships/hyperlink" Target="http://www.sec.gov/Archives/edgar/data/97476/000009747620000009/q42019txnex4l.htm" TargetMode="External"/><Relationship Id="rId98" Type="http://schemas.openxmlformats.org/officeDocument/2006/relationships/hyperlink" Target="http://www.sec.gov/Archives/edgar/data/97476/000156459016013126/txn-ex10a_325.htm" TargetMode="External"/><Relationship Id="rId99" Type="http://schemas.openxmlformats.org/officeDocument/2006/relationships/hyperlink" Target="http://www.sec.gov/Archives/edgar/data/97476/000156459016013126/txn-ex10b_263.htm" TargetMode="External"/><Relationship Id="rId100" Type="http://schemas.openxmlformats.org/officeDocument/2006/relationships/hyperlink" Target="http://www.sec.gov/Archives/edgar/data/97476/000156459016013126/txn-ex10c_264.htm" TargetMode="External"/><Relationship Id="rId101" Type="http://schemas.openxmlformats.org/officeDocument/2006/relationships/hyperlink" Target="http://www.sec.gov/Archives/edgar/data/97476/000009747612000010/txn-12312011xexhibit10c.htm" TargetMode="External"/><Relationship Id="rId102" Type="http://schemas.openxmlformats.org/officeDocument/2006/relationships/hyperlink" Target="http://www.sec.gov/Archives/edgar/data/97476/000009747615000003/txn-12312014xexhibit10j.htm" TargetMode="External"/><Relationship Id="rId103" Type="http://schemas.openxmlformats.org/officeDocument/2006/relationships/hyperlink" Target="http://www.sec.gov/Archives/edgar/data/97476/000156459017002142/txn-ex10k_1019.htm" TargetMode="External"/><Relationship Id="rId104" Type="http://schemas.openxmlformats.org/officeDocument/2006/relationships/hyperlink" Target="http://www.sec.gov/Archives/edgar/data/97476/000156459017002142/txn-ex10l_1018.htm" TargetMode="External"/><Relationship Id="rId105" Type="http://schemas.openxmlformats.org/officeDocument/2006/relationships/hyperlink" Target="http://www.sec.gov/Archives/edgar/data/97476/000119312516497866/d117862ddef14a.htm" TargetMode="External"/><Relationship Id="rId107" Type="http://schemas.openxmlformats.org/officeDocument/2006/relationships/hyperlink" Target="http://www.sec.gov/Archives/edgar/data/97476/000156459017002142/txn-ex10n_1020.htm" TargetMode="External"/><Relationship Id="rId108" Type="http://schemas.openxmlformats.org/officeDocument/2006/relationships/hyperlink" Target="http://www.sec.gov/Archives/edgar/data/97476/000009747620000009/q42019txne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2024-02-02T10:17:52Z</dcterms:created>
  <dcterms:modified xsi:type="dcterms:W3CDTF">2024-02-02T10:17:52Z</dcterms:modified>
</cp:coreProperties>
</file>