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333-186803</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80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r>
      <w:tr>
        <w:trPr>
          <w:trHeight w:val="116"/>
        </w:trPr>
        <w:tc>
          <w:tcPr>
            <w:tcW w:w="780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gridSpan w:val="2"/>
          </w:tcPr>
          <w:p>
            <w:pPr>
              <w:ind w:left="480"/>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gridSpan w:val="2"/>
          </w:tcPr>
          <w:p>
            <w:pPr>
              <w:jc w:val="right"/>
              <w:ind w:right="332"/>
              <w:spacing w:after="0" w:line="117" w:lineRule="exact"/>
              <w:rPr>
                <w:sz w:val="20"/>
                <w:szCs w:val="20"/>
                <w:color w:val="auto"/>
              </w:rPr>
            </w:pPr>
            <w:r>
              <w:rPr>
                <w:rFonts w:ascii="Arial" w:cs="Arial" w:eastAsia="Arial" w:hAnsi="Arial"/>
                <w:sz w:val="12"/>
                <w:szCs w:val="12"/>
                <w:b w:val="1"/>
                <w:bCs w:val="1"/>
                <w:color w:val="auto"/>
              </w:rPr>
              <w:t>Amount of</w:t>
            </w:r>
          </w:p>
        </w:tc>
      </w:tr>
      <w:tr>
        <w:trPr>
          <w:trHeight w:val="161"/>
        </w:trPr>
        <w:tc>
          <w:tcPr>
            <w:tcW w:w="7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06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Aggregate Offering Price</w:t>
            </w:r>
          </w:p>
        </w:tc>
        <w:tc>
          <w:tcPr>
            <w:tcW w:w="15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Registration Fee(1)</w:t>
            </w:r>
          </w:p>
        </w:tc>
      </w:tr>
      <w:tr>
        <w:trPr>
          <w:trHeight w:val="210"/>
        </w:trPr>
        <w:tc>
          <w:tcPr>
            <w:tcW w:w="7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1.000% Notes due 2018</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8"/>
                <w:szCs w:val="18"/>
                <w:color w:val="auto"/>
                <w:w w:val="99"/>
              </w:rPr>
              <w:t>500,000,000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8"/>
              </w:rPr>
              <w:t>68,200</w:t>
            </w:r>
          </w:p>
        </w:tc>
      </w:tr>
      <w:tr>
        <w:trPr>
          <w:trHeight w:val="210"/>
        </w:trPr>
        <w:tc>
          <w:tcPr>
            <w:tcW w:w="7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2.250% Notes due 2023</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8"/>
                <w:szCs w:val="18"/>
                <w:color w:val="auto"/>
                <w:w w:val="99"/>
              </w:rPr>
              <w:t>500,000,000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8"/>
              </w:rPr>
              <w:t>68,200</w:t>
            </w:r>
          </w:p>
        </w:tc>
      </w:tr>
      <w:tr>
        <w:trPr>
          <w:trHeight w:val="210"/>
        </w:trPr>
        <w:tc>
          <w:tcPr>
            <w:tcW w:w="78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8"/>
                <w:szCs w:val="18"/>
                <w:color w:val="auto"/>
                <w:w w:val="86"/>
              </w:rPr>
              <w:t>1,000,000,000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82"/>
              </w:rPr>
              <w:t>136,400</w:t>
            </w:r>
          </w:p>
        </w:tc>
      </w:tr>
      <w:tr>
        <w:trPr>
          <w:trHeight w:val="20"/>
        </w:trPr>
        <w:tc>
          <w:tcPr>
            <w:tcW w:w="7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O S P E C T U S  S U P P L E M E N 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22, 2013)</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127000</wp:posOffset>
            </wp:positionV>
            <wp:extent cx="28644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80"/>
        <w:spacing w:after="0"/>
        <w:rPr>
          <w:sz w:val="20"/>
          <w:szCs w:val="20"/>
          <w:color w:val="auto"/>
        </w:rPr>
      </w:pPr>
      <w:r>
        <w:rPr>
          <w:rFonts w:ascii="Arial" w:cs="Arial" w:eastAsia="Arial" w:hAnsi="Arial"/>
          <w:sz w:val="32"/>
          <w:szCs w:val="32"/>
          <w:b w:val="1"/>
          <w:bCs w:val="1"/>
          <w:color w:val="auto"/>
        </w:rPr>
        <w:t>$500,000,000 1.000% Notes due 2018</w:t>
      </w:r>
    </w:p>
    <w:p>
      <w:pPr>
        <w:spacing w:after="0" w:line="33" w:lineRule="exact"/>
        <w:rPr>
          <w:sz w:val="20"/>
          <w:szCs w:val="20"/>
          <w:color w:val="auto"/>
        </w:rPr>
      </w:pPr>
    </w:p>
    <w:p>
      <w:pPr>
        <w:ind w:left="3180"/>
        <w:spacing w:after="0"/>
        <w:rPr>
          <w:sz w:val="20"/>
          <w:szCs w:val="20"/>
          <w:color w:val="auto"/>
        </w:rPr>
      </w:pPr>
      <w:r>
        <w:rPr>
          <w:rFonts w:ascii="Arial" w:cs="Arial" w:eastAsia="Arial" w:hAnsi="Arial"/>
          <w:sz w:val="32"/>
          <w:szCs w:val="32"/>
          <w:b w:val="1"/>
          <w:bCs w:val="1"/>
          <w:color w:val="auto"/>
        </w:rPr>
        <w:t>$500,000,000 2.250%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95250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Texas Instruments Incorporated is offering the aggregate principal amount of each series of notes (collectively, the “Notes”), which will bear interest at the rate per year, in each case as set forth above.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Interest on the Notes will be payable semi-annually in arrears on May 1 and November 1 of each year, beginning November 1, 2013.</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2018 Notes will mature on May 1, 2018 and the 2023 Notes will mature on May 1, 2023.</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may redeem some or all of the Notes at any time, each at the redemption price indicated under the caption “Description of the Notes — Optional Redemption.”</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107950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4"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See “</w:t>
      </w:r>
      <w:hyperlink w:anchor="page1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100965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6" w:lineRule="exact"/>
        <w:rPr>
          <w:sz w:val="20"/>
          <w:szCs w:val="20"/>
          <w:color w:val="auto"/>
        </w:rPr>
      </w:pPr>
    </w:p>
    <w:p>
      <w:pPr>
        <w:ind w:firstLine="342"/>
        <w:spacing w:after="0" w:line="239" w:lineRule="auto"/>
        <w:rPr>
          <w:sz w:val="20"/>
          <w:szCs w:val="20"/>
          <w:color w:val="auto"/>
        </w:rPr>
      </w:pPr>
      <w:r>
        <w:rPr>
          <w:rFonts w:ascii="Arial" w:cs="Arial" w:eastAsia="Arial" w:hAnsi="Arial"/>
          <w:sz w:val="14"/>
          <w:szCs w:val="14"/>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86360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Per 2018 Note</w:t>
            </w:r>
          </w:p>
        </w:tc>
        <w:tc>
          <w:tcPr>
            <w:tcW w:w="8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Per 2023 Note</w:t>
            </w:r>
          </w:p>
        </w:tc>
        <w:tc>
          <w:tcPr>
            <w:tcW w:w="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CEEFF"/>
            </w:tcBorders>
          </w:tcPr>
          <w:p>
            <w:pPr>
              <w:spacing w:after="0"/>
              <w:rPr>
                <w:sz w:val="14"/>
                <w:szCs w:val="14"/>
                <w:color w:val="auto"/>
              </w:rPr>
            </w:pPr>
          </w:p>
        </w:tc>
      </w:tr>
      <w:tr>
        <w:trPr>
          <w:trHeight w:val="142"/>
        </w:trPr>
        <w:tc>
          <w:tcPr>
            <w:tcW w:w="7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1660" w:type="dxa"/>
            <w:vAlign w:val="bottom"/>
            <w:gridSpan w:val="2"/>
            <w:shd w:val="clear" w:color="auto" w:fill="CCEEFF"/>
          </w:tcPr>
          <w:p>
            <w:pPr>
              <w:jc w:val="right"/>
              <w:ind w:right="720"/>
              <w:spacing w:after="0" w:line="142" w:lineRule="exact"/>
              <w:rPr>
                <w:sz w:val="20"/>
                <w:szCs w:val="20"/>
                <w:color w:val="auto"/>
              </w:rPr>
            </w:pPr>
            <w:r>
              <w:rPr>
                <w:rFonts w:ascii="Arial" w:cs="Arial" w:eastAsia="Arial" w:hAnsi="Arial"/>
                <w:sz w:val="14"/>
                <w:szCs w:val="14"/>
                <w:color w:val="auto"/>
              </w:rPr>
              <w:t>99.070%</w:t>
            </w:r>
          </w:p>
        </w:tc>
        <w:tc>
          <w:tcPr>
            <w:tcW w:w="130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98.073%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985,715,000</w:t>
            </w:r>
          </w:p>
        </w:tc>
        <w:tc>
          <w:tcPr>
            <w:tcW w:w="60" w:type="dxa"/>
            <w:vAlign w:val="bottom"/>
            <w:shd w:val="clear" w:color="auto" w:fill="CCEEFF"/>
          </w:tcPr>
          <w:p>
            <w:pPr>
              <w:spacing w:after="0"/>
              <w:rPr>
                <w:sz w:val="12"/>
                <w:szCs w:val="12"/>
                <w:color w:val="auto"/>
              </w:rPr>
            </w:pPr>
          </w:p>
        </w:tc>
      </w:tr>
      <w:tr>
        <w:trPr>
          <w:trHeight w:val="149"/>
        </w:trPr>
        <w:tc>
          <w:tcPr>
            <w:tcW w:w="7280" w:type="dxa"/>
            <w:vAlign w:val="bottom"/>
          </w:tcPr>
          <w:p>
            <w:pPr>
              <w:spacing w:after="0" w:line="149" w:lineRule="exact"/>
              <w:rPr>
                <w:sz w:val="20"/>
                <w:szCs w:val="20"/>
                <w:color w:val="auto"/>
              </w:rPr>
            </w:pPr>
            <w:r>
              <w:rPr>
                <w:rFonts w:ascii="Arial" w:cs="Arial" w:eastAsia="Arial" w:hAnsi="Arial"/>
                <w:sz w:val="14"/>
                <w:szCs w:val="14"/>
                <w:color w:val="auto"/>
              </w:rPr>
              <w:t>Underwriting Discount</w:t>
            </w:r>
          </w:p>
        </w:tc>
        <w:tc>
          <w:tcPr>
            <w:tcW w:w="16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0.350%</w:t>
            </w: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0.450%</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60" w:type="dxa"/>
            <w:vAlign w:val="bottom"/>
          </w:tcPr>
          <w:p>
            <w:pPr>
              <w:spacing w:after="0"/>
              <w:rPr>
                <w:sz w:val="12"/>
                <w:szCs w:val="12"/>
                <w:color w:val="auto"/>
              </w:rPr>
            </w:pPr>
          </w:p>
        </w:tc>
      </w:tr>
      <w:tr>
        <w:trPr>
          <w:trHeight w:val="149"/>
        </w:trPr>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w:t>
            </w: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98.720%</w:t>
            </w: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97.623%</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981,715,000</w:t>
            </w:r>
          </w:p>
        </w:tc>
        <w:tc>
          <w:tcPr>
            <w:tcW w:w="60" w:type="dxa"/>
            <w:vAlign w:val="bottom"/>
            <w:shd w:val="clear" w:color="auto" w:fill="CCEEFF"/>
          </w:tcPr>
          <w:p>
            <w:pPr>
              <w:spacing w:after="0"/>
              <w:rPr>
                <w:sz w:val="12"/>
                <w:szCs w:val="12"/>
                <w:color w:val="auto"/>
              </w:rPr>
            </w:pPr>
          </w:p>
        </w:tc>
      </w:tr>
    </w:tbl>
    <w:p>
      <w:pPr>
        <w:spacing w:after="0" w:line="13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on the Notes will accrue from May 8, 2013 to the date of delivery.</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underwriters expect to deliver the Notes to purchasers on or about May 8, 2013, only in book-entry form through the facilities of The Depository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93345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15" w:lineRule="exact"/>
        <w:rPr>
          <w:sz w:val="20"/>
          <w:szCs w:val="20"/>
          <w:color w:val="auto"/>
        </w:rPr>
      </w:pPr>
    </w:p>
    <w:p>
      <w:pPr>
        <w:ind w:left="480"/>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106680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Mizuho Securities</w:t>
      </w:r>
    </w:p>
    <w:p>
      <w:pPr>
        <w:spacing w:after="0" w:line="211" w:lineRule="exact"/>
        <w:rPr>
          <w:sz w:val="20"/>
          <w:szCs w:val="20"/>
          <w:color w:val="auto"/>
        </w:rPr>
      </w:pPr>
    </w:p>
    <w:p>
      <w:pPr>
        <w:sectPr>
          <w:pgSz w:w="11900" w:h="16838" w:orient="portrait"/>
          <w:cols w:equalWidth="0" w:num="4">
            <w:col w:w="2600" w:space="720"/>
            <w:col w:w="2500" w:space="720"/>
            <w:col w:w="1400" w:space="720"/>
            <w:col w:w="2760"/>
          </w:cols>
          <w:pgMar w:left="240" w:top="459"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Senior Co-Managers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Mitsubishi UFJ Securities</w:t>
      </w:r>
    </w:p>
    <w:p>
      <w:pPr>
        <w:ind w:left="1820"/>
        <w:spacing w:after="0" w:line="230" w:lineRule="auto"/>
        <w:rPr>
          <w:sz w:val="20"/>
          <w:szCs w:val="20"/>
          <w:color w:val="auto"/>
        </w:rPr>
      </w:pPr>
      <w:r>
        <w:rPr>
          <w:rFonts w:ascii="Arial" w:cs="Arial" w:eastAsia="Arial" w:hAnsi="Arial"/>
          <w:sz w:val="22"/>
          <w:szCs w:val="22"/>
          <w:b w:val="1"/>
          <w:bCs w:val="1"/>
          <w:color w:val="auto"/>
        </w:rPr>
        <w:t>BofA Merrill Lynch</w:t>
      </w:r>
    </w:p>
    <w:p>
      <w:pPr>
        <w:ind w:left="3820"/>
        <w:spacing w:after="0" w:line="231" w:lineRule="auto"/>
        <w:rPr>
          <w:sz w:val="20"/>
          <w:szCs w:val="20"/>
          <w:color w:val="auto"/>
        </w:rPr>
      </w:pPr>
      <w:r>
        <w:rPr>
          <w:rFonts w:ascii="Arial" w:cs="Arial" w:eastAsia="Arial" w:hAnsi="Arial"/>
          <w:sz w:val="22"/>
          <w:szCs w:val="22"/>
          <w:b w:val="1"/>
          <w:bCs w:val="1"/>
          <w:color w:val="auto"/>
        </w:rPr>
        <w:t>BNP PARIBAS</w:t>
      </w:r>
    </w:p>
    <w:p>
      <w:pPr>
        <w:jc w:val="center"/>
        <w:ind w:left="460"/>
        <w:spacing w:after="0" w:line="230" w:lineRule="auto"/>
        <w:rPr>
          <w:sz w:val="20"/>
          <w:szCs w:val="20"/>
          <w:color w:val="auto"/>
        </w:rPr>
      </w:pPr>
      <w:r>
        <w:rPr>
          <w:rFonts w:ascii="Arial" w:cs="Arial" w:eastAsia="Arial" w:hAnsi="Arial"/>
          <w:sz w:val="22"/>
          <w:szCs w:val="22"/>
          <w:b w:val="1"/>
          <w:bCs w:val="1"/>
          <w:color w:val="auto"/>
        </w:rPr>
        <w:t>SMBC Nikko</w:t>
      </w:r>
    </w:p>
    <w:p>
      <w:pPr>
        <w:ind w:left="6740"/>
        <w:spacing w:after="0" w:line="231" w:lineRule="auto"/>
        <w:rPr>
          <w:sz w:val="20"/>
          <w:szCs w:val="20"/>
          <w:color w:val="auto"/>
        </w:rPr>
      </w:pPr>
      <w:r>
        <w:rPr>
          <w:rFonts w:ascii="Arial" w:cs="Arial" w:eastAsia="Arial" w:hAnsi="Arial"/>
          <w:sz w:val="22"/>
          <w:szCs w:val="22"/>
          <w:b w:val="1"/>
          <w:bCs w:val="1"/>
          <w:color w:val="auto"/>
        </w:rPr>
        <w:t>The Williams Capital Group, L.P.</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90170</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Barclays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Goldman, Sachs &amp; Co.</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HSBC</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PNC Capital Markets LLC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May 1, 2013</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320" w:lineRule="auto"/>
        <w:rPr>
          <w:sz w:val="20"/>
          <w:szCs w:val="20"/>
          <w:color w:val="auto"/>
        </w:rPr>
      </w:pPr>
      <w:r>
        <w:rPr>
          <w:rFonts w:ascii="Arial" w:cs="Arial" w:eastAsia="Arial" w:hAnsi="Arial"/>
          <w:sz w:val="15"/>
          <w:szCs w:val="15"/>
          <w:b w:val="1"/>
          <w:bCs w:val="1"/>
          <w:color w:val="auto"/>
        </w:rPr>
        <w:t>We are responsible for the information contained in or incorporated by reference in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153670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0" w:type="dxa"/>
            <w:vAlign w:val="bottom"/>
            <w:gridSpan w:val="3"/>
          </w:tcPr>
          <w:p>
            <w:pPr>
              <w:jc w:val="right"/>
              <w:ind w:right="457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4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00" w:type="dxa"/>
            <w:vAlign w:val="bottom"/>
            <w:gridSpan w:val="19"/>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Cautionary Note on Forward-Looking Statements</w:t>
              </w:r>
            </w:hyperlink>
          </w:p>
        </w:tc>
        <w:tc>
          <w:tcPr>
            <w:tcW w:w="500" w:type="dxa"/>
            <w:vAlign w:val="bottom"/>
            <w:gridSpan w:val="2"/>
            <w:vMerge w:val="restart"/>
          </w:tcPr>
          <w:p>
            <w:pPr>
              <w:spacing w:after="0"/>
              <w:rPr>
                <w:sz w:val="16"/>
                <w:szCs w:val="16"/>
                <w:color w:val="auto"/>
              </w:rPr>
            </w:pPr>
          </w:p>
        </w:tc>
        <w:tc>
          <w:tcPr>
            <w:tcW w:w="6940" w:type="dxa"/>
            <w:vAlign w:val="bottom"/>
            <w:gridSpan w:val="3"/>
            <w:vMerge w:val="continue"/>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83"/>
        </w:trPr>
        <w:tc>
          <w:tcPr>
            <w:tcW w:w="3500" w:type="dxa"/>
            <w:vAlign w:val="bottom"/>
            <w:tcBorders>
              <w:bottom w:val="single" w:sz="8" w:color="0000EE"/>
            </w:tcBorders>
            <w:gridSpan w:val="19"/>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About This Prospectus Supplement</w:t>
              </w:r>
            </w:hyperlink>
          </w:p>
        </w:tc>
        <w:tc>
          <w:tcPr>
            <w:tcW w:w="150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Summary</w:t>
              </w:r>
            </w:hyperlink>
          </w:p>
        </w:tc>
        <w:tc>
          <w:tcPr>
            <w:tcW w:w="330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310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286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Ratios of Earnings to Fixed Charges</w:t>
              </w:r>
            </w:hyperlink>
          </w:p>
        </w:tc>
        <w:tc>
          <w:tcPr>
            <w:tcW w:w="14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the Notes</w:t>
              </w:r>
            </w:hyperlink>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Material U.S. Federal Income Tax Consequences</w:t>
              </w:r>
            </w:hyperlink>
          </w:p>
        </w:tc>
        <w:tc>
          <w:tcPr>
            <w:tcW w:w="5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Underwriting</w:t>
              </w:r>
            </w:hyperlink>
          </w:p>
        </w:tc>
        <w:tc>
          <w:tcPr>
            <w:tcW w:w="304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Validity of Securities</w:t>
              </w:r>
            </w:hyperlink>
          </w:p>
        </w:tc>
        <w:tc>
          <w:tcPr>
            <w:tcW w:w="250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S-28</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Where You Can Find More Information</w:t>
              </w:r>
            </w:hyperlink>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S-28</w:t>
            </w:r>
          </w:p>
        </w:tc>
        <w:tc>
          <w:tcPr>
            <w:tcW w:w="0" w:type="dxa"/>
            <w:vAlign w:val="bottom"/>
          </w:tcPr>
          <w:p>
            <w:pPr>
              <w:spacing w:after="0"/>
              <w:rPr>
                <w:sz w:val="1"/>
                <w:szCs w:val="1"/>
                <w:color w:val="auto"/>
              </w:rPr>
            </w:pPr>
          </w:p>
        </w:tc>
      </w:tr>
      <w:tr>
        <w:trPr>
          <w:trHeight w:val="336"/>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0" w:type="dxa"/>
            <w:vAlign w:val="bottom"/>
            <w:gridSpan w:val="3"/>
          </w:tcPr>
          <w:p>
            <w:pPr>
              <w:jc w:val="right"/>
              <w:ind w:right="5454"/>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84"/>
        </w:trPr>
        <w:tc>
          <w:tcPr>
            <w:tcW w:w="4000" w:type="dxa"/>
            <w:vAlign w:val="bottom"/>
            <w:gridSpan w:val="21"/>
          </w:tcPr>
          <w:p>
            <w:pPr>
              <w:spacing w:after="0" w:line="184" w:lineRule="exact"/>
              <w:rPr>
                <w:rFonts w:ascii="Arial" w:cs="Arial" w:eastAsia="Arial" w:hAnsi="Arial"/>
                <w:sz w:val="18"/>
                <w:szCs w:val="18"/>
                <w:color w:val="0000EE"/>
              </w:rPr>
            </w:pPr>
            <w:hyperlink w:anchor="page38">
              <w:r>
                <w:rPr>
                  <w:rFonts w:ascii="Arial" w:cs="Arial" w:eastAsia="Arial" w:hAnsi="Arial"/>
                  <w:sz w:val="18"/>
                  <w:szCs w:val="18"/>
                  <w:color w:val="0000EE"/>
                </w:rPr>
                <w:t>The Company</w:t>
              </w:r>
            </w:hyperlink>
          </w:p>
        </w:tc>
        <w:tc>
          <w:tcPr>
            <w:tcW w:w="73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About this Prospectus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Caution Concerning Forward-Looking Statements</w:t>
              </w:r>
            </w:hyperlink>
          </w:p>
        </w:tc>
        <w:tc>
          <w:tcPr>
            <w:tcW w:w="460" w:type="dxa"/>
            <w:vAlign w:val="bottom"/>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Ratios of Earnings to Fixed Charges</w:t>
              </w:r>
            </w:hyperlink>
          </w:p>
        </w:tc>
        <w:tc>
          <w:tcPr>
            <w:tcW w:w="1440" w:type="dxa"/>
            <w:vAlign w:val="bottom"/>
            <w:gridSpan w:val="5"/>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Description of Capital Stock</w:t>
              </w:r>
            </w:hyperlink>
          </w:p>
        </w:tc>
        <w:tc>
          <w:tcPr>
            <w:tcW w:w="1980" w:type="dxa"/>
            <w:vAlign w:val="bottom"/>
            <w:gridSpan w:val="8"/>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Description of Debt Securities</w:t>
              </w:r>
            </w:hyperlink>
          </w:p>
        </w:tc>
        <w:tc>
          <w:tcPr>
            <w:tcW w:w="1860" w:type="dxa"/>
            <w:vAlign w:val="bottom"/>
            <w:gridSpan w:val="7"/>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Description of Warrants</w:t>
              </w:r>
            </w:hyperlink>
          </w:p>
        </w:tc>
        <w:tc>
          <w:tcPr>
            <w:tcW w:w="2280" w:type="dxa"/>
            <w:vAlign w:val="bottom"/>
            <w:gridSpan w:val="9"/>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Units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Forms of Securities</w:t>
              </w:r>
            </w:hyperlink>
          </w:p>
        </w:tc>
        <w:tc>
          <w:tcPr>
            <w:tcW w:w="2560" w:type="dxa"/>
            <w:vAlign w:val="bottom"/>
            <w:gridSpan w:val="12"/>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Validity of Securities</w:t>
              </w:r>
            </w:hyperlink>
          </w:p>
        </w:tc>
        <w:tc>
          <w:tcPr>
            <w:tcW w:w="2500" w:type="dxa"/>
            <w:vAlign w:val="bottom"/>
            <w:gridSpan w:val="11"/>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documents that are incorporated by reference in this prospectus supplement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51" w:lineRule="exact"/>
        <w:rPr>
          <w:sz w:val="20"/>
          <w:szCs w:val="20"/>
          <w:color w:val="auto"/>
        </w:rPr>
      </w:pPr>
    </w:p>
    <w:p>
      <w:pPr>
        <w:ind w:left="900" w:right="8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6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171"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We undertake no obligation to publicly update or revise any forward-looking statements, whether as a result of new information, future events or risks, except to the extent required by applicable securities laws. If we do update one or more forward-looking statements, no inference should be drawn that we will make additional updates with respect to those or other forward-looking statements. New information, future events or risks could cause the forward-looking events we discuss in this prospectus supplement, the accompanying prospectus or the documents incorporated herein by reference not to occur. Additional information concerning these and other risks and uncertainties is contained in our other periodic filings with the Securities and Exchange Commission.</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2013. The accompanying prospectus contains a description of our debt securities and gives more general information, some of which may not apply to this offering.</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26"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5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64528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Texas Instruments Incorporated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At TI, we design and make semiconductors that we sell to electronics designers and manufacturers all over the world. We began operations in 1930.</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are incorporated in Delaware, headquartered in Dallas, Texas, and have design, manufacturing or sales operations in more than 35 countries.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were the world’s fourth largest semiconductor company in 2012 as measured by revenue.</w:t>
      </w:r>
    </w:p>
    <w:p>
      <w:pPr>
        <w:spacing w:after="0" w:line="3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left="200" w:right="340" w:firstLine="443"/>
        <w:spacing w:after="0" w:line="268" w:lineRule="auto"/>
        <w:rPr>
          <w:sz w:val="20"/>
          <w:szCs w:val="20"/>
          <w:color w:val="auto"/>
        </w:rPr>
      </w:pPr>
      <w:r>
        <w:rPr>
          <w:rFonts w:ascii="Arial" w:cs="Arial" w:eastAsia="Arial" w:hAnsi="Arial"/>
          <w:sz w:val="18"/>
          <w:szCs w:val="18"/>
          <w:color w:val="auto"/>
        </w:rPr>
        <w:t>On April 22, 2013, we announced our results of operations as of and for the three months ended March 31, 2013. A summary of our results is as follows: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1Q13 financial summary</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1"/>
              </w:rPr>
              <w:t>1Q13</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1Q12</w:t>
            </w:r>
          </w:p>
        </w:tc>
        <w:tc>
          <w:tcPr>
            <w:tcW w:w="12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7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CEEFF"/>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2,885</w:t>
            </w: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3,121</w:t>
            </w:r>
          </w:p>
        </w:tc>
        <w:tc>
          <w:tcPr>
            <w:tcW w:w="56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Operating profit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397</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Earnings per share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1Q13 additional financial information</w:t>
      </w:r>
    </w:p>
    <w:p>
      <w:pPr>
        <w:spacing w:after="0" w:line="90"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Analog and Embedded Processing segments contributed 77 percent of revenue in the first quarter.</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and short-term investments were $3.9 billion at the end of the quarter, 84 percent of which is owned by the company’s U.S. entities.</w:t>
      </w:r>
    </w:p>
    <w:p>
      <w:pPr>
        <w:spacing w:after="0" w:line="113" w:lineRule="exact"/>
        <w:rPr>
          <w:rFonts w:ascii="Arial" w:cs="Arial" w:eastAsia="Arial" w:hAnsi="Arial"/>
          <w:sz w:val="16"/>
          <w:szCs w:val="16"/>
          <w:color w:val="auto"/>
        </w:rPr>
      </w:pPr>
    </w:p>
    <w:p>
      <w:pPr>
        <w:ind w:left="1060" w:right="4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quarter, we announced a 33 percent increase in our dividend to $1.12 per share annualized, and we added another $5 billion to our stock repurchase authorization.</w:t>
      </w:r>
    </w:p>
    <w:p>
      <w:pPr>
        <w:spacing w:after="0" w:line="50" w:lineRule="exact"/>
        <w:rPr>
          <w:rFonts w:ascii="Arial" w:cs="Arial" w:eastAsia="Arial" w:hAnsi="Arial"/>
          <w:sz w:val="18"/>
          <w:szCs w:val="18"/>
          <w:color w:val="auto"/>
        </w:rPr>
      </w:pPr>
    </w:p>
    <w:p>
      <w:pPr>
        <w:ind w:left="1060" w:right="42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returned $911 million in the quarter to shareholders through dividends and stock repurchases. For the trailing 12 months the return to shareholders totaled $3 billion.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1Q13 segment results</w:t>
      </w:r>
    </w:p>
    <w:p>
      <w:pPr>
        <w:spacing w:after="0" w:line="90" w:lineRule="exact"/>
        <w:rPr>
          <w:sz w:val="20"/>
          <w:szCs w:val="20"/>
          <w:color w:val="auto"/>
        </w:rPr>
      </w:pPr>
    </w:p>
    <w:p>
      <w:pPr>
        <w:ind w:left="200" w:right="200" w:firstLine="443"/>
        <w:spacing w:after="0" w:line="294" w:lineRule="auto"/>
        <w:rPr>
          <w:sz w:val="20"/>
          <w:szCs w:val="20"/>
          <w:color w:val="auto"/>
        </w:rPr>
      </w:pPr>
      <w:r>
        <w:rPr>
          <w:rFonts w:ascii="Arial" w:cs="Arial" w:eastAsia="Arial" w:hAnsi="Arial"/>
          <w:sz w:val="16"/>
          <w:szCs w:val="16"/>
          <w:color w:val="auto"/>
        </w:rPr>
        <w:t>Effective January 1, 2013, we transitioned our segment reporting to align with our strategic focus and new organizational structure. The Wireless segment has been eliminated, as the company has announced that it is winding down investment in Wireless products for the smartphone and consumer tablet markets. Financial results for these legacy wireless products are included in Other. Financial results for Wireless products that address embedded applications, a strategic focus for the company, are reported in the Embedded Processing segment. In addition, some products, primarily radio frequency identification (RFID) products used in automotive</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00"/>
          </w:cols>
          <w:pgMar w:left="240" w:top="45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85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31857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268" w:lineRule="auto"/>
        <w:rPr>
          <w:sz w:val="20"/>
          <w:szCs w:val="20"/>
          <w:color w:val="auto"/>
        </w:rPr>
      </w:pPr>
      <w:r>
        <w:rPr>
          <w:rFonts w:ascii="Arial" w:cs="Arial" w:eastAsia="Arial" w:hAnsi="Arial"/>
          <w:sz w:val="18"/>
          <w:szCs w:val="18"/>
          <w:color w:val="auto"/>
        </w:rPr>
        <w:t>applications, were reclassified from Other to Embedded Processing. Historical information for the new segment structure is available at ti.com/ir. We are not incorporating the contents of the website into this prospectus supplement or the accompanying prospectus.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1Q13</w:t>
            </w:r>
          </w:p>
        </w:tc>
        <w:tc>
          <w:tcPr>
            <w:tcW w:w="10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1Q12</w:t>
            </w: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Change</w:t>
            </w:r>
          </w:p>
        </w:tc>
        <w:tc>
          <w:tcPr>
            <w:tcW w:w="9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4Q12</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1,648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1,686</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1,669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335</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Embedded Processing: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676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895</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764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64" w:lineRule="exact"/>
        <w:rPr>
          <w:sz w:val="20"/>
          <w:szCs w:val="20"/>
          <w:color w:val="auto"/>
        </w:rPr>
      </w:pPr>
    </w:p>
    <w:p>
      <w:pPr>
        <w:jc w:val="both"/>
        <w:ind w:left="200" w:right="440" w:firstLine="443"/>
        <w:spacing w:after="0" w:line="259" w:lineRule="auto"/>
        <w:rPr>
          <w:sz w:val="20"/>
          <w:szCs w:val="20"/>
          <w:color w:val="auto"/>
        </w:rPr>
      </w:pPr>
      <w:r>
        <w:rPr>
          <w:rFonts w:ascii="Arial" w:cs="Arial" w:eastAsia="Arial" w:hAnsi="Arial"/>
          <w:sz w:val="18"/>
          <w:szCs w:val="18"/>
          <w:color w:val="auto"/>
        </w:rPr>
        <w:t>Our principal executive offices are located at 12500 TI Boulevard, Dallas, Texas 75266-0199, and our telephone number is (214) 479-3773. We maintain a website at www.ti.com where general information about us is available. Again, we are not incorporating the contents of the website into this prospectus supplement or the accompanying prospectus.</w:t>
      </w:r>
    </w:p>
    <w:p>
      <w:pPr>
        <w:spacing w:after="0" w:line="140" w:lineRule="exact"/>
        <w:rPr>
          <w:sz w:val="20"/>
          <w:szCs w:val="20"/>
          <w:color w:val="auto"/>
        </w:rPr>
      </w:pPr>
    </w:p>
    <w:p>
      <w:pPr>
        <w:ind w:left="200" w:right="10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incorporated by reference in this prospectus supplement. For instructions on how to find copies of these and our other filings incorporated by reference in this prospectus supplement, see “Where You Can Find More Information.”</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right="580" w:firstLine="443"/>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w:t>
            </w:r>
          </w:p>
        </w:tc>
        <w:tc>
          <w:tcPr>
            <w:tcW w:w="8340" w:type="dxa"/>
            <w:vAlign w:val="bottom"/>
          </w:tcPr>
          <w:p>
            <w:pPr>
              <w:ind w:left="1180"/>
              <w:spacing w:after="0"/>
              <w:rPr>
                <w:sz w:val="20"/>
                <w:szCs w:val="20"/>
                <w:color w:val="auto"/>
              </w:rPr>
            </w:pPr>
            <w:r>
              <w:rPr>
                <w:rFonts w:ascii="Arial" w:cs="Arial" w:eastAsia="Arial" w:hAnsi="Arial"/>
                <w:sz w:val="18"/>
                <w:szCs w:val="18"/>
                <w:color w:val="auto"/>
              </w:rPr>
              <w:t>Texas Instruments Incorporated</w:t>
            </w:r>
          </w:p>
        </w:tc>
      </w:tr>
      <w:tr>
        <w:trPr>
          <w:trHeight w:val="291"/>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tcPr>
          <w:p>
            <w:pPr>
              <w:ind w:left="1180"/>
              <w:spacing w:after="0"/>
              <w:rPr>
                <w:sz w:val="20"/>
                <w:szCs w:val="20"/>
                <w:color w:val="auto"/>
              </w:rPr>
            </w:pPr>
            <w:r>
              <w:rPr>
                <w:rFonts w:ascii="Arial" w:cs="Arial" w:eastAsia="Arial" w:hAnsi="Arial"/>
                <w:sz w:val="18"/>
                <w:szCs w:val="18"/>
                <w:color w:val="auto"/>
              </w:rPr>
              <w:t>$500,000,000 aggregate principal amount of 1.000% Notes due 2018</w:t>
            </w:r>
          </w:p>
        </w:tc>
      </w:tr>
      <w:tr>
        <w:trPr>
          <w:trHeight w:val="222"/>
        </w:trPr>
        <w:tc>
          <w:tcPr>
            <w:tcW w:w="3120" w:type="dxa"/>
            <w:vAlign w:val="bottom"/>
          </w:tcPr>
          <w:p>
            <w:pPr>
              <w:spacing w:after="0"/>
              <w:rPr>
                <w:sz w:val="19"/>
                <w:szCs w:val="19"/>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rPr>
              <w:t>$500,000,000 aggregate principal amount of 2.250% Notes due 2023</w:t>
            </w:r>
          </w:p>
        </w:tc>
      </w:tr>
      <w:tr>
        <w:trPr>
          <w:trHeight w:val="304"/>
        </w:trPr>
        <w:tc>
          <w:tcPr>
            <w:tcW w:w="3120" w:type="dxa"/>
            <w:vAlign w:val="bottom"/>
          </w:tcPr>
          <w:p>
            <w:pPr>
              <w:ind w:left="200"/>
              <w:spacing w:after="0"/>
              <w:rPr>
                <w:sz w:val="20"/>
                <w:szCs w:val="20"/>
                <w:color w:val="auto"/>
              </w:rPr>
            </w:pPr>
            <w:r>
              <w:rPr>
                <w:rFonts w:ascii="Arial" w:cs="Arial" w:eastAsia="Arial" w:hAnsi="Arial"/>
                <w:sz w:val="18"/>
                <w:szCs w:val="18"/>
                <w:color w:val="auto"/>
              </w:rPr>
              <w:t>Maturity Dates</w:t>
            </w:r>
          </w:p>
        </w:tc>
        <w:tc>
          <w:tcPr>
            <w:tcW w:w="8340" w:type="dxa"/>
            <w:vAlign w:val="bottom"/>
          </w:tcPr>
          <w:p>
            <w:pPr>
              <w:ind w:left="1180"/>
              <w:spacing w:after="0"/>
              <w:rPr>
                <w:sz w:val="20"/>
                <w:szCs w:val="20"/>
                <w:color w:val="auto"/>
              </w:rPr>
            </w:pPr>
            <w:r>
              <w:rPr>
                <w:rFonts w:ascii="Arial" w:cs="Arial" w:eastAsia="Arial" w:hAnsi="Arial"/>
                <w:sz w:val="18"/>
                <w:szCs w:val="18"/>
                <w:color w:val="auto"/>
              </w:rPr>
              <w:t>May 1, 2018 for the 2018 Notes</w:t>
            </w:r>
          </w:p>
        </w:tc>
      </w:tr>
      <w:tr>
        <w:trPr>
          <w:trHeight w:val="222"/>
        </w:trPr>
        <w:tc>
          <w:tcPr>
            <w:tcW w:w="3120" w:type="dxa"/>
            <w:vAlign w:val="bottom"/>
          </w:tcPr>
          <w:p>
            <w:pPr>
              <w:spacing w:after="0"/>
              <w:rPr>
                <w:sz w:val="19"/>
                <w:szCs w:val="19"/>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rPr>
              <w:t>May 1, 2023 for the 2023 Notes</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Original Issue Date</w:t>
            </w:r>
          </w:p>
        </w:tc>
        <w:tc>
          <w:tcPr>
            <w:tcW w:w="8340" w:type="dxa"/>
            <w:vAlign w:val="bottom"/>
          </w:tcPr>
          <w:p>
            <w:pPr>
              <w:ind w:left="1180"/>
              <w:spacing w:after="0"/>
              <w:rPr>
                <w:sz w:val="20"/>
                <w:szCs w:val="20"/>
                <w:color w:val="auto"/>
              </w:rPr>
            </w:pPr>
            <w:r>
              <w:rPr>
                <w:rFonts w:ascii="Arial" w:cs="Arial" w:eastAsia="Arial" w:hAnsi="Arial"/>
                <w:sz w:val="18"/>
                <w:szCs w:val="18"/>
                <w:color w:val="auto"/>
              </w:rPr>
              <w:t>May 8, 2013</w:t>
            </w:r>
          </w:p>
        </w:tc>
      </w:tr>
      <w:tr>
        <w:trPr>
          <w:trHeight w:val="291"/>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Rates</w:t>
            </w:r>
          </w:p>
        </w:tc>
        <w:tc>
          <w:tcPr>
            <w:tcW w:w="8340" w:type="dxa"/>
            <w:vAlign w:val="bottom"/>
          </w:tcPr>
          <w:p>
            <w:pPr>
              <w:ind w:left="1180"/>
              <w:spacing w:after="0"/>
              <w:rPr>
                <w:sz w:val="20"/>
                <w:szCs w:val="20"/>
                <w:color w:val="auto"/>
              </w:rPr>
            </w:pPr>
            <w:r>
              <w:rPr>
                <w:rFonts w:ascii="Arial" w:cs="Arial" w:eastAsia="Arial" w:hAnsi="Arial"/>
                <w:sz w:val="18"/>
                <w:szCs w:val="18"/>
                <w:color w:val="auto"/>
              </w:rPr>
              <w:t>Fixed rate of 1.000% for the 2018 Notes</w:t>
            </w:r>
          </w:p>
        </w:tc>
      </w:tr>
      <w:tr>
        <w:trPr>
          <w:trHeight w:val="222"/>
        </w:trPr>
        <w:tc>
          <w:tcPr>
            <w:tcW w:w="3120" w:type="dxa"/>
            <w:vAlign w:val="bottom"/>
          </w:tcPr>
          <w:p>
            <w:pPr>
              <w:spacing w:after="0"/>
              <w:rPr>
                <w:sz w:val="19"/>
                <w:szCs w:val="19"/>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rPr>
              <w:t>Fixed rate of 2.250% for the 2023 Notes</w:t>
            </w:r>
          </w:p>
        </w:tc>
      </w:tr>
      <w:tr>
        <w:trPr>
          <w:trHeight w:val="304"/>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tcPr>
          <w:p>
            <w:pPr>
              <w:ind w:left="1180"/>
              <w:spacing w:after="0"/>
              <w:rPr>
                <w:sz w:val="20"/>
                <w:szCs w:val="20"/>
                <w:color w:val="auto"/>
              </w:rPr>
            </w:pPr>
            <w:r>
              <w:rPr>
                <w:rFonts w:ascii="Arial" w:cs="Arial" w:eastAsia="Arial" w:hAnsi="Arial"/>
                <w:sz w:val="18"/>
                <w:szCs w:val="18"/>
                <w:color w:val="auto"/>
                <w:w w:val="92"/>
              </w:rPr>
              <w:t>Each May 1 and November 1 beginning on November 1, 2013, and on the maturity date for each</w:t>
            </w:r>
          </w:p>
        </w:tc>
      </w:tr>
      <w:tr>
        <w:trPr>
          <w:trHeight w:val="222"/>
        </w:trPr>
        <w:tc>
          <w:tcPr>
            <w:tcW w:w="3120" w:type="dxa"/>
            <w:vAlign w:val="bottom"/>
          </w:tcPr>
          <w:p>
            <w:pPr>
              <w:spacing w:after="0"/>
              <w:rPr>
                <w:sz w:val="19"/>
                <w:szCs w:val="19"/>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rPr>
              <w:t>series of Notes.</w:t>
            </w:r>
          </w:p>
        </w:tc>
      </w:tr>
      <w:tr>
        <w:trPr>
          <w:trHeight w:val="291"/>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tcPr>
          <w:p>
            <w:pPr>
              <w:ind w:left="1180"/>
              <w:spacing w:after="0"/>
              <w:rPr>
                <w:sz w:val="20"/>
                <w:szCs w:val="20"/>
                <w:color w:val="auto"/>
              </w:rPr>
            </w:pPr>
            <w:r>
              <w:rPr>
                <w:rFonts w:ascii="Arial" w:cs="Arial" w:eastAsia="Arial" w:hAnsi="Arial"/>
                <w:sz w:val="18"/>
                <w:szCs w:val="18"/>
                <w:color w:val="auto"/>
                <w:w w:val="95"/>
              </w:rPr>
              <w:t>The Notes will be the senior unsecured obligations of Texas Instruments Incorporated and will</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3"/>
              </w:rPr>
              <w:t>rank equally with all of its existing and future senior indebtedness from time to time outstanding.</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rPr>
              <w:t>All existing and future liabilities of subsidiaries of Texas Instruments Incorporated will be</w:t>
            </w:r>
          </w:p>
        </w:tc>
      </w:tr>
      <w:tr>
        <w:trPr>
          <w:trHeight w:val="222"/>
        </w:trPr>
        <w:tc>
          <w:tcPr>
            <w:tcW w:w="3120" w:type="dxa"/>
            <w:vAlign w:val="bottom"/>
          </w:tcPr>
          <w:p>
            <w:pPr>
              <w:spacing w:after="0"/>
              <w:rPr>
                <w:sz w:val="19"/>
                <w:szCs w:val="19"/>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rPr>
              <w:t>effectively senior to the Notes.</w:t>
            </w:r>
          </w:p>
        </w:tc>
      </w:tr>
      <w:tr>
        <w:trPr>
          <w:trHeight w:val="291"/>
        </w:trPr>
        <w:tc>
          <w:tcPr>
            <w:tcW w:w="3120" w:type="dxa"/>
            <w:vAlign w:val="bottom"/>
          </w:tcPr>
          <w:p>
            <w:pPr>
              <w:spacing w:after="0"/>
              <w:rPr>
                <w:sz w:val="24"/>
                <w:szCs w:val="24"/>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7"/>
              </w:rPr>
              <w:t>As of December 31, 2012, Texas Instruments Incorporated had approximately $5.7 billion of</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4"/>
              </w:rPr>
              <w:t>outstanding indebtedness. As of December 31, 2012, we had approximately $9.1 billion of total</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2"/>
              </w:rPr>
              <w:t>liabilities on a consolidated basis. Of this amount, subsidiaries of Texas Instruments Incorporated</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3"/>
              </w:rPr>
              <w:t>had approximately $2.1 billion of liabilities (including trade payables and excluding intercompany</w:t>
            </w:r>
          </w:p>
        </w:tc>
      </w:tr>
      <w:tr>
        <w:trPr>
          <w:trHeight w:val="222"/>
        </w:trPr>
        <w:tc>
          <w:tcPr>
            <w:tcW w:w="3120" w:type="dxa"/>
            <w:vAlign w:val="bottom"/>
          </w:tcPr>
          <w:p>
            <w:pPr>
              <w:spacing w:after="0"/>
              <w:rPr>
                <w:sz w:val="19"/>
                <w:szCs w:val="19"/>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rPr>
              <w:t>debt) to which the Notes will be effectively subordinated.</w:t>
            </w:r>
          </w:p>
        </w:tc>
      </w:tr>
      <w:tr>
        <w:trPr>
          <w:trHeight w:val="304"/>
        </w:trPr>
        <w:tc>
          <w:tcPr>
            <w:tcW w:w="3120" w:type="dxa"/>
            <w:vAlign w:val="bottom"/>
          </w:tcPr>
          <w:p>
            <w:pPr>
              <w:ind w:left="200"/>
              <w:spacing w:after="0"/>
              <w:rPr>
                <w:sz w:val="20"/>
                <w:szCs w:val="20"/>
                <w:color w:val="auto"/>
              </w:rPr>
            </w:pPr>
            <w:r>
              <w:rPr>
                <w:rFonts w:ascii="Arial" w:cs="Arial" w:eastAsia="Arial" w:hAnsi="Arial"/>
                <w:sz w:val="18"/>
                <w:szCs w:val="18"/>
                <w:color w:val="auto"/>
              </w:rPr>
              <w:t>Form and Denomination</w:t>
            </w:r>
          </w:p>
        </w:tc>
        <w:tc>
          <w:tcPr>
            <w:tcW w:w="8340" w:type="dxa"/>
            <w:vAlign w:val="bottom"/>
          </w:tcPr>
          <w:p>
            <w:pPr>
              <w:ind w:left="1180"/>
              <w:spacing w:after="0"/>
              <w:rPr>
                <w:sz w:val="20"/>
                <w:szCs w:val="20"/>
                <w:color w:val="auto"/>
              </w:rPr>
            </w:pPr>
            <w:r>
              <w:rPr>
                <w:rFonts w:ascii="Arial" w:cs="Arial" w:eastAsia="Arial" w:hAnsi="Arial"/>
                <w:sz w:val="18"/>
                <w:szCs w:val="18"/>
                <w:color w:val="auto"/>
                <w:w w:val="97"/>
              </w:rPr>
              <w:t>The Notes will be issued in the form of one or more fully registered global securities, without</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8"/>
              </w:rPr>
              <w:t>coupons, in denominations of $2,000 in principal amount and integral multiples of $1,000 in</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9"/>
              </w:rPr>
              <w:t>excess thereof. These global notes will be deposited with the trustee as custodian for, and</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5"/>
              </w:rPr>
              <w:t>registered in the name of, a nominee of The Depository Trust Company, or DTC. Except in the</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8"/>
              </w:rPr>
              <w:t>limited circumstances described under “Description of the Notes—Book-Entry; Delivery and</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6"/>
              </w:rPr>
              <w:t>Form; Global Note,” Notes in certificated form will not be issued or exchanged for interests in</w:t>
            </w:r>
          </w:p>
        </w:tc>
      </w:tr>
      <w:tr>
        <w:trPr>
          <w:trHeight w:val="222"/>
        </w:trPr>
        <w:tc>
          <w:tcPr>
            <w:tcW w:w="3120" w:type="dxa"/>
            <w:vAlign w:val="bottom"/>
          </w:tcPr>
          <w:p>
            <w:pPr>
              <w:spacing w:after="0"/>
              <w:rPr>
                <w:sz w:val="19"/>
                <w:szCs w:val="19"/>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rPr>
              <w:t>global securities.</w:t>
            </w:r>
          </w:p>
        </w:tc>
      </w:tr>
      <w:tr>
        <w:trPr>
          <w:trHeight w:val="297"/>
        </w:trPr>
        <w:tc>
          <w:tcPr>
            <w:tcW w:w="312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8340" w:type="dxa"/>
            <w:vAlign w:val="bottom"/>
          </w:tcPr>
          <w:p>
            <w:pPr>
              <w:ind w:left="1180"/>
              <w:spacing w:after="0"/>
              <w:rPr>
                <w:sz w:val="20"/>
                <w:szCs w:val="20"/>
                <w:color w:val="auto"/>
              </w:rPr>
            </w:pPr>
            <w:r>
              <w:rPr>
                <w:rFonts w:ascii="Arial" w:cs="Arial" w:eastAsia="Arial" w:hAnsi="Arial"/>
                <w:sz w:val="18"/>
                <w:szCs w:val="18"/>
                <w:color w:val="auto"/>
              </w:rPr>
              <w:t>The internal laws of the State of New York</w:t>
            </w:r>
          </w:p>
        </w:tc>
      </w:tr>
      <w:tr>
        <w:trPr>
          <w:trHeight w:val="291"/>
        </w:trPr>
        <w:tc>
          <w:tcPr>
            <w:tcW w:w="312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8340" w:type="dxa"/>
            <w:vAlign w:val="bottom"/>
          </w:tcPr>
          <w:p>
            <w:pPr>
              <w:ind w:left="1180"/>
              <w:spacing w:after="0"/>
              <w:rPr>
                <w:sz w:val="20"/>
                <w:szCs w:val="20"/>
                <w:color w:val="auto"/>
              </w:rPr>
            </w:pPr>
            <w:r>
              <w:rPr>
                <w:rFonts w:ascii="Arial" w:cs="Arial" w:eastAsia="Arial" w:hAnsi="Arial"/>
                <w:sz w:val="18"/>
                <w:szCs w:val="18"/>
                <w:color w:val="auto"/>
                <w:w w:val="92"/>
              </w:rPr>
              <w:t>We expect to use the net proceeds of this offering for repayment of outstanding debt, such as the</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4"/>
              </w:rPr>
              <w:t>notes due May 15, 2013 bearing interest at a fixed rate of 0.875% and those due May 15, 2013</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2"/>
              </w:rPr>
              <w:t>bearing interest at a floating rate. We have an interest rate swap agreement related to the floating</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6"/>
              </w:rPr>
              <w:t>rate notes, the net effect of which is to convert that floating-rate debt to a fixed-rate obligation</w:t>
            </w:r>
          </w:p>
        </w:tc>
      </w:tr>
      <w:tr>
        <w:trPr>
          <w:trHeight w:val="222"/>
        </w:trPr>
        <w:tc>
          <w:tcPr>
            <w:tcW w:w="3120" w:type="dxa"/>
            <w:vAlign w:val="bottom"/>
          </w:tcPr>
          <w:p>
            <w:pPr>
              <w:spacing w:after="0"/>
              <w:rPr>
                <w:sz w:val="19"/>
                <w:szCs w:val="19"/>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4"/>
              </w:rPr>
              <w:t>bearing a rate of 0.922%. See “Use of Proceeds.” In connection with the issuance of the Notes,</w:t>
            </w:r>
          </w:p>
        </w:tc>
      </w:tr>
      <w:tr>
        <w:trPr>
          <w:trHeight w:val="161"/>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8340" w:type="dxa"/>
            <w:vAlign w:val="bottom"/>
          </w:tcPr>
          <w:p>
            <w:pPr>
              <w:ind w:left="248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020" w:type="dxa"/>
            <w:vAlign w:val="bottom"/>
            <w:tcBorders>
              <w:top w:val="single" w:sz="8" w:color="auto"/>
              <w:left w:val="single" w:sz="8" w:color="auto"/>
            </w:tcBorders>
          </w:tcPr>
          <w:p>
            <w:pPr>
              <w:spacing w:after="0"/>
              <w:rPr>
                <w:sz w:val="24"/>
                <w:szCs w:val="24"/>
                <w:color w:val="auto"/>
              </w:rPr>
            </w:pPr>
          </w:p>
        </w:tc>
        <w:tc>
          <w:tcPr>
            <w:tcW w:w="844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91"/>
              </w:rPr>
              <w:t>we may enter into interest rate swap agreements with financial institutions, which may include one</w:t>
            </w:r>
          </w:p>
        </w:tc>
      </w:tr>
      <w:tr>
        <w:trPr>
          <w:trHeight w:val="222"/>
        </w:trPr>
        <w:tc>
          <w:tcPr>
            <w:tcW w:w="302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or more of the underwriters or their affiliates.</w:t>
            </w:r>
          </w:p>
        </w:tc>
      </w:tr>
      <w:tr>
        <w:trPr>
          <w:trHeight w:val="291"/>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0"/>
              </w:rPr>
              <w:t>Texas Instruments Incorporated may create and issue further notes of a series ranking equally and</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0"/>
              </w:rPr>
              <w:t>ratably with the applicable series of Notes offered by this prospectus supplement in all respects, so</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8"/>
              </w:rPr>
              <w:t>that such further notes of each series will be consolidated and form a single series with the</w:t>
            </w:r>
          </w:p>
        </w:tc>
      </w:tr>
      <w:tr>
        <w:trPr>
          <w:trHeight w:val="222"/>
        </w:trPr>
        <w:tc>
          <w:tcPr>
            <w:tcW w:w="302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applicable series of Notes offered by this prospectus supplement.</w:t>
            </w:r>
          </w:p>
        </w:tc>
      </w:tr>
      <w:tr>
        <w:trPr>
          <w:trHeight w:val="297"/>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Sinking Fund</w:t>
            </w: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None</w:t>
            </w:r>
          </w:p>
        </w:tc>
      </w:tr>
      <w:tr>
        <w:trPr>
          <w:trHeight w:val="291"/>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89"/>
              </w:rPr>
              <w:t>Texas Instruments Incorporated may redeem some or all of the Notes at any time at the redemption</w:t>
            </w:r>
          </w:p>
        </w:tc>
      </w:tr>
      <w:tr>
        <w:trPr>
          <w:trHeight w:val="222"/>
        </w:trPr>
        <w:tc>
          <w:tcPr>
            <w:tcW w:w="302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prices indicated under the heading “Description of the Notes—Optional Redemption.”</w:t>
            </w:r>
          </w:p>
        </w:tc>
      </w:tr>
      <w:tr>
        <w:trPr>
          <w:trHeight w:val="291"/>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The Notes are new issues of securities with no established trading market. We do not intend to</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apply for listing of the Notes on any securities exchange. The underwriters have advised us that</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2"/>
              </w:rPr>
              <w:t>they intend to make a market in each series of the Notes, but they are not obligated to do so and</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2"/>
              </w:rPr>
              <w:t>may discontinue market-making at any time without notice. See “Underwriting” in this prospectus</w:t>
            </w:r>
          </w:p>
        </w:tc>
      </w:tr>
      <w:tr>
        <w:trPr>
          <w:trHeight w:val="222"/>
        </w:trPr>
        <w:tc>
          <w:tcPr>
            <w:tcW w:w="302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supplement for more information about possible market-making by the underwriters.</w:t>
            </w:r>
          </w:p>
        </w:tc>
      </w:tr>
      <w:tr>
        <w:trPr>
          <w:trHeight w:val="297"/>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U.S. Bank National Association</w:t>
            </w:r>
          </w:p>
        </w:tc>
      </w:tr>
      <w:tr>
        <w:trPr>
          <w:trHeight w:val="291"/>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You should carefully consider all of the information in this prospectus supplement and the</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1"/>
              </w:rPr>
              <w:t>accompanying prospectus and the documents incorporated herein by reference. In particular, you</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should evaluate the information set forth under “Cautionary Note on Forward-Looking</w:t>
            </w:r>
          </w:p>
        </w:tc>
      </w:tr>
      <w:tr>
        <w:trPr>
          <w:trHeight w:val="222"/>
        </w:trPr>
        <w:tc>
          <w:tcPr>
            <w:tcW w:w="302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Statements” and “Risk Factors” before deciding whether to invest in the Notes.</w:t>
            </w:r>
          </w:p>
        </w:tc>
      </w:tr>
      <w:tr>
        <w:trPr>
          <w:trHeight w:val="161"/>
        </w:trPr>
        <w:tc>
          <w:tcPr>
            <w:tcW w:w="3020" w:type="dxa"/>
            <w:vAlign w:val="bottom"/>
            <w:tcBorders>
              <w:left w:val="single" w:sz="8" w:color="auto"/>
              <w:bottom w:val="single" w:sz="8" w:color="auto"/>
            </w:tcBorders>
          </w:tcPr>
          <w:p>
            <w:pPr>
              <w:spacing w:after="0"/>
              <w:rPr>
                <w:sz w:val="13"/>
                <w:szCs w:val="13"/>
                <w:color w:val="auto"/>
              </w:rPr>
            </w:pPr>
          </w:p>
        </w:tc>
        <w:tc>
          <w:tcPr>
            <w:tcW w:w="8440" w:type="dxa"/>
            <w:vAlign w:val="bottom"/>
            <w:tcBorders>
              <w:bottom w:val="single" w:sz="8" w:color="auto"/>
              <w:right w:val="single" w:sz="8" w:color="auto"/>
            </w:tcBorders>
          </w:tcPr>
          <w:p>
            <w:pPr>
              <w:spacing w:after="0"/>
              <w:rPr>
                <w:sz w:val="13"/>
                <w:szCs w:val="13"/>
                <w:color w:val="auto"/>
              </w:rPr>
            </w:pPr>
          </w:p>
        </w:tc>
      </w:tr>
      <w:tr>
        <w:trPr>
          <w:trHeight w:val="359"/>
        </w:trPr>
        <w:tc>
          <w:tcPr>
            <w:tcW w:w="3020" w:type="dxa"/>
            <w:vAlign w:val="bottom"/>
          </w:tcPr>
          <w:p>
            <w:pPr>
              <w:spacing w:after="0"/>
              <w:rPr>
                <w:sz w:val="24"/>
                <w:szCs w:val="24"/>
                <w:color w:val="auto"/>
              </w:rPr>
            </w:pPr>
          </w:p>
        </w:tc>
        <w:tc>
          <w:tcPr>
            <w:tcW w:w="8440" w:type="dxa"/>
            <w:vAlign w:val="bottom"/>
          </w:tcPr>
          <w:p>
            <w:pPr>
              <w:ind w:left="258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20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720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177" w:lineRule="exact"/>
        <w:rPr>
          <w:sz w:val="20"/>
          <w:szCs w:val="20"/>
          <w:color w:val="auto"/>
        </w:rPr>
      </w:pPr>
    </w:p>
    <w:p>
      <w:pPr>
        <w:ind w:left="200" w:right="320" w:firstLine="443"/>
        <w:spacing w:after="0" w:line="259" w:lineRule="auto"/>
        <w:rPr>
          <w:sz w:val="20"/>
          <w:szCs w:val="20"/>
          <w:color w:val="auto"/>
        </w:rPr>
      </w:pPr>
      <w:r>
        <w:rPr>
          <w:rFonts w:ascii="Arial" w:cs="Arial" w:eastAsia="Arial" w:hAnsi="Arial"/>
          <w:sz w:val="18"/>
          <w:szCs w:val="18"/>
          <w:color w:val="auto"/>
        </w:rPr>
        <w:t>The following table sets forth our summary historical financial information. The summary historical financial information for the years ended December 31, 2012, 2011 and 2010 and as of December 31, 2012 and 2011 has been derived from our audited consolidated financial statements included or incorporated by reference in this prospectus supplement and the accompanying prospectus.</w:t>
      </w:r>
    </w:p>
    <w:p>
      <w:pPr>
        <w:spacing w:after="0" w:line="140" w:lineRule="exact"/>
        <w:rPr>
          <w:sz w:val="20"/>
          <w:szCs w:val="20"/>
          <w:color w:val="auto"/>
        </w:rPr>
      </w:pPr>
    </w:p>
    <w:p>
      <w:pPr>
        <w:ind w:left="200" w:right="200" w:firstLine="443"/>
        <w:spacing w:after="0" w:line="256"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“Management’s Discussion and Analysis of Financial Condition and Results of Operations,” our consolidated financial statements and the related notes, all included elsewhere or incorporated by reference in this prospectus supplement and the accompanying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left="294"/>
              <w:spacing w:after="0"/>
              <w:rPr>
                <w:sz w:val="20"/>
                <w:szCs w:val="20"/>
                <w:color w:val="auto"/>
              </w:rPr>
            </w:pPr>
            <w:r>
              <w:rPr>
                <w:rFonts w:ascii="Arial" w:cs="Arial" w:eastAsia="Arial" w:hAnsi="Arial"/>
                <w:sz w:val="14"/>
                <w:szCs w:val="14"/>
                <w:b w:val="1"/>
                <w:bCs w:val="1"/>
                <w:color w:val="auto"/>
                <w:w w:val="87"/>
              </w:rPr>
              <w:t>Year Ended 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340" w:type="dxa"/>
            <w:vAlign w:val="bottom"/>
            <w:tcBorders>
              <w:bottom w:val="single" w:sz="8" w:color="CCEEFF"/>
            </w:tcBorders>
            <w:vMerge w:val="continue"/>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13,735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13,966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revenue</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6,368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Restructuring charges/other</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Operating profit</w:t>
            </w: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340" w:type="dxa"/>
            <w:vAlign w:val="bottom"/>
            <w:vMerge w:val="continue"/>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4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340" w:type="dxa"/>
            <w:vAlign w:val="bottom"/>
            <w:vMerge w:val="continue"/>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Basic</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4340" w:type="dxa"/>
            <w:vAlign w:val="bottom"/>
            <w:tcBorders>
              <w:bottom w:val="single" w:sz="8" w:color="auto"/>
            </w:tcBorders>
          </w:tcPr>
          <w:p>
            <w:pPr>
              <w:spacing w:after="0"/>
              <w:rPr>
                <w:sz w:val="13"/>
                <w:szCs w:val="13"/>
                <w:color w:val="auto"/>
              </w:rPr>
            </w:pPr>
          </w:p>
        </w:tc>
        <w:tc>
          <w:tcPr>
            <w:tcW w:w="4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160" w:type="dxa"/>
            <w:vAlign w:val="bottom"/>
            <w:gridSpan w:val="2"/>
          </w:tcPr>
          <w:p>
            <w:pPr>
              <w:jc w:val="right"/>
              <w:ind w:right="2783"/>
              <w:spacing w:after="0"/>
              <w:rPr>
                <w:sz w:val="20"/>
                <w:szCs w:val="20"/>
                <w:color w:val="auto"/>
              </w:rPr>
            </w:pPr>
            <w:r>
              <w:rPr>
                <w:rFonts w:ascii="Arial" w:cs="Arial" w:eastAsia="Arial" w:hAnsi="Arial"/>
                <w:sz w:val="18"/>
                <w:szCs w:val="18"/>
                <w:color w:val="auto"/>
              </w:rPr>
              <w:t>S-5</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200" w:type="dxa"/>
            <w:vAlign w:val="bottom"/>
            <w:tcBorders>
              <w:top w:val="single" w:sz="8" w:color="auto"/>
              <w:left w:val="single" w:sz="8" w:color="auto"/>
            </w:tcBorders>
          </w:tcPr>
          <w:p>
            <w:pPr>
              <w:spacing w:after="0"/>
              <w:rPr>
                <w:sz w:val="24"/>
                <w:szCs w:val="24"/>
                <w:color w:val="auto"/>
              </w:rPr>
            </w:pPr>
          </w:p>
        </w:tc>
        <w:tc>
          <w:tcPr>
            <w:tcW w:w="44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780" w:type="dxa"/>
            <w:vAlign w:val="bottom"/>
            <w:tcBorders>
              <w:top w:val="single" w:sz="8" w:color="auto"/>
              <w:right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4480" w:type="dxa"/>
            <w:vAlign w:val="bottom"/>
            <w:tcBorders>
              <w:top w:val="single" w:sz="8" w:color="auto"/>
              <w:bottom w:val="single" w:sz="8" w:color="CCEEFF"/>
            </w:tcBorders>
            <w:vMerge w:val="continue"/>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0" w:type="dxa"/>
            <w:vAlign w:val="bottom"/>
            <w:tcBorders>
              <w:left w:val="single" w:sz="8" w:color="auto"/>
            </w:tcBorders>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3,965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2,935</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Inventories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1,757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1,788</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7,828</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0" w:type="dxa"/>
            <w:vAlign w:val="bottom"/>
            <w:tcBorders>
              <w:left w:val="single" w:sz="8" w:color="auto"/>
            </w:tcBorders>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3,912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2,558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20,021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20,497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0" w:type="dxa"/>
            <w:vAlign w:val="bottom"/>
            <w:tcBorders>
              <w:left w:val="single" w:sz="8" w:color="auto"/>
            </w:tcBorders>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Long-term debt</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4,211</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9,545</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10,961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10,952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20,021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20,497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0" w:type="dxa"/>
            <w:vAlign w:val="bottom"/>
            <w:tcBorders>
              <w:left w:val="single" w:sz="8" w:color="auto"/>
              <w:bottom w:val="single" w:sz="8" w:color="auto"/>
            </w:tcBorders>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4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000" w:type="dxa"/>
            <w:vAlign w:val="bottom"/>
            <w:gridSpan w:val="2"/>
          </w:tcPr>
          <w:p>
            <w:pPr>
              <w:jc w:val="right"/>
              <w:ind w:right="3840"/>
              <w:spacing w:after="0"/>
              <w:rPr>
                <w:sz w:val="20"/>
                <w:szCs w:val="20"/>
                <w:color w:val="auto"/>
              </w:rPr>
            </w:pPr>
            <w:r>
              <w:rPr>
                <w:rFonts w:ascii="Arial" w:cs="Arial" w:eastAsia="Arial" w:hAnsi="Arial"/>
                <w:sz w:val="18"/>
                <w:szCs w:val="18"/>
                <w:color w:val="auto"/>
              </w:rPr>
              <w:t>S-6</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In considering whether to purchase the Notes, you should carefully consider all the information contained or incorporated by reference in this prospectus supplement and the accompanying prospectus. In addition, you should carefully consider the risk factors described below, which are not exhaustive.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19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5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0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2012, we had approximately $9.1 billion of total liabilities on a consolidated basis. Of this amount, subsidiaries of Texas Instruments Incorporated had approximately $2.1 billion of liabilities (including trade payables and excluding intercompany debt) to which the Notes will be effectively subordinated.</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199"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11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December 31, 2012, Texas Instruments Incorporated would have had approximately $5.2 billion of total long-term indebtedness (including the Notes), all of which would have been unsecured and unsubordinated.</w:t>
      </w:r>
    </w:p>
    <w:p>
      <w:pPr>
        <w:spacing w:after="0" w:line="14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depending on the levels of its outstanding debt, its ability to obtain additional financing for working capital, capital expenditures, general corporate and other purposes may be limited.</w:t>
      </w:r>
    </w:p>
    <w:p>
      <w:pPr>
        <w:spacing w:after="0" w:line="13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6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anticipate that we will receive net proceeds of approximately $979 million from this offering after underwriting discounts and other estimated expenses. We expect to use the net proceeds of this offering for repayment of outstanding debt, such as the notes due May 15, 2013 bearing interest at a fixed rate of 0.875% and those due May 15, 2013 bearing interest at a floating rate. We have an interest rate swap agreement related to the floating rate notes, the net effect of which is to convert that floating-rate debt to a fixed-rate obligation bearing a rate of 0.922%. Initially we intend to invest the proceeds from this offering in certificates of deposit, United States government securities and certain other interest-bearing securities.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2012. Our consolidated capitalization, as adjusted, gives effect to the issuance of the Notes offered by this prospectus supplement and the application of the estimated net proceeds as described in “Use of Proceeds” as if the offering had occurred on December 31, 2012. This table should be read in conjunction with our consolidated financial statements and the related notes incorporated by reference in this prospectus supplement and the accompanying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 share amounts)</w:t>
            </w:r>
          </w:p>
        </w:tc>
        <w:tc>
          <w:tcPr>
            <w:tcW w:w="120" w:type="dxa"/>
            <w:vAlign w:val="bottom"/>
          </w:tcPr>
          <w:p>
            <w:pPr>
              <w:spacing w:after="0"/>
              <w:rPr>
                <w:sz w:val="14"/>
                <w:szCs w:val="14"/>
                <w:color w:val="auto"/>
              </w:rPr>
            </w:pPr>
          </w:p>
        </w:tc>
        <w:tc>
          <w:tcPr>
            <w:tcW w:w="30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As of December 31, 2012</w:t>
            </w:r>
          </w:p>
        </w:tc>
        <w:tc>
          <w:tcPr>
            <w:tcW w:w="0" w:type="dxa"/>
            <w:vAlign w:val="bottom"/>
          </w:tcPr>
          <w:p>
            <w:pPr>
              <w:spacing w:after="0"/>
              <w:rPr>
                <w:sz w:val="1"/>
                <w:szCs w:val="1"/>
                <w:color w:val="auto"/>
              </w:rPr>
            </w:pPr>
          </w:p>
        </w:tc>
      </w:tr>
      <w:tr>
        <w:trPr>
          <w:trHeight w:val="142"/>
        </w:trPr>
        <w:tc>
          <w:tcPr>
            <w:tcW w:w="82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0"/>
              </w:rPr>
              <w:t>Historical</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7"/>
              </w:rPr>
              <w:t>As Adjusted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2018 Notes offered hereby</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8280" w:type="dxa"/>
            <w:vAlign w:val="bottom"/>
            <w:gridSpan w:val="2"/>
          </w:tcPr>
          <w:p>
            <w:pPr>
              <w:ind w:left="440"/>
              <w:spacing w:after="0"/>
              <w:rPr>
                <w:sz w:val="20"/>
                <w:szCs w:val="20"/>
                <w:color w:val="auto"/>
              </w:rPr>
            </w:pPr>
            <w:r>
              <w:rPr>
                <w:rFonts w:ascii="Arial" w:cs="Arial" w:eastAsia="Arial" w:hAnsi="Arial"/>
                <w:sz w:val="18"/>
                <w:szCs w:val="18"/>
                <w:color w:val="auto"/>
              </w:rPr>
              <w:t>2023 Notes offered hereby</w:t>
            </w: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long-term debt (2)</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ind w:left="880"/>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4,186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18"/>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Preferred stock, $25 par value</w:t>
            </w: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Authorized – 10,000,000 shares. Participating cumulative preferred. None issued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Common stock, $1 par value</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1,741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Authorized – 2,400,000,000 shares. Shares issued: 1,740,815,939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Paid-in-capital</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1,176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27,205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27,205</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Less treasury common stock at cost (596,461,198 shares)</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(18,462)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0"/>
        </w:trPr>
        <w:tc>
          <w:tcPr>
            <w:tcW w:w="8280" w:type="dxa"/>
            <w:vAlign w:val="bottom"/>
            <w:gridSpan w:val="2"/>
          </w:tcPr>
          <w:p>
            <w:pPr>
              <w:ind w:left="4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10,961</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19,112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Notes offered hereby are shown at the amount of the public offering price, with all offering expenses (including underwriting discounts) shown as paid out of cash.</w:t>
      </w:r>
    </w:p>
    <w:p>
      <w:pPr>
        <w:ind w:left="460" w:right="62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$5.6 billion of our existing outstanding notes plus net unamortized premium of $61 million, which was assumed with our acquisition of National Semiconductor Corporation, less $1.5 billion representing the current portion of long-term debt.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left="460" w:right="3820"/>
        <w:spacing w:after="0" w:line="462" w:lineRule="auto"/>
        <w:rPr>
          <w:sz w:val="20"/>
          <w:szCs w:val="20"/>
          <w:color w:val="auto"/>
        </w:rPr>
      </w:pPr>
      <w:r>
        <w:rPr>
          <w:rFonts w:ascii="Arial" w:cs="Arial" w:eastAsia="Arial" w:hAnsi="Arial"/>
          <w:sz w:val="18"/>
          <w:szCs w:val="18"/>
          <w:b w:val="1"/>
          <w:bCs w:val="1"/>
          <w:color w:val="auto"/>
        </w:rPr>
        <w:t xml:space="preserve">RATIOS OF EARNINGS TO FIXED CHARGES </w:t>
      </w:r>
      <w:r>
        <w:rPr>
          <w:rFonts w:ascii="Arial" w:cs="Arial" w:eastAsia="Arial" w:hAnsi="Arial"/>
          <w:sz w:val="18"/>
          <w:szCs w:val="18"/>
          <w:color w:val="auto"/>
        </w:rPr>
        <w:t>The following table sets forth our ratios of earnings to fixed charges for each of the periods indicated.</w:t>
      </w:r>
    </w:p>
    <w:p>
      <w:pPr>
        <w:spacing w:after="0" w:line="2"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0</wp:posOffset>
            </wp:positionV>
            <wp:extent cx="15779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8980"/>
        <w:spacing w:after="0"/>
        <w:tabs>
          <w:tab w:leader="none" w:pos="9940" w:val="left"/>
          <w:tab w:leader="none" w:pos="109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8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20.6x</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55.9x</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5"/>
              </w:rPr>
              <w:t>304.8x</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adjusted to give effect to the issuance of the Notes in this offering and the application of the net proceeds from this offering as described in “Use of Proceeds” in this prospectus supplement and assuming the offering had been completed on December 31, 2011, our pro forma ratio of earnings to fixed charges would have been 19.0x for the year ended December 31,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8 of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The 2018 Notes will mature on May 1, 2018 and the 2023 Notes will mature on May 1, 2023. The Notes will be issued in book-entry form only, in denominations of $2,000 and multiples of $1,000 thereafter. Interest on the Notes will accrue from May 8, 2013 at the respective rates per annum shown on the cover of this prospectus supplement. The Notes will be payable semi-annually on May 1 and November 1, commencing on November 1, 2013 to the persons in whose names the Notes are registered at the close of business on the preceding April 15 or October 15, as the case may be. Interest on the Notes will be paid to but excluding the relevant interest payment date. Interest on the Notes will be calculated on the basis of a 360-day year comprised of twelve 30-day months.</w:t>
      </w:r>
    </w:p>
    <w:p>
      <w:pPr>
        <w:spacing w:after="0" w:line="10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2012, Texas Instruments Incorporated had approximately $5.7 billion of outstanding indebtedness. As of December 31, 2012, we had approximately $9.1 billion of total liabilities on a consolidated basis. Of this amount, subsidiaries of Texas Instruments Incorporated had approximately $2.1 billion of liabilities (including trade payables and excluding intercompany debt) to which the Notes will be effectively subordinated.</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December 31, 2012:</w:t>
      </w:r>
    </w:p>
    <w:p>
      <w:pPr>
        <w:spacing w:after="0" w:line="51" w:lineRule="exact"/>
        <w:rPr>
          <w:sz w:val="20"/>
          <w:szCs w:val="20"/>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$5.2 billion of total long-term indebtedness (including the Notes), all of which would constitute senior and unsubordinated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would have had approximately $9.1 billion of total liabilities on a consolidated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13" w:lineRule="exact"/>
        <w:rPr>
          <w:rFonts w:ascii="Arial" w:cs="Arial" w:eastAsia="Arial" w:hAnsi="Arial"/>
          <w:sz w:val="16"/>
          <w:szCs w:val="16"/>
          <w:color w:val="auto"/>
        </w:rPr>
      </w:pPr>
    </w:p>
    <w:p>
      <w:pPr>
        <w:ind w:left="900" w:right="5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$2.1 billion of liabilities (including trade payables but excluding intercompany debt) to which the Notes would have been structurally subordinated.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any series of Notes by issuing additional Notes of such series in the future on the same terms and conditions,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except for any differences in the issue price and interest accrued prior to the issue date of the additional Notes. The additional Notes of a series will have the same CUSIP number as the applicable series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applicable series of Notes for U.S. federal income tax purposes will be issued under a separate CUSIP number.</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Until the maturity date in the case of the 2018 Notes and prior to February 1, 2023 in the case of the 2023 Notes (the date three months prior to the maturity date of the 2023 Notes), the Notes will be redeemable, in whole or in part at any time, or from time to time, at Texas Instruments Incorporated’s option, each at a “make-whole premium” redemption price calculated by Texas Instruments Incorporated equal to the greater of:</w:t>
      </w:r>
    </w:p>
    <w:p>
      <w:pPr>
        <w:spacing w:after="0" w:line="107" w:lineRule="exact"/>
        <w:rPr>
          <w:sz w:val="20"/>
          <w:szCs w:val="20"/>
          <w:color w:val="auto"/>
        </w:rPr>
      </w:pPr>
    </w:p>
    <w:p>
      <w:pPr>
        <w:ind w:left="680" w:hanging="216"/>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80" w:firstLine="464"/>
        <w:spacing w:after="0" w:line="306" w:lineRule="auto"/>
        <w:tabs>
          <w:tab w:leader="none" w:pos="7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10 basis points with respect to the 2018 Notes and 15 basis points with respect to the 2023 Notes;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At any time on or after February 1, 2023 in the case of the 2023 Notes (the date three months prior to the maturity date of the 2023 Notes), the 2023 Notes will be redeemable, in whole or in part at any time and from time to time, at Texas Instruments Incorporated’s option at a redemption price equal to 100% of the principal amount of the 2023 Notes to be redeemed plus accrued interest thereon to the date of redemption.</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4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“Comparable Treasury Price”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“Reference Treasury Dealer” means (i) J.P. Morgan Securities LLC, Morgan Stanley &amp; Co. LLC, Citigroup Global Markets Inc. and Mizuho Securities USA Inc.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1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8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0" w:hanging="446"/>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winding up or liquidation of our affairs and such decree or order shall remain unstayed and in effect for a period of 60 consecutive days.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80" w:right="200" w:hanging="446"/>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outstanding debt securities, including the Notes, will automatically become due immediately and payable without any declaration or other act on the part of the trustee or any holder.</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w:t>
      </w:r>
    </w:p>
    <w:p>
      <w:pPr>
        <w:spacing w:after="0" w:line="12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6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Upon the issuance of a registered global note, the depositary will credit, on its book-entry registration and transfer system, the participants’ accounts with the respective principal or face amounts of the relevant series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4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or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 and an affiliate of the trustee is an underwriter of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32"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foreign taxing jurisdiction.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section applies to you if you are a U.S. Holder. You are a U.S. Holder if for U.S. federal income tax purposes you are a beneficial owner of a Note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8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United States federal income taxation regardless of its source.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 If, however, the Notes’ principal amount exceeds the issue price by at least a de minimis amount, 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determined under applicable Treasury Regulations, you will be required to include such excess in income as original issue discount, as it accrues, in accordance with a constant yield method based on a compounding of interest before the receipt of cash payments attributable to this income.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8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of principal and interest on the Notes to you will not be subject to U.S. federal income or withholding tax, provided that, in the case of interest,</w:t>
      </w:r>
    </w:p>
    <w:p>
      <w:pPr>
        <w:spacing w:after="0" w:line="113"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other applicable form), under penalties of perjury, that you are not a United States person or you otherwise satisfy certification requirements applicable to Notes held through certain intermediaries;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J.P. Morgan Securities LLC and Morgan Stanley &amp; Co.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2018 Notes and 2023 Notes set forth opposite the underwriter’s name.</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Principal</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68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Amount of</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9"/>
              </w:rPr>
              <w:t>2018 Notes</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2023 Notes</w:t>
            </w:r>
          </w:p>
        </w:tc>
        <w:tc>
          <w:tcPr>
            <w:tcW w:w="0" w:type="dxa"/>
            <w:vAlign w:val="bottom"/>
          </w:tcPr>
          <w:p>
            <w:pPr>
              <w:spacing w:after="0"/>
              <w:rPr>
                <w:sz w:val="1"/>
                <w:szCs w:val="1"/>
                <w:color w:val="auto"/>
              </w:rPr>
            </w:pPr>
          </w:p>
        </w:tc>
      </w:tr>
      <w:tr>
        <w:trPr>
          <w:trHeight w:val="203"/>
        </w:trPr>
        <w:tc>
          <w:tcPr>
            <w:tcW w:w="7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J.P. Morgan Securities LLC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147,500,000</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147,500,000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147,500,000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147,500,000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62,500,000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62,500,000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62,500,000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13,000,000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13,000,000</w:t>
            </w:r>
          </w:p>
        </w:tc>
        <w:tc>
          <w:tcPr>
            <w:tcW w:w="0" w:type="dxa"/>
            <w:vAlign w:val="bottom"/>
          </w:tcPr>
          <w:p>
            <w:pPr>
              <w:spacing w:after="0"/>
              <w:rPr>
                <w:sz w:val="1"/>
                <w:szCs w:val="1"/>
                <w:color w:val="auto"/>
              </w:rPr>
            </w:pPr>
          </w:p>
        </w:tc>
      </w:tr>
      <w:tr>
        <w:trPr>
          <w:trHeight w:val="208"/>
        </w:trPr>
        <w:tc>
          <w:tcPr>
            <w:tcW w:w="766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Incorporated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9,000,000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8"/>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SMBC Nikko Capital Markets Limited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9,000,000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9,000,000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5,500,000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PNC Capital Markets LLC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5,500,000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500,000,000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500,000,000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prices set forth on the cover of this prospectus supplement. Any Notes sold by the underwriters to securities dealers may be sold at a discount from the initial public offering prices not to exceed 0.200% per 2018 Note and 0.300% per 2023 Note. Any such securities dealers may resell any Notes purchased from the underwriters to certain other brokers or dealers at a discount from the initial public offering prices not to exceed 0.025% per 2018 Note and 0.125% per 2023 Note. If all the Notes are not sold at the initial offering prices, the underwriters may change the offering price and the other selling terms.</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Paid by Texas</w:t>
            </w:r>
          </w:p>
        </w:tc>
      </w:tr>
      <w:tr>
        <w:trPr>
          <w:trHeight w:val="149"/>
        </w:trPr>
        <w:tc>
          <w:tcPr>
            <w:tcW w:w="95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Instruments</w:t>
            </w:r>
          </w:p>
        </w:tc>
      </w:tr>
      <w:tr>
        <w:trPr>
          <w:trHeight w:val="161"/>
        </w:trPr>
        <w:tc>
          <w:tcPr>
            <w:tcW w:w="95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200" w:type="dxa"/>
            <w:vAlign w:val="bottom"/>
            <w:tcBorders>
              <w:bottom w:val="single" w:sz="8" w:color="CCEEFF"/>
            </w:tcBorders>
          </w:tcPr>
          <w:p>
            <w:pPr>
              <w:spacing w:after="0"/>
              <w:rPr>
                <w:sz w:val="14"/>
                <w:szCs w:val="14"/>
                <w:color w:val="auto"/>
              </w:rPr>
            </w:pPr>
          </w:p>
        </w:tc>
      </w:tr>
      <w:tr>
        <w:trPr>
          <w:trHeight w:val="210"/>
        </w:trPr>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2018 Note</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0.350%</w:t>
            </w:r>
          </w:p>
        </w:tc>
      </w:tr>
      <w:tr>
        <w:trPr>
          <w:trHeight w:val="222"/>
        </w:trPr>
        <w:tc>
          <w:tcPr>
            <w:tcW w:w="9500" w:type="dxa"/>
            <w:vAlign w:val="bottom"/>
          </w:tcPr>
          <w:p>
            <w:pPr>
              <w:spacing w:after="0"/>
              <w:rPr>
                <w:sz w:val="20"/>
                <w:szCs w:val="20"/>
                <w:color w:val="auto"/>
              </w:rPr>
            </w:pPr>
            <w:r>
              <w:rPr>
                <w:rFonts w:ascii="Arial" w:cs="Arial" w:eastAsia="Arial" w:hAnsi="Arial"/>
                <w:sz w:val="18"/>
                <w:szCs w:val="18"/>
                <w:color w:val="auto"/>
              </w:rPr>
              <w:t>Per 2023 Note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0.450%</w:t>
            </w:r>
          </w:p>
        </w:tc>
      </w:tr>
      <w:tr>
        <w:trPr>
          <w:trHeight w:val="370"/>
        </w:trPr>
        <w:tc>
          <w:tcPr>
            <w:tcW w:w="9500" w:type="dxa"/>
            <w:vAlign w:val="bottom"/>
          </w:tcPr>
          <w:p>
            <w:pPr>
              <w:spacing w:after="0"/>
              <w:rPr>
                <w:sz w:val="20"/>
                <w:szCs w:val="20"/>
                <w:color w:val="auto"/>
              </w:rPr>
            </w:pPr>
            <w:r>
              <w:rPr>
                <w:rFonts w:ascii="Arial" w:cs="Arial" w:eastAsia="Arial" w:hAnsi="Arial"/>
                <w:sz w:val="18"/>
                <w:szCs w:val="18"/>
                <w:color w:val="auto"/>
              </w:rPr>
              <w:t>We estimate that our total expenses for this offering will be approximately $6 million, including underwriting discounts.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5"/>
        </w:trPr>
        <w:tc>
          <w:tcPr>
            <w:tcW w:w="9500" w:type="dxa"/>
            <w:vAlign w:val="bottom"/>
          </w:tcPr>
          <w:p>
            <w:pPr>
              <w:ind w:left="5080"/>
              <w:spacing w:after="0"/>
              <w:rPr>
                <w:sz w:val="20"/>
                <w:szCs w:val="20"/>
                <w:color w:val="auto"/>
              </w:rPr>
            </w:pPr>
            <w:r>
              <w:rPr>
                <w:rFonts w:ascii="Arial" w:cs="Arial" w:eastAsia="Arial" w:hAnsi="Arial"/>
                <w:sz w:val="18"/>
                <w:szCs w:val="18"/>
                <w:color w:val="auto"/>
              </w:rPr>
              <w:t>S-24</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three business days, unless the parties to a trade expressly agree otherwise. Accordingly, purchasers who wish to trade Notes on the date of pricing or the next succeeding business day will be required, by virtue of the fact that the Notes initially will settle in T+5, to specify alternative settlement arrangements to prevent a failed settlement.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affiliates of some of the underwriters are lenders, and in some cases agents or managers for the lenders, under TI’s credit facility. In addition, an affiliate of one of the underwriters is the trustee for the Notes.</w:t>
      </w:r>
    </w:p>
    <w:p>
      <w:pPr>
        <w:spacing w:after="0" w:line="12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SMBC Nikko Capital Markets Limited is not a U.S. registered broker-dealer and, therefore, intends to participate in the offering outside of the United States and, to the extent that the offering is within the United States, as facilitated by an affiliated U.S. registered broker-dealer, SMBC Nikko Securities America, Inc. (“SMBC Nikko-SI”), as permitted under applicable law. To that end, SMBC Nikko Capital Markets Limited and SMBC Nikko-SI have entered into an agreement pursuant to which SMBC Nikko-SI provides certain advisory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and/or other services with respect to this offering. In return for the provision of such services by SMBC Nikko-SI, SMBC Nikko Capital Markets Limited will pay to SMBC Nikko-SI a mutually agreed-fee.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2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9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4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indirectly, to the public in France. Neither this prospectus supplement nor any other offering material relating to the Notes has been or will be:</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90" w:lineRule="exact"/>
        <w:rPr>
          <w:sz w:val="20"/>
          <w:szCs w:val="20"/>
          <w:color w:val="auto"/>
        </w:rPr>
      </w:pPr>
    </w:p>
    <w:p>
      <w:pPr>
        <w:ind w:left="9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9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SFA or (iii) otherwise pursuant to, and in accordance with the conditions of, any other applicable provision of the SFA, in each case subject to compliance with conditions set forth in the SFA.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90" w:lineRule="exact"/>
        <w:rPr>
          <w:sz w:val="20"/>
          <w:szCs w:val="20"/>
          <w:color w:val="auto"/>
        </w:rPr>
      </w:pPr>
    </w:p>
    <w:p>
      <w:pPr>
        <w:ind w:left="900" w:right="16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3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 w:lineRule="exact"/>
        <w:rPr>
          <w:sz w:val="20"/>
          <w:szCs w:val="20"/>
          <w:color w:val="auto"/>
        </w:rPr>
      </w:pPr>
    </w:p>
    <w:p>
      <w:pPr>
        <w:ind w:left="900" w:right="140" w:hanging="325"/>
        <w:spacing w:after="0" w:line="25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consolidated financial statements, incorporated by reference in our Annual Report (Form 10-K) for the year ended December 31, 2012,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 supplement:</w:t>
      </w:r>
    </w:p>
    <w:p>
      <w:pPr>
        <w:spacing w:after="0" w:line="26" w:lineRule="exact"/>
        <w:rPr>
          <w:sz w:val="20"/>
          <w:szCs w:val="20"/>
          <w:color w:val="auto"/>
        </w:rPr>
      </w:pPr>
    </w:p>
    <w:p>
      <w:pPr>
        <w:ind w:right="340" w:firstLine="464"/>
        <w:spacing w:after="0" w:line="268"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Current Reports on Form 8-K filed on January 18, 2013, February 22, 2013 and April 22, 2013, excepting any portions of such reports which were furnished but not filed, and</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2012, filed on February 22, 2013.</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(214) 479-3773.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supplement or the accompanying prospectus.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139700</wp:posOffset>
            </wp:positionV>
            <wp:extent cx="2864485" cy="660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51"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Common stock</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center"/>
        <w:ind w:right="4400"/>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Warrants</w:t>
      </w:r>
    </w:p>
    <w:p>
      <w:pPr>
        <w:spacing w:after="0" w:line="117" w:lineRule="exact"/>
        <w:rPr>
          <w:sz w:val="20"/>
          <w:szCs w:val="20"/>
          <w:color w:val="auto"/>
        </w:rPr>
      </w:pPr>
    </w:p>
    <w:p>
      <w:pPr>
        <w:sectPr>
          <w:pgSz w:w="11900" w:h="16838" w:orient="portrait"/>
          <w:cols w:equalWidth="0" w:num="2">
            <w:col w:w="5440" w:space="720"/>
            <w:col w:w="5260"/>
          </w:cols>
          <w:pgMar w:left="240" w:top="459" w:right="239" w:bottom="1440" w:gutter="0" w:footer="0" w:header="0"/>
          <w:type w:val="continuous"/>
        </w:sectPr>
      </w:pPr>
    </w:p>
    <w:p>
      <w:pPr>
        <w:ind w:left="12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br w:type="column"/>
      </w:r>
    </w:p>
    <w:p>
      <w:pPr>
        <w:jc w:val="center"/>
        <w:ind w:right="4640"/>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Units</w:t>
      </w:r>
    </w:p>
    <w:p>
      <w:pPr>
        <w:spacing w:after="0" w:line="117" w:lineRule="exact"/>
        <w:rPr>
          <w:sz w:val="20"/>
          <w:szCs w:val="20"/>
          <w:color w:val="auto"/>
        </w:rPr>
      </w:pPr>
    </w:p>
    <w:p>
      <w:pPr>
        <w:sectPr>
          <w:pgSz w:w="11900" w:h="16838" w:orient="portrait"/>
          <w:cols w:equalWidth="0" w:num="2">
            <w:col w:w="5440" w:space="720"/>
            <w:col w:w="5260"/>
          </w:cols>
          <w:pgMar w:left="240" w:top="459" w:right="239" w:bottom="1440" w:gutter="0" w:footer="0" w:header="0"/>
          <w:type w:val="continuous"/>
        </w:sectPr>
      </w:pPr>
    </w:p>
    <w:p>
      <w:pPr>
        <w:ind w:left="360" w:hanging="244"/>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71"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460" w:type="dxa"/>
            <w:vAlign w:val="bottom"/>
          </w:tcPr>
          <w:p>
            <w:pPr>
              <w:ind w:left="1320"/>
              <w:spacing w:after="0"/>
              <w:rPr>
                <w:sz w:val="20"/>
                <w:szCs w:val="20"/>
                <w:color w:val="auto"/>
              </w:rPr>
            </w:pPr>
            <w:r>
              <w:rPr>
                <w:rFonts w:ascii="Arial" w:cs="Arial" w:eastAsia="Arial" w:hAnsi="Arial"/>
                <w:sz w:val="18"/>
                <w:szCs w:val="18"/>
                <w:color w:val="auto"/>
              </w:rPr>
              <w:t>•</w:t>
            </w:r>
          </w:p>
        </w:tc>
        <w:tc>
          <w:tcPr>
            <w:tcW w:w="2900" w:type="dxa"/>
            <w:vAlign w:val="bottom"/>
          </w:tcPr>
          <w:p>
            <w:pPr>
              <w:ind w:left="80"/>
              <w:spacing w:after="0"/>
              <w:rPr>
                <w:sz w:val="20"/>
                <w:szCs w:val="20"/>
                <w:color w:val="auto"/>
              </w:rPr>
            </w:pPr>
            <w:r>
              <w:rPr>
                <w:rFonts w:ascii="Arial" w:cs="Arial" w:eastAsia="Arial" w:hAnsi="Arial"/>
                <w:sz w:val="18"/>
                <w:szCs w:val="18"/>
                <w:color w:val="auto"/>
              </w:rPr>
              <w:t>Redemption terms</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1620" w:type="dxa"/>
            <w:vAlign w:val="bottom"/>
          </w:tcPr>
          <w:p>
            <w:pPr>
              <w:ind w:left="80"/>
              <w:spacing w:after="0"/>
              <w:rPr>
                <w:sz w:val="20"/>
                <w:szCs w:val="20"/>
                <w:color w:val="auto"/>
              </w:rPr>
            </w:pPr>
            <w:r>
              <w:rPr>
                <w:rFonts w:ascii="Arial" w:cs="Arial" w:eastAsia="Arial" w:hAnsi="Arial"/>
                <w:sz w:val="18"/>
                <w:szCs w:val="18"/>
                <w:color w:val="auto"/>
                <w:w w:val="99"/>
              </w:rPr>
              <w:t>Liquidation amount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Interest rate</w:t>
            </w:r>
          </w:p>
        </w:tc>
        <w:tc>
          <w:tcPr>
            <w:tcW w:w="4360" w:type="dxa"/>
            <w:vAlign w:val="bottom"/>
            <w:gridSpan w:val="2"/>
          </w:tcPr>
          <w:p>
            <w:pPr>
              <w:ind w:left="1320"/>
              <w:spacing w:after="0"/>
              <w:rPr>
                <w:sz w:val="20"/>
                <w:szCs w:val="20"/>
                <w:color w:val="auto"/>
              </w:rPr>
            </w:pPr>
            <w:r>
              <w:rPr>
                <w:rFonts w:ascii="Arial" w:cs="Arial" w:eastAsia="Arial" w:hAnsi="Arial"/>
                <w:sz w:val="18"/>
                <w:szCs w:val="18"/>
                <w:color w:val="auto"/>
              </w:rPr>
              <w:t>•  Listing on a security exchange</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1620" w:type="dxa"/>
            <w:vAlign w:val="bottom"/>
          </w:tcPr>
          <w:p>
            <w:pPr>
              <w:ind w:left="80"/>
              <w:spacing w:after="0"/>
              <w:rPr>
                <w:sz w:val="20"/>
                <w:szCs w:val="20"/>
                <w:color w:val="auto"/>
              </w:rPr>
            </w:pPr>
            <w:r>
              <w:rPr>
                <w:rFonts w:ascii="Arial" w:cs="Arial" w:eastAsia="Arial" w:hAnsi="Arial"/>
                <w:sz w:val="18"/>
                <w:szCs w:val="18"/>
                <w:color w:val="auto"/>
                <w:w w:val="84"/>
              </w:rPr>
              <w:t>Subsidiary guarantees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Currency of payments</w:t>
            </w:r>
          </w:p>
        </w:tc>
        <w:tc>
          <w:tcPr>
            <w:tcW w:w="4360" w:type="dxa"/>
            <w:vAlign w:val="bottom"/>
            <w:gridSpan w:val="2"/>
          </w:tcPr>
          <w:p>
            <w:pPr>
              <w:ind w:left="1320"/>
              <w:spacing w:after="0"/>
              <w:rPr>
                <w:sz w:val="20"/>
                <w:szCs w:val="20"/>
                <w:color w:val="auto"/>
              </w:rPr>
            </w:pPr>
            <w:r>
              <w:rPr>
                <w:rFonts w:ascii="Arial" w:cs="Arial" w:eastAsia="Arial" w:hAnsi="Arial"/>
                <w:sz w:val="18"/>
                <w:szCs w:val="18"/>
                <w:color w:val="auto"/>
              </w:rPr>
              <w:t>•  Amount payable at maturity</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1620" w:type="dxa"/>
            <w:vAlign w:val="bottom"/>
          </w:tcPr>
          <w:p>
            <w:pPr>
              <w:ind w:left="80"/>
              <w:spacing w:after="0"/>
              <w:rPr>
                <w:sz w:val="20"/>
                <w:szCs w:val="20"/>
                <w:color w:val="auto"/>
              </w:rPr>
            </w:pPr>
            <w:r>
              <w:rPr>
                <w:rFonts w:ascii="Arial" w:cs="Arial" w:eastAsia="Arial" w:hAnsi="Arial"/>
                <w:sz w:val="18"/>
                <w:szCs w:val="18"/>
                <w:color w:val="auto"/>
              </w:rPr>
              <w:t>Sinking fund terms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Dividends</w:t>
            </w:r>
          </w:p>
        </w:tc>
        <w:tc>
          <w:tcPr>
            <w:tcW w:w="1460" w:type="dxa"/>
            <w:vAlign w:val="bottom"/>
          </w:tcPr>
          <w:p>
            <w:pPr>
              <w:ind w:left="1320"/>
              <w:spacing w:after="0"/>
              <w:rPr>
                <w:sz w:val="20"/>
                <w:szCs w:val="20"/>
                <w:color w:val="auto"/>
              </w:rPr>
            </w:pPr>
            <w:r>
              <w:rPr>
                <w:rFonts w:ascii="Arial" w:cs="Arial" w:eastAsia="Arial" w:hAnsi="Arial"/>
                <w:sz w:val="18"/>
                <w:szCs w:val="18"/>
                <w:color w:val="auto"/>
              </w:rPr>
              <w:t>•</w:t>
            </w:r>
          </w:p>
        </w:tc>
        <w:tc>
          <w:tcPr>
            <w:tcW w:w="2900" w:type="dxa"/>
            <w:vAlign w:val="bottom"/>
          </w:tcPr>
          <w:p>
            <w:pPr>
              <w:ind w:left="80"/>
              <w:spacing w:after="0"/>
              <w:rPr>
                <w:sz w:val="20"/>
                <w:szCs w:val="20"/>
                <w:color w:val="auto"/>
              </w:rPr>
            </w:pPr>
            <w:r>
              <w:rPr>
                <w:rFonts w:ascii="Arial" w:cs="Arial" w:eastAsia="Arial" w:hAnsi="Arial"/>
                <w:sz w:val="18"/>
                <w:szCs w:val="18"/>
                <w:color w:val="auto"/>
              </w:rPr>
              <w:t>Conversion or exchange rights</w:t>
            </w: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15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Common Stock is quoted on The NASDAQ Stock Market under the ticker symbol TXN. On February 21, 2013, the reported last sale price on The NASDAQ Stock Market for our Common Stock was $32.48.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0"/>
          <w:szCs w:val="20"/>
          <w:color w:val="auto"/>
        </w:rPr>
      </w:pPr>
    </w:p>
    <w:p>
      <w:pPr>
        <w:ind w:right="40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10 of our annual report on Form 10-K for the year ended December 31, 2012,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9"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February 22, 2013</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responsible for the information contained in or incorporated by reference in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167005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4"/>
            <w:vMerge w:val="restart"/>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The Company</w:t>
              </w:r>
            </w:hyperlink>
          </w:p>
        </w:tc>
        <w:tc>
          <w:tcPr>
            <w:tcW w:w="69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69"/>
        </w:trPr>
        <w:tc>
          <w:tcPr>
            <w:tcW w:w="4160" w:type="dxa"/>
            <w:vAlign w:val="bottom"/>
            <w:gridSpan w:val="14"/>
            <w:vMerge w:val="continue"/>
          </w:tcPr>
          <w:p>
            <w:pPr>
              <w:spacing w:after="0"/>
              <w:rPr>
                <w:sz w:val="14"/>
                <w:szCs w:val="14"/>
                <w:color w:val="auto"/>
              </w:rPr>
            </w:pPr>
          </w:p>
        </w:tc>
        <w:tc>
          <w:tcPr>
            <w:tcW w:w="6900" w:type="dxa"/>
            <w:vAlign w:val="bottom"/>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About this Prospectus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Ratios of Earnings to Fixed Charges</w:t>
              </w:r>
            </w:hyperlink>
          </w:p>
        </w:tc>
        <w:tc>
          <w:tcPr>
            <w:tcW w:w="160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Description of Capital Stock</w:t>
              </w:r>
            </w:hyperlink>
          </w:p>
        </w:tc>
        <w:tc>
          <w:tcPr>
            <w:tcW w:w="214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Description of Debt Securities</w:t>
              </w:r>
            </w:hyperlink>
          </w:p>
        </w:tc>
        <w:tc>
          <w:tcPr>
            <w:tcW w:w="202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Description of Warrants</w:t>
              </w:r>
            </w:hyperlink>
          </w:p>
        </w:tc>
        <w:tc>
          <w:tcPr>
            <w:tcW w:w="2460" w:type="dxa"/>
            <w:vAlign w:val="bottom"/>
            <w:gridSpan w:val="6"/>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Units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Forms of Securities</w:t>
              </w:r>
            </w:hyperlink>
          </w:p>
        </w:tc>
        <w:tc>
          <w:tcPr>
            <w:tcW w:w="272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Validity of Securities</w:t>
              </w:r>
            </w:hyperlink>
          </w:p>
        </w:tc>
        <w:tc>
          <w:tcPr>
            <w:tcW w:w="262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258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3425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At Texas Instruments Incorporated (TI), we design and make semiconductors that we sell to electronics designers and manufacturers all over the world. We began operations in 1930. We are incorporated in Delaware, headquartered in Dallas, Texas, and have design, manufacturing or sales operations in more than 35 countries.</w:t>
      </w:r>
    </w:p>
    <w:p>
      <w:pPr>
        <w:spacing w:after="0" w:line="140" w:lineRule="exact"/>
        <w:rPr>
          <w:sz w:val="20"/>
          <w:szCs w:val="20"/>
          <w:color w:val="auto"/>
        </w:rPr>
      </w:pPr>
    </w:p>
    <w:p>
      <w:pPr>
        <w:ind w:left="200" w:right="400" w:firstLine="443"/>
        <w:spacing w:after="0" w:line="268" w:lineRule="auto"/>
        <w:rPr>
          <w:sz w:val="20"/>
          <w:szCs w:val="20"/>
          <w:color w:val="auto"/>
        </w:rPr>
      </w:pPr>
      <w:r>
        <w:rPr>
          <w:rFonts w:ascii="Arial" w:cs="Arial" w:eastAsia="Arial" w:hAnsi="Arial"/>
          <w:sz w:val="18"/>
          <w:szCs w:val="18"/>
          <w:color w:val="auto"/>
        </w:rPr>
        <w:t>We were the world’s fourth largest semiconductor company in 2012 as measured by revenue, according to preliminary estimates from an external source.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Our principal executive offices are located at 12500 TI Boulevard, Dallas, Texas 75266-0199, and our telephone number is (214) 479-3773. We</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maintain a website at www.ti.com where general information about us is available. We are not incorporating the contents of the website into this prospectus.</w:t>
      </w:r>
    </w:p>
    <w:p>
      <w:pPr>
        <w:spacing w:after="0" w:line="1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6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Current Report on Form 8-K filed on January 18, 2013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2012, filed on February 22, 2013.</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(214) 479-3773.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or any prospectus supplement that we file.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“expect,” “anticipate,” “foresee,” “forecast,”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51" w:lineRule="exact"/>
        <w:rPr>
          <w:sz w:val="20"/>
          <w:szCs w:val="20"/>
          <w:color w:val="auto"/>
        </w:rPr>
      </w:pPr>
    </w:p>
    <w:p>
      <w:pPr>
        <w:ind w:left="900" w:right="8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60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list is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9" w:lineRule="exact"/>
        <w:rPr>
          <w:sz w:val="20"/>
          <w:szCs w:val="20"/>
          <w:color w:val="auto"/>
        </w:rPr>
      </w:pPr>
    </w:p>
    <w:p>
      <w:pPr>
        <w:ind w:left="460" w:right="3840" w:firstLine="3392"/>
        <w:spacing w:after="0" w:line="520"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Fiscal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00" w:type="dxa"/>
            <w:vAlign w:val="bottom"/>
            <w:tcBorders>
              <w:top w:val="single" w:sz="8" w:color="auto"/>
              <w:bottom w:val="single" w:sz="8" w:color="auto"/>
            </w:tcBorders>
          </w:tcPr>
          <w:p>
            <w:pPr>
              <w:jc w:val="right"/>
              <w:ind w:right="1022"/>
              <w:spacing w:after="0" w:line="156"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3"/>
                <w:szCs w:val="13"/>
                <w:color w:val="auto"/>
              </w:rPr>
            </w:pPr>
          </w:p>
        </w:tc>
        <w:tc>
          <w:tcPr>
            <w:tcW w:w="2180" w:type="dxa"/>
            <w:vAlign w:val="bottom"/>
            <w:tcBorders>
              <w:top w:val="single" w:sz="8" w:color="auto"/>
              <w:bottom w:val="single" w:sz="8" w:color="auto"/>
            </w:tcBorders>
          </w:tcPr>
          <w:p>
            <w:pPr>
              <w:jc w:val="right"/>
              <w:ind w:right="882"/>
              <w:spacing w:after="0" w:line="156"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bottom w:val="single" w:sz="8" w:color="auto"/>
            </w:tcBorders>
          </w:tcPr>
          <w:p>
            <w:pPr>
              <w:jc w:val="right"/>
              <w:ind w:right="862"/>
              <w:spacing w:after="0" w:line="156"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Arial" w:cs="Arial" w:eastAsia="Arial" w:hAnsi="Arial"/>
                <w:sz w:val="14"/>
                <w:szCs w:val="14"/>
                <w:b w:val="1"/>
                <w:bCs w:val="1"/>
                <w:color w:val="auto"/>
              </w:rPr>
              <w:t>2008</w:t>
            </w: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90"/>
              </w:rPr>
              <w:t>20.6x</w:t>
            </w:r>
          </w:p>
        </w:tc>
        <w:tc>
          <w:tcPr>
            <w:tcW w:w="1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55.9x</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304.8x</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127.9x</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109.5x</w:t>
            </w:r>
          </w:p>
        </w:tc>
      </w:tr>
    </w:tbl>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As of January 31, 2013, there were 1,104,787,389 shares of common stock outstanding which were held of record by 18,036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Stock Market. The transfer agent and registrar for our common stock is Computershare Trust Company, N.A., 2 North LaSalle Street, 3</w:t>
      </w:r>
      <w:r>
        <w:rPr>
          <w:rFonts w:ascii="Arial" w:cs="Arial" w:eastAsia="Arial" w:hAnsi="Arial"/>
          <w:sz w:val="10"/>
          <w:szCs w:val="10"/>
          <w:color w:val="auto"/>
        </w:rPr>
        <w:t>rd</w:t>
      </w:r>
      <w:r>
        <w:rPr>
          <w:rFonts w:ascii="Arial" w:cs="Arial" w:eastAsia="Arial" w:hAnsi="Arial"/>
          <w:sz w:val="15"/>
          <w:szCs w:val="15"/>
          <w:color w:val="auto"/>
        </w:rPr>
        <w:t xml:space="preserve"> Floor, Chicago, Illinois 60602.</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January 31, 2013,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the meeting is first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9"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13"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having been issued at a discount for U.S. federal income tax purposes will be described in the applicable prospectus supplement.</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4"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in respect of a sale and leaseback transaction means, at the time of determination, the lesser of (1)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03"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74"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03" w:lineRule="exact"/>
        <w:rPr>
          <w:sz w:val="20"/>
          <w:szCs w:val="20"/>
          <w:color w:val="auto"/>
        </w:rPr>
      </w:pPr>
    </w:p>
    <w:p>
      <w:pPr>
        <w:jc w:val="both"/>
        <w:ind w:right="56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net rental payments</w:t>
      </w:r>
      <w:r>
        <w:rPr>
          <w:rFonts w:ascii="Arial" w:cs="Arial" w:eastAsia="Arial" w:hAnsi="Arial"/>
          <w:sz w:val="18"/>
          <w:szCs w:val="18"/>
          <w:color w:val="auto"/>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0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money borrowed (which, including guarantees of debt for borrowed money, we refer to as “</w:t>
      </w:r>
      <w:r>
        <w:rPr>
          <w:rFonts w:ascii="Arial" w:cs="Arial" w:eastAsia="Arial" w:hAnsi="Arial"/>
          <w:sz w:val="18"/>
          <w:szCs w:val="18"/>
          <w:b w:val="1"/>
          <w:bCs w:val="1"/>
          <w:color w:val="auto"/>
        </w:rPr>
        <w:t>debt</w:t>
      </w:r>
      <w:r>
        <w:rPr>
          <w:rFonts w:ascii="Arial" w:cs="Arial" w:eastAsia="Arial" w:hAnsi="Arial"/>
          <w:sz w:val="18"/>
          <w:szCs w:val="18"/>
          <w:color w:val="auto"/>
        </w:rPr>
        <w:t>”), if the debt is secured by a mortgage, pledge, lien or other encumbrance (which we refer to as a “</w:t>
      </w:r>
      <w:r>
        <w:rPr>
          <w:rFonts w:ascii="Arial" w:cs="Arial" w:eastAsia="Arial" w:hAnsi="Arial"/>
          <w:sz w:val="18"/>
          <w:szCs w:val="18"/>
          <w:b w:val="1"/>
          <w:bCs w:val="1"/>
          <w:color w:val="auto"/>
        </w:rPr>
        <w:t>mortgage</w:t>
      </w:r>
      <w:r>
        <w:rPr>
          <w:rFonts w:ascii="Arial" w:cs="Arial" w:eastAsia="Arial" w:hAnsi="Arial"/>
          <w:sz w:val="18"/>
          <w:szCs w:val="18"/>
          <w:color w:val="auto"/>
        </w:rPr>
        <w:t>”) upon any 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64"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25"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are being contested in good faith by appropriate proceedings;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32" w:lineRule="exact"/>
        <w:rPr>
          <w:sz w:val="20"/>
          <w:szCs w:val="20"/>
          <w:color w:val="auto"/>
        </w:rPr>
      </w:pPr>
    </w:p>
    <w:p>
      <w:pPr>
        <w:ind w:left="900" w:right="80" w:hanging="325"/>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2"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0" w:hanging="446"/>
        <w:spacing w:after="0" w:line="268"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 may,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Arial" w:cs="Arial" w:eastAsia="Arial" w:hAnsi="Arial"/>
          <w:sz w:val="18"/>
          <w:szCs w:val="18"/>
          <w:b w:val="1"/>
          <w:bCs w:val="1"/>
          <w:color w:val="auto"/>
        </w:rPr>
        <w:t>exempted debt</w:t>
      </w:r>
      <w:r>
        <w:rPr>
          <w:rFonts w:ascii="Arial" w:cs="Arial" w:eastAsia="Arial" w:hAnsi="Arial"/>
          <w:sz w:val="18"/>
          <w:szCs w:val="18"/>
          <w:color w:val="auto"/>
        </w:rPr>
        <w:t>”) does not exceed 15% of consolidated net tangible assets.</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51" w:lineRule="exact"/>
        <w:rPr>
          <w:sz w:val="20"/>
          <w:szCs w:val="20"/>
          <w:color w:val="auto"/>
        </w:rPr>
      </w:pPr>
    </w:p>
    <w:p>
      <w:pPr>
        <w:ind w:left="900" w:right="20" w:hanging="325"/>
        <w:spacing w:after="0" w:line="25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jc w:val="both"/>
        <w:ind w:left="900" w:right="8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90" w:lineRule="exact"/>
        <w:rPr>
          <w:sz w:val="20"/>
          <w:szCs w:val="20"/>
          <w:color w:val="auto"/>
        </w:rPr>
      </w:pPr>
    </w:p>
    <w:p>
      <w:pPr>
        <w:ind w:left="900" w:right="3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357" w:lineRule="auto"/>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1480" w:right="26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winding up or liquidation of our affairs and such decree or order shall remain unstayed and in effect for a period of 60 consecutive days;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2"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39"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51" w:lineRule="exact"/>
        <w:rPr>
          <w:sz w:val="20"/>
          <w:szCs w:val="20"/>
          <w:color w:val="auto"/>
        </w:rPr>
      </w:pPr>
    </w:p>
    <w:p>
      <w:pPr>
        <w:ind w:left="900" w:right="4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or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with certain exceptions, have been delivered to the trustee for cancellation and we have paid all sums payable by us under the indenture; or</w:t>
      </w:r>
    </w:p>
    <w:p>
      <w:pPr>
        <w:spacing w:after="0" w:line="50"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Arial" w:cs="Arial" w:eastAsia="Arial" w:hAnsi="Arial"/>
          <w:sz w:val="16"/>
          <w:szCs w:val="16"/>
          <w:b w:val="1"/>
          <w:bCs w:val="1"/>
          <w:color w:val="auto"/>
        </w:rPr>
        <w:t>legal defeasance</w:t>
      </w:r>
      <w:r>
        <w:rPr>
          <w:rFonts w:ascii="Arial" w:cs="Arial" w:eastAsia="Arial" w:hAnsi="Arial"/>
          <w:sz w:val="16"/>
          <w:szCs w:val="16"/>
          <w:color w:val="auto"/>
        </w:rPr>
        <w:t>”); provided that the following conditions shall have been satisfied:</w:t>
      </w:r>
    </w:p>
    <w:p>
      <w:pPr>
        <w:spacing w:after="0" w:line="26" w:lineRule="exact"/>
        <w:rPr>
          <w:sz w:val="20"/>
          <w:szCs w:val="20"/>
          <w:color w:val="auto"/>
        </w:rPr>
      </w:pPr>
    </w:p>
    <w:p>
      <w:pPr>
        <w:ind w:left="900" w:right="100" w:hanging="325"/>
        <w:spacing w:after="0" w:line="289"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37"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material agreement or instrument to which we are a party or by which we are bound;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debt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shall have delivered to the trustee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5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 —Consolidation, Merger and Sale or Conveyance”;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waives a default in the payment of principal of or interest on the debt securities;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at the option of such holder; or</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same degree of care and skill in its exercise as a prudent person would exercise under the circumstances in the conduct of such person’s own affairs.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20"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13"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8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securities in respect of which this prospectus is being delivered will be passed on for us by Davis Polk &amp; Wardwell LLP.</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incorporated by reference in our Annual Report on Form 10-K for the year ended December 31, 2012, and the effectiveness of our internal control over financial reporting as of December 31, 2012, as set forth in their reports, which are incorporated by reference in this prospectus and elsewhere in the registration statement. Our financial statements and our management’s assessment of the effectiveness of internal control over financial reporting as of December 31, 2012, are incorporated by reference in reliance on Ernst &amp; Young LLP’s reports, given on their authority as experts in accounting and auditing.</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700"/>
        <w:spacing w:after="0"/>
        <w:rPr>
          <w:sz w:val="20"/>
          <w:szCs w:val="20"/>
          <w:color w:val="auto"/>
        </w:rPr>
      </w:pPr>
      <w:r>
        <w:rPr>
          <w:rFonts w:ascii="Arial" w:cs="Arial" w:eastAsia="Arial" w:hAnsi="Arial"/>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178435</wp:posOffset>
            </wp:positionV>
            <wp:extent cx="2864485" cy="660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80"/>
        <w:spacing w:after="0"/>
        <w:rPr>
          <w:sz w:val="20"/>
          <w:szCs w:val="20"/>
          <w:color w:val="auto"/>
        </w:rPr>
      </w:pPr>
      <w:r>
        <w:rPr>
          <w:rFonts w:ascii="Arial" w:cs="Arial" w:eastAsia="Arial" w:hAnsi="Arial"/>
          <w:sz w:val="29"/>
          <w:szCs w:val="29"/>
          <w:b w:val="1"/>
          <w:bCs w:val="1"/>
          <w:color w:val="auto"/>
        </w:rPr>
        <w:t>$500,000,000 1.000% Notes due 2018</w:t>
      </w:r>
    </w:p>
    <w:p>
      <w:pPr>
        <w:spacing w:after="0" w:line="67" w:lineRule="exact"/>
        <w:rPr>
          <w:sz w:val="20"/>
          <w:szCs w:val="20"/>
          <w:color w:val="auto"/>
        </w:rPr>
      </w:pPr>
    </w:p>
    <w:p>
      <w:pPr>
        <w:ind w:left="3180"/>
        <w:spacing w:after="0"/>
        <w:rPr>
          <w:sz w:val="20"/>
          <w:szCs w:val="20"/>
          <w:color w:val="auto"/>
        </w:rPr>
      </w:pPr>
      <w:r>
        <w:rPr>
          <w:rFonts w:ascii="Arial" w:cs="Arial" w:eastAsia="Arial" w:hAnsi="Arial"/>
          <w:sz w:val="29"/>
          <w:szCs w:val="29"/>
          <w:b w:val="1"/>
          <w:bCs w:val="1"/>
          <w:color w:val="auto"/>
        </w:rPr>
        <w:t>$500,000,000 2.250%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203200</wp:posOffset>
            </wp:positionV>
            <wp:extent cx="10890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May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160655</wp:posOffset>
            </wp:positionV>
            <wp:extent cx="10890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Joint Book-Running Managers</w:t>
      </w:r>
    </w:p>
    <w:p>
      <w:pPr>
        <w:spacing w:after="0" w:line="123"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J.P. Morgan</w:t>
      </w:r>
    </w:p>
    <w:p>
      <w:pPr>
        <w:spacing w:after="0" w:line="5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Morgan Stanley</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Citigroup</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Mizuho Securities</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Senior Co-Managers</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Mitsubishi UFJ Securities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BofA Merrill Lynch</w:t>
      </w:r>
    </w:p>
    <w:p>
      <w:pPr>
        <w:jc w:val="center"/>
        <w:ind w:right="-1220"/>
        <w:spacing w:after="0" w:line="230" w:lineRule="auto"/>
        <w:rPr>
          <w:sz w:val="20"/>
          <w:szCs w:val="20"/>
          <w:color w:val="auto"/>
        </w:rPr>
      </w:pPr>
      <w:r>
        <w:rPr>
          <w:rFonts w:ascii="Arial" w:cs="Arial" w:eastAsia="Arial" w:hAnsi="Arial"/>
          <w:sz w:val="22"/>
          <w:szCs w:val="22"/>
          <w:b w:val="1"/>
          <w:bCs w:val="1"/>
          <w:color w:val="auto"/>
        </w:rPr>
        <w:t>BNP PARIBAS</w:t>
      </w:r>
    </w:p>
    <w:p>
      <w:pPr>
        <w:jc w:val="center"/>
        <w:ind w:right="-1220"/>
        <w:spacing w:after="0" w:line="231" w:lineRule="auto"/>
        <w:rPr>
          <w:sz w:val="20"/>
          <w:szCs w:val="20"/>
          <w:color w:val="auto"/>
        </w:rPr>
      </w:pPr>
      <w:r>
        <w:rPr>
          <w:rFonts w:ascii="Arial" w:cs="Arial" w:eastAsia="Arial" w:hAnsi="Arial"/>
          <w:sz w:val="22"/>
          <w:szCs w:val="22"/>
          <w:b w:val="1"/>
          <w:bCs w:val="1"/>
          <w:color w:val="auto"/>
        </w:rPr>
        <w:t>SMBC Nikko</w:t>
      </w:r>
    </w:p>
    <w:p>
      <w:pPr>
        <w:jc w:val="center"/>
        <w:ind w:right="-1220"/>
        <w:spacing w:after="0" w:line="230" w:lineRule="auto"/>
        <w:rPr>
          <w:sz w:val="20"/>
          <w:szCs w:val="20"/>
          <w:color w:val="auto"/>
        </w:rPr>
      </w:pPr>
      <w:r>
        <w:rPr>
          <w:rFonts w:ascii="Arial" w:cs="Arial" w:eastAsia="Arial" w:hAnsi="Arial"/>
          <w:sz w:val="22"/>
          <w:szCs w:val="22"/>
          <w:b w:val="1"/>
          <w:bCs w:val="1"/>
          <w:color w:val="auto"/>
        </w:rPr>
        <w:t>The Williams Capital Group, L.P.</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US Bancorp</w:t>
      </w:r>
    </w:p>
    <w:p>
      <w:pPr>
        <w:spacing w:after="0" w:line="134"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Co-Managers</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Barclays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Goldman, Sachs &amp; Co.</w:t>
      </w:r>
    </w:p>
    <w:p>
      <w:pPr>
        <w:jc w:val="center"/>
        <w:ind w:right="-1220"/>
        <w:spacing w:after="0" w:line="230" w:lineRule="auto"/>
        <w:rPr>
          <w:sz w:val="20"/>
          <w:szCs w:val="20"/>
          <w:color w:val="auto"/>
        </w:rPr>
      </w:pPr>
      <w:r>
        <w:rPr>
          <w:rFonts w:ascii="Arial" w:cs="Arial" w:eastAsia="Arial" w:hAnsi="Arial"/>
          <w:sz w:val="22"/>
          <w:szCs w:val="22"/>
          <w:b w:val="1"/>
          <w:bCs w:val="1"/>
          <w:color w:val="auto"/>
        </w:rPr>
        <w:t>HSBC</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lowerRoman"/>
      <w:start w:val="1"/>
    </w:lvl>
  </w:abstractNum>
  <w:abstractNum w:abstractNumId="10">
    <w:nsid w:val="2CA88611"/>
    <w:multiLevelType w:val="hybridMultilevel"/>
    <w:lvl w:ilvl="0">
      <w:lvlJc w:val="left"/>
      <w:lvlText w:val="•"/>
      <w:numFmt w:val="bullet"/>
      <w:start w:val="1"/>
    </w:lvl>
    <w:lvl w:ilvl="1">
      <w:lvlJc w:val="left"/>
      <w:lvlText w:val="•"/>
      <w:numFmt w:val="bullet"/>
      <w:start w:val="1"/>
    </w:lvl>
  </w:abstractNum>
  <w:abstractNum w:abstractNumId="11">
    <w:nsid w:val="836C40E"/>
    <w:multiLevelType w:val="hybridMultilevel"/>
    <w:lvl w:ilvl="0">
      <w:lvlJc w:val="left"/>
      <w:lvlText w:val="•"/>
      <w:numFmt w:val="bullet"/>
      <w:start w:val="1"/>
    </w:lvl>
    <w:lvl w:ilvl="1">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lvl w:ilvl="1">
      <w:lvlJc w:val="left"/>
      <w:lvlText w:val="•"/>
      <w:numFmt w:val="bullet"/>
      <w:start w:val="1"/>
    </w:lvl>
  </w:abstractNum>
  <w:abstractNum w:abstractNumId="34">
    <w:nsid w:val="2D517796"/>
    <w:multiLevelType w:val="hybridMultilevel"/>
    <w:lvl w:ilvl="0">
      <w:lvlJc w:val="left"/>
      <w:lvlText w:val="•"/>
      <w:numFmt w:val="bullet"/>
      <w:start w:val="1"/>
    </w:lvl>
    <w:lvl w:ilvl="1">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lvl w:ilvl="1">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2019-12-05T16:40:38Z</dcterms:created>
  <dcterms:modified xsi:type="dcterms:W3CDTF">2019-12-05T16:40:38Z</dcterms:modified>
</cp:coreProperties>
</file>