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365125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DATE OF REPORT (DATE OF EARLIEST EVENT REPORTED): October 19,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401955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544" w:right="7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80" w:space="720"/>
            <w:col w:w="2660"/>
          </w:cols>
          <w:pgMar w:left="240" w:top="544" w:right="739" w:bottom="1440" w:gutter="0" w:footer="0" w:header="0"/>
          <w:type w:val="continuous"/>
        </w:sectPr>
      </w:pPr>
    </w:p>
    <w:p>
      <w:pPr>
        <w:spacing w:after="0" w:line="246"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544" w:right="73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532130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544"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Registrant's news release dated October 19, 2009, regarding its third quarter 2009 results of operations and financial condition is attached hereto as Exhibit 99 and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37"/>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940" w:type="dxa"/>
            <w:vAlign w:val="bottom"/>
          </w:tcPr>
          <w:p>
            <w:pPr>
              <w:spacing w:after="0"/>
              <w:rPr>
                <w:sz w:val="20"/>
                <w:szCs w:val="20"/>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2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140" w:type="dxa"/>
            <w:vAlign w:val="bottom"/>
            <w:gridSpan w:val="2"/>
          </w:tcPr>
          <w:p>
            <w:pPr>
              <w:ind w:left="940"/>
              <w:spacing w:after="0"/>
              <w:rPr>
                <w:sz w:val="20"/>
                <w:szCs w:val="20"/>
                <w:color w:val="auto"/>
              </w:rPr>
            </w:pPr>
            <w:r>
              <w:rPr>
                <w:rFonts w:ascii="Arial" w:cs="Arial" w:eastAsia="Arial" w:hAnsi="Arial"/>
                <w:sz w:val="18"/>
                <w:szCs w:val="18"/>
                <w:color w:val="auto"/>
              </w:rPr>
              <w:t>Registrant’s News Release</w:t>
            </w: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940"/>
              <w:spacing w:after="0"/>
              <w:rPr>
                <w:sz w:val="20"/>
                <w:szCs w:val="20"/>
                <w:color w:val="auto"/>
              </w:rPr>
            </w:pPr>
            <w:r>
              <w:rPr>
                <w:rFonts w:ascii="Arial" w:cs="Arial" w:eastAsia="Arial" w:hAnsi="Arial"/>
                <w:sz w:val="18"/>
                <w:szCs w:val="18"/>
                <w:color w:val="auto"/>
              </w:rPr>
              <w:t>Dated October 19, 2009 (furnished pursuant to Item 2.02)</w:t>
            </w: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420" w:hanging="290"/>
        <w:spacing w:after="0"/>
        <w:tabs>
          <w:tab w:leader="none" w:pos="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420" w:right="680" w:hanging="290"/>
        <w:spacing w:after="0" w:line="277" w:lineRule="auto"/>
        <w:tabs>
          <w:tab w:leader="none" w:pos="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420" w:hanging="290"/>
        <w:spacing w:after="0"/>
        <w:tabs>
          <w:tab w:leader="none" w:pos="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420" w:hanging="290"/>
        <w:spacing w:after="0"/>
        <w:tabs>
          <w:tab w:leader="none" w:pos="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420" w:hanging="290"/>
        <w:spacing w:after="0"/>
        <w:tabs>
          <w:tab w:leader="none" w:pos="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420" w:hanging="290"/>
        <w:spacing w:after="0"/>
        <w:tabs>
          <w:tab w:leader="none" w:pos="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400" w:right="160" w:hanging="270"/>
        <w:spacing w:after="0" w:line="277" w:lineRule="auto"/>
        <w:tabs>
          <w:tab w:leader="none" w:pos="400" w:val="left"/>
        </w:tabs>
        <w:numPr>
          <w:ilvl w:val="1"/>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400" w:hanging="270"/>
        <w:spacing w:after="0"/>
        <w:tabs>
          <w:tab w:leader="none" w:pos="400" w:val="left"/>
        </w:tabs>
        <w:numPr>
          <w:ilvl w:val="1"/>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400" w:hanging="270"/>
        <w:spacing w:after="0"/>
        <w:tabs>
          <w:tab w:leader="none" w:pos="4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252" w:lineRule="exact"/>
        <w:rPr>
          <w:rFonts w:ascii="Arial" w:cs="Arial" w:eastAsia="Arial" w:hAnsi="Arial"/>
          <w:sz w:val="18"/>
          <w:szCs w:val="18"/>
          <w:color w:val="auto"/>
        </w:rPr>
      </w:pPr>
    </w:p>
    <w:p>
      <w:pPr>
        <w:ind w:left="400" w:right="200" w:hanging="270"/>
        <w:spacing w:after="0" w:line="277" w:lineRule="auto"/>
        <w:tabs>
          <w:tab w:leader="none" w:pos="400" w:val="left"/>
        </w:tabs>
        <w:numPr>
          <w:ilvl w:val="1"/>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400" w:hanging="270"/>
        <w:spacing w:after="0"/>
        <w:tabs>
          <w:tab w:leader="none" w:pos="400" w:val="left"/>
        </w:tabs>
        <w:numPr>
          <w:ilvl w:val="1"/>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420" w:hanging="290"/>
        <w:spacing w:after="0"/>
        <w:tabs>
          <w:tab w:leader="none" w:pos="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400" w:hanging="270"/>
        <w:spacing w:after="0"/>
        <w:tabs>
          <w:tab w:leader="none" w:pos="4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380" w:hanging="26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TI and its customers and suppliers to access their bank accounts and lines of credit or otherwise access the capital markets;</w:t>
      </w:r>
    </w:p>
    <w:p>
      <w:pPr>
        <w:spacing w:after="0" w:line="252" w:lineRule="exact"/>
        <w:rPr>
          <w:rFonts w:ascii="Arial" w:cs="Arial" w:eastAsia="Arial" w:hAnsi="Arial"/>
          <w:sz w:val="18"/>
          <w:szCs w:val="18"/>
          <w:color w:val="auto"/>
        </w:rPr>
      </w:pPr>
    </w:p>
    <w:p>
      <w:pPr>
        <w:ind w:left="380" w:hanging="264"/>
        <w:spacing w:after="0"/>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380" w:hanging="250"/>
        <w:spacing w:after="0"/>
        <w:tabs>
          <w:tab w:leader="none" w:pos="3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400" w:right="20" w:hanging="270"/>
        <w:spacing w:after="0" w:line="277" w:lineRule="auto"/>
        <w:tabs>
          <w:tab w:leader="none" w:pos="4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00" w:lineRule="exact"/>
        <w:rPr>
          <w:sz w:val="20"/>
          <w:szCs w:val="20"/>
          <w:color w:val="auto"/>
        </w:rPr>
      </w:pPr>
    </w:p>
    <w:p>
      <w:pPr>
        <w:spacing w:after="0" w:line="24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a more detailed discussion of these factors, see Item 1A, “Risk Factors” in the Company’s most recently filed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ectPr>
          <w:pgSz w:w="11900" w:h="16838" w:orient="portrait"/>
          <w:cols w:equalWidth="0" w:num="1">
            <w:col w:w="11420"/>
          </w:cols>
          <w:pgMar w:left="240" w:top="517" w:right="239" w:bottom="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580" w:val="left"/>
          <w:tab w:leader="none" w:pos="6080" w:val="left"/>
        </w:tabs>
        <w:rPr>
          <w:sz w:val="20"/>
          <w:szCs w:val="20"/>
          <w:color w:val="auto"/>
        </w:rPr>
      </w:pPr>
      <w:r>
        <w:rPr>
          <w:rFonts w:ascii="Arial" w:cs="Arial" w:eastAsia="Arial" w:hAnsi="Arial"/>
          <w:sz w:val="18"/>
          <w:szCs w:val="18"/>
          <w:color w:val="auto"/>
        </w:rPr>
        <w:t>Date: October 19,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883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280"/>
          </w:cols>
          <w:pgMar w:left="240" w:top="12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financial results for 3Q09</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4:30 p.m. Central time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www.ti.com/ir</w:t>
      </w:r>
    </w:p>
    <w:p>
      <w:pPr>
        <w:spacing w:after="0" w:line="200" w:lineRule="exact"/>
        <w:rPr>
          <w:sz w:val="20"/>
          <w:szCs w:val="20"/>
          <w:color w:val="auto"/>
        </w:rPr>
      </w:pPr>
    </w:p>
    <w:p>
      <w:pPr>
        <w:spacing w:after="0" w:line="2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DALLAS (Oct. 19, 2009) – Texas Instruments Incorporated (TI) (NYSE: TXN) today announced third-quarter revenue of $2.88 billion, net income of $538 million and earnings per share (EPS) of $0.42.</w:t>
      </w:r>
    </w:p>
    <w:p>
      <w:pPr>
        <w:spacing w:after="0" w:line="1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performance in the quarter exceeded our expectations and was led by a second consecutive quarter of 20-percent growth in Analog,” said Rich Templeton, TI chairman, president and CEO. “We are encouraged with the strong sequential increase in demand for our products over the past two quarters as our customers are winding down their inventory corrections and have begun to increase production levels in their factories. This revenue growth, combined with our early actions to pare costs so that we would not be dependent upon an uncertain rebound in the overall economy, has resulted in solid improvements in our profitability.</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balance sheet is strong and has allowed us to opportunistically make investments in Analog and Embedded Processing throughout this downturn that should provide returns for years to come. For example, we are increasing our investments in manufacturing capacity to support higher levels of growth, including start-up of the world’s first facility to produce analog chips on 300-millimeter wafers. Applying advanced manufacturing technology to analog at an attractive cost will give TI an opportunity to accelerate our strategy and extend our leadership.</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“Although we still have much work to do, our progress has been good.”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3Q09 financial summary</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00" w:type="dxa"/>
            <w:vAlign w:val="bottom"/>
            <w:gridSpan w:val="2"/>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660" w:type="dxa"/>
            <w:vAlign w:val="bottom"/>
            <w:gridSpan w:val="3"/>
          </w:tcPr>
          <w:p>
            <w:pPr>
              <w:spacing w:after="0"/>
              <w:rPr>
                <w:sz w:val="20"/>
                <w:szCs w:val="20"/>
                <w:color w:val="auto"/>
              </w:rPr>
            </w:pPr>
            <w:r>
              <w:rPr>
                <w:rFonts w:ascii="Arial" w:cs="Arial" w:eastAsia="Arial" w:hAnsi="Arial"/>
                <w:sz w:val="18"/>
                <w:szCs w:val="18"/>
                <w:i w:val="1"/>
                <w:iCs w:val="1"/>
                <w:color w:val="auto"/>
                <w:w w:val="95"/>
              </w:rPr>
              <w:t>Amounts are in millions of dollars, except per-share amounts.</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3Q09</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3Q08</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vs. 3Q08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2Q09</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vs. 2Q09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2880</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763</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746</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343</w:t>
            </w:r>
          </w:p>
        </w:tc>
        <w:tc>
          <w:tcPr>
            <w:tcW w:w="130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538</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0.42</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0.43</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0.20</w:t>
            </w:r>
          </w:p>
        </w:tc>
        <w:tc>
          <w:tcPr>
            <w:tcW w:w="130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operations: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834</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TI’s revenue declined 15 percent compared with the third quarter of 2008 and increased 17 percent compared with the second quarter of 2009. The decline from a year ago was the result of declines across all segments, particularly the Wireless segment. The increase from the prior quarter was due to growth in all segments, particularly the Analog segment.</w:t>
      </w:r>
    </w:p>
    <w:p>
      <w:pPr>
        <w:spacing w:after="0" w:line="20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Despite revenue that was $507 million lower compared with the year-ago quarter, TI’s operating profit grew $17 million primarily due to lower operating expenses, as well as lower manufacturing costs. Operating profit increased $420 million compared with the second quarter primarily due to higher revenue and the associated gross profit. Operating profit increased from the prior quarter in all segments.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3Q09 segment results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87"/>
        </w:trPr>
        <w:tc>
          <w:tcPr>
            <w:tcW w:w="2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3Q09</w:t>
            </w:r>
          </w:p>
        </w:tc>
        <w:tc>
          <w:tcPr>
            <w:tcW w:w="4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3Q08</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vs. 3Q08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2Q09</w:t>
            </w:r>
          </w:p>
        </w:tc>
        <w:tc>
          <w:tcPr>
            <w:tcW w:w="120" w:type="dxa"/>
            <w:vAlign w:val="bottom"/>
          </w:tcPr>
          <w:p>
            <w:pPr>
              <w:spacing w:after="0"/>
              <w:rPr>
                <w:sz w:val="24"/>
                <w:szCs w:val="24"/>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vs. 2Q09</w:t>
            </w:r>
          </w:p>
        </w:tc>
        <w:tc>
          <w:tcPr>
            <w:tcW w:w="120" w:type="dxa"/>
            <w:vAlign w:val="bottom"/>
          </w:tcPr>
          <w:p>
            <w:pPr>
              <w:spacing w:after="0"/>
              <w:rPr>
                <w:sz w:val="24"/>
                <w:szCs w:val="24"/>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Note</w:t>
            </w:r>
          </w:p>
        </w:tc>
        <w:tc>
          <w:tcPr>
            <w:tcW w:w="1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3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Analog:</w:t>
            </w:r>
          </w:p>
        </w:tc>
        <w:tc>
          <w:tcPr>
            <w:tcW w:w="12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Embedded Processing:</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393</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427</w:t>
            </w: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60" w:type="dxa"/>
            <w:vAlign w:val="bottom"/>
            <w:gridSpan w:val="2"/>
          </w:tcPr>
          <w:p>
            <w:pPr>
              <w:jc w:val="right"/>
              <w:ind w:right="3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30"/>
        </w:trPr>
        <w:tc>
          <w:tcPr>
            <w:tcW w:w="3200" w:type="dxa"/>
            <w:vAlign w:val="bottom"/>
            <w:gridSpan w:val="3"/>
          </w:tcPr>
          <w:p>
            <w:pPr>
              <w:spacing w:after="0"/>
              <w:rPr>
                <w:sz w:val="20"/>
                <w:szCs w:val="20"/>
                <w:color w:val="auto"/>
              </w:rPr>
            </w:pPr>
            <w:r>
              <w:rPr>
                <w:rFonts w:ascii="Arial" w:cs="Arial" w:eastAsia="Arial" w:hAnsi="Arial"/>
                <w:sz w:val="18"/>
                <w:szCs w:val="18"/>
                <w:color w:val="auto"/>
              </w:rPr>
              <w:t>Operating profit</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Wireless:</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628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756</w:t>
            </w: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523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60" w:type="dxa"/>
            <w:vAlign w:val="bottom"/>
            <w:gridSpan w:val="2"/>
          </w:tcPr>
          <w:p>
            <w:pPr>
              <w:jc w:val="right"/>
              <w:ind w:right="3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30"/>
        </w:trPr>
        <w:tc>
          <w:tcPr>
            <w:tcW w:w="3200" w:type="dxa"/>
            <w:vAlign w:val="bottom"/>
            <w:gridSpan w:val="3"/>
          </w:tcPr>
          <w:p>
            <w:pPr>
              <w:spacing w:after="0"/>
              <w:rPr>
                <w:sz w:val="20"/>
                <w:szCs w:val="20"/>
                <w:color w:val="auto"/>
              </w:rPr>
            </w:pPr>
            <w:r>
              <w:rPr>
                <w:rFonts w:ascii="Arial" w:cs="Arial" w:eastAsia="Arial" w:hAnsi="Arial"/>
                <w:sz w:val="18"/>
                <w:szCs w:val="18"/>
                <w:color w:val="auto"/>
              </w:rPr>
              <w:t>Operating profit</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272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product categories in each segment are as follows:</w:t>
      </w:r>
    </w:p>
    <w:p>
      <w:pPr>
        <w:spacing w:after="0" w:line="252" w:lineRule="exact"/>
        <w:rPr>
          <w:sz w:val="20"/>
          <w:szCs w:val="20"/>
          <w:color w:val="auto"/>
        </w:rPr>
      </w:pPr>
    </w:p>
    <w:p>
      <w:pPr>
        <w:ind w:left="720" w:right="840"/>
        <w:spacing w:after="0" w:line="266" w:lineRule="auto"/>
        <w:rPr>
          <w:sz w:val="20"/>
          <w:szCs w:val="20"/>
          <w:color w:val="auto"/>
        </w:rPr>
      </w:pPr>
      <w:r>
        <w:rPr>
          <w:rFonts w:ascii="Arial" w:cs="Arial" w:eastAsia="Arial" w:hAnsi="Arial"/>
          <w:sz w:val="18"/>
          <w:szCs w:val="18"/>
          <w:i w:val="1"/>
          <w:iCs w:val="1"/>
          <w:color w:val="auto"/>
        </w:rPr>
        <w:t xml:space="preserve">Analog: high-volume analog </w:t>
      </w:r>
      <w:r>
        <w:rPr>
          <w:rFonts w:ascii="Arial" w:cs="Arial" w:eastAsia="Arial" w:hAnsi="Arial"/>
          <w:sz w:val="18"/>
          <w:szCs w:val="18"/>
          <w:color w:val="auto"/>
        </w:rPr>
        <w:t>&amp;</w:t>
      </w:r>
      <w:r>
        <w:rPr>
          <w:rFonts w:ascii="Arial" w:cs="Arial" w:eastAsia="Arial" w:hAnsi="Arial"/>
          <w:sz w:val="18"/>
          <w:szCs w:val="18"/>
          <w:i w:val="1"/>
          <w:iCs w:val="1"/>
          <w:color w:val="auto"/>
        </w:rPr>
        <w:t xml:space="preserve"> logic, high-performance analog (includes data converters, amplifiers and interface products) and power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-251460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i w:val="1"/>
          <w:iCs w:val="1"/>
          <w:color w:val="auto"/>
        </w:rPr>
        <w:t>Embedded Processing: DSPs and microcontrollers used in catalog, communications infrastructure and automotive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Wireless: DSPs and analog used in basebands for handsets, OMAP™ applications processors and connectivity products for wireless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-76835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products, calculators, ASIC products, RISC microprocessors and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-142875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5" w:lineRule="exact"/>
        <w:rPr>
          <w:sz w:val="20"/>
          <w:szCs w:val="20"/>
          <w:color w:val="auto"/>
        </w:rPr>
      </w:pPr>
    </w:p>
    <w:p>
      <w:pPr>
        <w:ind w:left="340" w:hanging="308"/>
        <w:spacing w:after="0" w:line="30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decline in Analog revenue from a year ago was due to lower high-volume analog &amp; logic and high-performance analog revenue. Power management revenue increased slightly. The increase in Analog revenue from the prior quarter was due to growth in all three product categories.</w:t>
      </w:r>
    </w:p>
    <w:p>
      <w:pPr>
        <w:spacing w:after="0" w:line="173" w:lineRule="exact"/>
        <w:rPr>
          <w:rFonts w:ascii="Arial" w:cs="Arial" w:eastAsia="Arial" w:hAnsi="Arial"/>
          <w:sz w:val="17"/>
          <w:szCs w:val="17"/>
          <w:color w:val="auto"/>
        </w:rPr>
      </w:pPr>
    </w:p>
    <w:p>
      <w:pPr>
        <w:jc w:val="both"/>
        <w:ind w:left="340" w:hanging="308"/>
        <w:spacing w:after="0" w:line="34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decline in Embedded Processing revenue from a year ago was due to lower revenue from catalog, communications infrastructure and automotive products. The increase in Embedded Processing revenue from the prior quarter was primarily due to higher catalog product revenue, while automotive</w:t>
      </w:r>
    </w:p>
    <w:p>
      <w:pPr>
        <w:sectPr>
          <w:pgSz w:w="11900" w:h="16838" w:orient="portrait"/>
          <w:cols w:equalWidth="0" w:num="1">
            <w:col w:w="11420"/>
          </w:cols>
          <w:pgMar w:left="240" w:top="125" w:right="239" w:bottom="0" w:gutter="0" w:footer="0" w:header="0"/>
        </w:sectPr>
      </w:pPr>
    </w:p>
    <w:bookmarkStart w:id="4" w:name="page5"/>
    <w:bookmarkEnd w:id="4"/>
    <w:p>
      <w:pPr>
        <w:ind w:left="340"/>
        <w:spacing w:after="0"/>
        <w:rPr>
          <w:sz w:val="20"/>
          <w:szCs w:val="20"/>
          <w:color w:val="auto"/>
        </w:rPr>
      </w:pPr>
      <w:r>
        <w:rPr>
          <w:rFonts w:ascii="Arial" w:cs="Arial" w:eastAsia="Arial" w:hAnsi="Arial"/>
          <w:sz w:val="18"/>
          <w:szCs w:val="18"/>
          <w:color w:val="auto"/>
        </w:rPr>
        <w:t>product revenue grew by a lesser amount and communications infrastructure product revenue was even.</w:t>
      </w:r>
    </w:p>
    <w:p>
      <w:pPr>
        <w:spacing w:after="0" w:line="252" w:lineRule="exact"/>
        <w:rPr>
          <w:sz w:val="20"/>
          <w:szCs w:val="20"/>
          <w:color w:val="auto"/>
        </w:rPr>
      </w:pPr>
    </w:p>
    <w:p>
      <w:pPr>
        <w:jc w:val="both"/>
        <w:ind w:left="340" w:hanging="308"/>
        <w:spacing w:after="0" w:line="286"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Wireless revenue declined from a year ago due to lower baseband revenue. Revenue from OMAP applications processors also declined, although by a lesser amount, while revenue from connectivity products increased. Wireless revenue increased from the prior quarter primarily due to higher revenue from baseband products, and by a lesser amount, increased revenue from connectivity products and OMAP applications processors.</w:t>
      </w:r>
    </w:p>
    <w:p>
      <w:pPr>
        <w:spacing w:after="0" w:line="192" w:lineRule="exact"/>
        <w:rPr>
          <w:rFonts w:ascii="Arial" w:cs="Arial" w:eastAsia="Arial" w:hAnsi="Arial"/>
          <w:sz w:val="17"/>
          <w:szCs w:val="17"/>
          <w:color w:val="auto"/>
        </w:rPr>
      </w:pPr>
    </w:p>
    <w:p>
      <w:pPr>
        <w:jc w:val="both"/>
        <w:ind w:left="340" w:hanging="308"/>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revenue decreased from a year ago due to declines in RISC microprocessors, DLP products, ASIC products, royalties and calculators. Other revenue increased from the prior quarter due to a seasonal increase in calculators, as well as higher revenue from DLP products, royalties and ASIC products. Revenue from RISC microprocessors declined from the prior quarter.</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From a year ago, operating profit increased in the Analog segment primarily due to operating expense reductions, as well as higher gross profit. Operating profit in the Embedded Processing and Other segments increased due to operating expense reductions. Operating profit in the Wireless segment declined due to lower gross profit, which was partially offset by lower operating expenses.</w:t>
      </w:r>
    </w:p>
    <w:p>
      <w:pPr>
        <w:spacing w:after="0" w:line="20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Compared with the prior quarter, operating profit increased in the Analog, Embedded Processing and Other segments due to higher gross profit. Operating profit increased in the Wireless segment primarily due to the combination of higher gross profit and lower restructuring charges.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Restructuring charges were as follows:</w:t>
            </w: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3Q09</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3Q08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2Q09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Embedded Processing:</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3Q09 additional financial information</w:t>
      </w:r>
    </w:p>
    <w:p>
      <w:pPr>
        <w:spacing w:after="0" w:line="200" w:lineRule="exact"/>
        <w:rPr>
          <w:sz w:val="20"/>
          <w:szCs w:val="20"/>
          <w:color w:val="auto"/>
        </w:rPr>
      </w:pPr>
    </w:p>
    <w:p>
      <w:pPr>
        <w:spacing w:after="0" w:line="299" w:lineRule="exact"/>
        <w:rPr>
          <w:sz w:val="20"/>
          <w:szCs w:val="20"/>
          <w:color w:val="auto"/>
        </w:rPr>
      </w:pP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Orders were $3.11 billion, down 4 percent from a year ago but up 11 percent from the prior quarter.</w:t>
      </w:r>
    </w:p>
    <w:p>
      <w:pPr>
        <w:spacing w:after="0" w:line="23" w:lineRule="exact"/>
        <w:rPr>
          <w:rFonts w:ascii="Arial" w:cs="Arial" w:eastAsia="Arial" w:hAnsi="Arial"/>
          <w:sz w:val="18"/>
          <w:szCs w:val="18"/>
          <w:color w:val="auto"/>
        </w:rPr>
      </w:pP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Inventory was $1.12 billion, down $459 million from a year ago and up $53 million from the prior quarter.</w:t>
      </w:r>
    </w:p>
    <w:p>
      <w:pPr>
        <w:spacing w:after="0" w:line="9" w:lineRule="exact"/>
        <w:rPr>
          <w:rFonts w:ascii="Arial" w:cs="Arial" w:eastAsia="Arial" w:hAnsi="Arial"/>
          <w:sz w:val="18"/>
          <w:szCs w:val="18"/>
          <w:color w:val="auto"/>
        </w:rPr>
      </w:pPr>
    </w:p>
    <w:p>
      <w:pPr>
        <w:ind w:left="340" w:hanging="228"/>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 were $226 million in the quarter, an increase from $197 million in the year-ago quarter and an increase from $47 million in the prior quarter.</w:t>
      </w: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 used $251 million in the quarter to repurchase 10.5 million shares of its common stock and paid dividends of $138 million.</w:t>
      </w:r>
    </w:p>
    <w:p>
      <w:pPr>
        <w:spacing w:after="0" w:line="9" w:lineRule="exact"/>
        <w:rPr>
          <w:rFonts w:ascii="Arial" w:cs="Arial" w:eastAsia="Arial" w:hAnsi="Arial"/>
          <w:sz w:val="18"/>
          <w:szCs w:val="18"/>
          <w:color w:val="auto"/>
        </w:rPr>
      </w:pP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and cash equivalents plus short-term investments increased to $2.83 billion at the end of the quarter.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of 2009, TI expects:</w:t>
      </w:r>
    </w:p>
    <w:p>
      <w:pPr>
        <w:spacing w:after="0" w:line="252" w:lineRule="exact"/>
        <w:rPr>
          <w:sz w:val="20"/>
          <w:szCs w:val="20"/>
          <w:color w:val="auto"/>
        </w:rPr>
      </w:pPr>
    </w:p>
    <w:p>
      <w:pPr>
        <w:ind w:left="500" w:hanging="22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$2.78 – 3.02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Earnings per share: $0.42 – 0.50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EPS estimate includes a negative impact of $0.01 per share resulting from restructuring charges.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 will update its fourth-quarter outlook on December 8,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2009, TI expects approximately the following:</w:t>
      </w:r>
    </w:p>
    <w:p>
      <w:pPr>
        <w:spacing w:after="0" w:line="252" w:lineRule="exact"/>
        <w:rPr>
          <w:sz w:val="20"/>
          <w:szCs w:val="20"/>
          <w:color w:val="auto"/>
        </w:rPr>
      </w:pPr>
    </w:p>
    <w:p>
      <w:pPr>
        <w:ind w:left="500" w:hanging="22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R&amp;D expense: $1.5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$800 million, up from the prior expectation of $300 million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Depreciation: $900 million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effective tax rate: 28%, up from the prior expectation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8"/>
          </w:tcPr>
          <w:p>
            <w:pPr>
              <w:jc w:val="right"/>
              <w:ind w:right="1030"/>
              <w:spacing w:after="0"/>
              <w:rPr>
                <w:sz w:val="20"/>
                <w:szCs w:val="20"/>
                <w:color w:val="auto"/>
              </w:rPr>
            </w:pPr>
            <w:r>
              <w:rPr>
                <w:rFonts w:ascii="Arial" w:cs="Arial" w:eastAsia="Arial" w:hAnsi="Arial"/>
                <w:sz w:val="18"/>
                <w:szCs w:val="18"/>
                <w:b w:val="1"/>
                <w:bCs w:val="1"/>
                <w:color w:val="auto"/>
              </w:rPr>
              <w:t>For Three Months Ended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7"/>
              </w:rPr>
              <w:t>Sept. 30, 2009</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0"/>
              </w:rPr>
              <w:t>Sept. 30, 2008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8"/>
              </w:rPr>
              <w:t>June 30, 2009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2,880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1,399</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1,481</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368</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340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Restructuring expense</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763</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765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227</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538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.42</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1,255</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1,268</w:t>
            </w: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1,315</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51.4%</w:t>
            </w: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SG&amp;A</w:t>
            </w:r>
          </w:p>
        </w:tc>
        <w:tc>
          <w:tcPr>
            <w:tcW w:w="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11.8%</w:t>
            </w: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753"/>
        </w:trPr>
        <w:tc>
          <w:tcPr>
            <w:tcW w:w="20" w:type="dxa"/>
            <w:vAlign w:val="bottom"/>
          </w:tcPr>
          <w:p>
            <w:pPr>
              <w:spacing w:after="0"/>
              <w:rPr>
                <w:sz w:val="24"/>
                <w:szCs w:val="24"/>
                <w:color w:val="auto"/>
              </w:rPr>
            </w:pPr>
          </w:p>
        </w:tc>
        <w:tc>
          <w:tcPr>
            <w:tcW w:w="70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0"/>
              </w:rPr>
              <w:t>Sept. 30, 2009</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Sept. 30, 2008</w:t>
            </w:r>
          </w:p>
        </w:tc>
        <w:tc>
          <w:tcPr>
            <w:tcW w:w="8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June 30,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1,294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1,715</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1,533</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($22), ($28) and ($23)</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1,435</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89</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 in process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260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592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6,138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6,212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6,599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7,499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3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(3,654)</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(3,982)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627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926</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138</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124</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11,903</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12,466</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959</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976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profit sharing and retirement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464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2,465</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 cumulative</w:t>
            </w:r>
          </w:p>
        </w:tc>
        <w:tc>
          <w:tcPr>
            <w:tcW w:w="340" w:type="dxa"/>
            <w:vAlign w:val="bottom"/>
          </w:tcPr>
          <w:p>
            <w:pPr>
              <w:spacing w:after="0"/>
              <w:rPr>
                <w:sz w:val="17"/>
                <w:szCs w:val="17"/>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preferred. None issued.</w:t>
            </w:r>
          </w:p>
        </w:tc>
        <w:tc>
          <w:tcPr>
            <w:tcW w:w="3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$1 par value. Authorized -- 2,400,000,000 shares. Shares issued: Sept. 30, 2009 -</w:t>
            </w:r>
          </w:p>
        </w:tc>
        <w:tc>
          <w:tcPr>
            <w:tcW w:w="34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1,740</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- 1,739,770,537; Sept. 30, 2008 -- 1,739,717,573; June 30, 2009 -- 1,739,734,081</w:t>
            </w:r>
          </w:p>
        </w:tc>
        <w:tc>
          <w:tcPr>
            <w:tcW w:w="34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1,071</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21,562</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Shares: Sept. 30, 2009 -- 486,897,139; Sept. 30, 2008 -- 443,292,628; June 30, 2009 --</w:t>
            </w:r>
          </w:p>
        </w:tc>
        <w:tc>
          <w:tcPr>
            <w:tcW w:w="340" w:type="dxa"/>
            <w:vAlign w:val="bottom"/>
          </w:tcPr>
          <w:p>
            <w:pPr>
              <w:spacing w:after="0"/>
              <w:rPr>
                <w:sz w:val="18"/>
                <w:szCs w:val="18"/>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(14,257)</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ind w:left="340"/>
              <w:spacing w:after="0"/>
              <w:rPr>
                <w:sz w:val="20"/>
                <w:szCs w:val="20"/>
                <w:color w:val="auto"/>
              </w:rPr>
            </w:pPr>
            <w:r>
              <w:rPr>
                <w:rFonts w:ascii="Arial" w:cs="Arial" w:eastAsia="Arial" w:hAnsi="Arial"/>
                <w:sz w:val="18"/>
                <w:szCs w:val="18"/>
                <w:color w:val="auto"/>
              </w:rPr>
              <w:t>478,309,646</w:t>
            </w:r>
          </w:p>
        </w:tc>
        <w:tc>
          <w:tcPr>
            <w:tcW w:w="3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(13,481)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(678)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9,438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10,094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11,903</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12,466</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11,510</w:t>
            </w:r>
          </w:p>
        </w:tc>
        <w:tc>
          <w:tcPr>
            <w:tcW w:w="0" w:type="dxa"/>
            <w:vAlign w:val="bottom"/>
          </w:tcPr>
          <w:p>
            <w:pPr>
              <w:spacing w:after="0"/>
              <w:rPr>
                <w:sz w:val="1"/>
                <w:szCs w:val="1"/>
                <w:color w:val="auto"/>
              </w:rPr>
            </w:pPr>
          </w:p>
        </w:tc>
      </w:tr>
      <w:tr>
        <w:trPr>
          <w:trHeight w:val="990"/>
        </w:trPr>
        <w:tc>
          <w:tcPr>
            <w:tcW w:w="20" w:type="dxa"/>
            <w:vAlign w:val="bottom"/>
          </w:tcPr>
          <w:p>
            <w:pPr>
              <w:spacing w:after="0"/>
              <w:rPr>
                <w:sz w:val="24"/>
                <w:szCs w:val="24"/>
                <w:color w:val="auto"/>
              </w:rPr>
            </w:pPr>
          </w:p>
        </w:tc>
        <w:tc>
          <w:tcPr>
            <w:tcW w:w="7420" w:type="dxa"/>
            <w:vAlign w:val="bottom"/>
            <w:tcBorders>
              <w:top w:val="single" w:sz="8" w:color="CCEEFF"/>
              <w:bottom w:val="single" w:sz="8" w:color="808080"/>
            </w:tcBorders>
          </w:tcPr>
          <w:p>
            <w:pPr>
              <w:spacing w:after="0"/>
              <w:rPr>
                <w:sz w:val="24"/>
                <w:szCs w:val="24"/>
                <w:color w:val="auto"/>
              </w:rPr>
            </w:pPr>
          </w:p>
        </w:tc>
        <w:tc>
          <w:tcPr>
            <w:tcW w:w="340" w:type="dxa"/>
            <w:vAlign w:val="bottom"/>
            <w:tcBorders>
              <w:top w:val="single" w:sz="8" w:color="auto"/>
              <w:bottom w:val="single" w:sz="8" w:color="808080"/>
            </w:tcBorders>
          </w:tcPr>
          <w:p>
            <w:pPr>
              <w:spacing w:after="0"/>
              <w:rPr>
                <w:sz w:val="24"/>
                <w:szCs w:val="24"/>
                <w:color w:val="auto"/>
              </w:rPr>
            </w:pPr>
          </w:p>
        </w:tc>
        <w:tc>
          <w:tcPr>
            <w:tcW w:w="82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340" w:type="dxa"/>
            <w:vAlign w:val="bottom"/>
            <w:tcBorders>
              <w:top w:val="single" w:sz="8" w:color="auto"/>
              <w:bottom w:val="single" w:sz="8" w:color="808080"/>
            </w:tcBorders>
          </w:tcPr>
          <w:p>
            <w:pPr>
              <w:spacing w:after="0"/>
              <w:rPr>
                <w:sz w:val="24"/>
                <w:szCs w:val="24"/>
                <w:color w:val="auto"/>
              </w:rPr>
            </w:pPr>
          </w:p>
        </w:tc>
        <w:tc>
          <w:tcPr>
            <w:tcW w:w="80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340" w:type="dxa"/>
            <w:vAlign w:val="bottom"/>
            <w:tcBorders>
              <w:top w:val="single" w:sz="8" w:color="auto"/>
              <w:bottom w:val="single" w:sz="8" w:color="808080"/>
            </w:tcBorders>
          </w:tcPr>
          <w:p>
            <w:pPr>
              <w:spacing w:after="0"/>
              <w:rPr>
                <w:sz w:val="24"/>
                <w:szCs w:val="24"/>
                <w:color w:val="auto"/>
              </w:rPr>
            </w:pPr>
          </w:p>
        </w:tc>
        <w:tc>
          <w:tcPr>
            <w:tcW w:w="80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190"/>
              <w:spacing w:after="0"/>
              <w:rPr>
                <w:sz w:val="20"/>
                <w:szCs w:val="20"/>
                <w:color w:val="auto"/>
              </w:rPr>
            </w:pPr>
            <w:r>
              <w:rPr>
                <w:rFonts w:ascii="Arial" w:cs="Arial" w:eastAsia="Arial" w:hAnsi="Arial"/>
                <w:sz w:val="18"/>
                <w:szCs w:val="18"/>
                <w:b w:val="1"/>
                <w:bCs w:val="1"/>
                <w:color w:val="auto"/>
              </w:rPr>
              <w:t>For Three Months Ended</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0"/>
              </w:rPr>
              <w:t>Sept. 30, 2009</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0"/>
              </w:rPr>
              <w:t>Sept. 30, 2008</w:t>
            </w: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June 30,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563</w:t>
            </w:r>
          </w:p>
        </w:tc>
        <w:tc>
          <w:tcPr>
            <w:tcW w:w="5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Adjustments to net income:</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Amortization of acquisition-related</w:t>
            </w:r>
          </w:p>
        </w:tc>
        <w:tc>
          <w:tcPr>
            <w:tcW w:w="4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42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from changes in:</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(186)</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(53)</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profit sharing and retirement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834</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(226)</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(879)</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long-term investments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Redemptions and sales of long term investments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(950)</w:t>
            </w:r>
          </w:p>
        </w:tc>
        <w:tc>
          <w:tcPr>
            <w:tcW w:w="4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(138)</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(251)</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(355)</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(471)</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420" w:type="dxa"/>
            <w:vAlign w:val="bottom"/>
          </w:tcPr>
          <w:p>
            <w:pPr>
              <w:jc w:val="right"/>
              <w:ind w:right="260"/>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1,294</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1,715</w:t>
            </w:r>
          </w:p>
        </w:tc>
        <w:tc>
          <w:tcPr>
            <w:tcW w:w="5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500" w:hanging="141"/>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release are made only as of the date of this release, and the Company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Texas Instruments (NYSE: TXN) helps customers solve problems and develop new electronics that make the world smarter, healthier, safer, greener and more fun. A global semiconductor company, TI innovates through design, sales and manufacturing operations in more than 30 countries. For more information, go to www.ti.com.</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Ÿ"/>
      <w:numFmt w:val="bullet"/>
      <w:start w:val="1"/>
    </w:lvl>
  </w:abstractNum>
  <w:abstractNum w:abstractNumId="5">
    <w:nsid w:val="41B71EFB"/>
    <w:multiLevelType w:val="hybridMultilevel"/>
    <w:lvl w:ilvl="0">
      <w:lvlJc w:val="left"/>
      <w:lvlText w:val="Ÿ"/>
      <w:numFmt w:val="bullet"/>
      <w:start w:val="1"/>
    </w:lvl>
  </w:abstractNum>
  <w:abstractNum w:abstractNumId="6">
    <w:nsid w:val="79E2A9E3"/>
    <w:multiLevelType w:val="hybridMultilevel"/>
    <w:lvl w:ilvl="0">
      <w:lvlJc w:val="left"/>
      <w:lvlText w:val="Ÿ"/>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2019-12-10T02:36:26Z</dcterms:created>
  <dcterms:modified xsi:type="dcterms:W3CDTF">2019-12-10T02:36:26Z</dcterms:modified>
</cp:coreProperties>
</file>