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3473_8k.htm"/>
      <w:bookmarkStart w:id="1" w:name="ksdp253473_8k"/>
      <w:bookmarkEnd w:id="0"/>
      <w:bookmarkEnd w:id="1"/>
      <w:r>
        <w:rPr/>
        <w:t> </w:t>
      </w:r>
    </w:p>
    <w:p>
      <w:pPr>
        <w:pStyle w:val="TextBody"/>
        <w:bidi w:val="0"/>
        <w:spacing w:before="0" w:after="283"/>
        <w:jc w:val="left"/>
        <w:rPr/>
      </w:pPr>
      <w:r>
        <w:rPr/>
        <w:t> </w:t>
      </w:r>
    </w:p>
    <w:p>
      <w:pPr>
        <w:pStyle w:val="TextBody"/>
        <w:bidi w:val="0"/>
        <w:ind w:left="0" w:right="0" w:hanging="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ind w:left="0" w:right="0" w:hanging="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ind w:left="0" w:right="0" w:hanging="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917__20"/>
      <w:bookmarkEnd w:id="2"/>
      <w:r>
        <w:rPr>
          <w:rFonts w:ascii="Times New Roman;Times;Serif" w:hAnsi="Times New Roman;Times;Serif"/>
          <w:b/>
          <w:i w:val="false"/>
          <w:caps w:val="false"/>
          <w:smallCaps w:val="false"/>
          <w:sz w:val="36"/>
        </w:rPr>
        <w:t>8-K</w:t>
      </w:r>
    </w:p>
    <w:p>
      <w:pPr>
        <w:pStyle w:val="TextBody"/>
        <w:bidi w:val="0"/>
        <w:ind w:left="0" w:right="0" w:hanging="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PURSUANT TO SECTION 13 OR 15(d)</w:t>
      </w:r>
      <w:r>
        <w:rPr>
          <w:rFonts w:ascii="Times New Roman;Times;Serif" w:hAnsi="Times New Roman;Times;Serif"/>
          <w:b w:val="false"/>
          <w:i w:val="false"/>
          <w:caps w:val="false"/>
          <w:smallCaps w:val="false"/>
          <w:sz w:val="24"/>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4"/>
        </w:rPr>
        <w:t>September 17, 2026</w:t>
      </w:r>
    </w:p>
    <w:p>
      <w:pPr>
        <w:pStyle w:val="TextBody"/>
        <w:bidi w:val="0"/>
        <w:ind w:left="0" w:right="0" w:hanging="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48"/>
        </w:rPr>
      </w:pPr>
      <w:bookmarkStart w:id="4" w:name="xdx_90A_edei--EntityRegistrantName_c2026"/>
      <w:bookmarkEnd w:id="4"/>
      <w:r>
        <w:rPr>
          <w:rFonts w:ascii="Times New Roman;Times;Serif" w:hAnsi="Times New Roman;Times;Serif"/>
          <w:b/>
          <w:i w:val="false"/>
          <w:caps w:val="false"/>
          <w:smallCaps w:val="false"/>
          <w:sz w:val="48"/>
        </w:rPr>
        <w:t>TEXAS INSTRUMENTS INCORPORATED</w:t>
      </w:r>
      <w:r>
        <w:rPr>
          <w:rFonts w:ascii="Times New Roman;Times;Serif" w:hAnsi="Times New Roman;Times;Serif"/>
          <w:b w:val="false"/>
          <w:i w:val="false"/>
          <w:caps w:val="false"/>
          <w:smallCaps w:val="false"/>
          <w:sz w:val="48"/>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ind w:left="0" w:right="0" w:hanging="0"/>
        <w:jc w:val="center"/>
        <w:rPr>
          <w:sz w:val="20"/>
        </w:rPr>
      </w:pPr>
      <w:r>
        <w:rPr>
          <w:sz w:val="20"/>
        </w:rPr>
        <w:t>____________________________</w:t>
      </w:r>
    </w:p>
    <w:p>
      <w:pPr>
        <w:pStyle w:val="TextBody"/>
        <w:bidi w:val="0"/>
        <w:spacing w:before="0" w:after="283"/>
        <w:jc w:val="left"/>
        <w:rPr/>
      </w:pPr>
      <w:r>
        <w:rPr/>
        <w:t>  </w:t>
      </w:r>
    </w:p>
    <w:tbl>
      <w:tblPr>
        <w:tblW w:w="5130" w:type="dxa"/>
        <w:jc w:val="left"/>
        <w:tblInd w:w="0" w:type="dxa"/>
        <w:tblLayout w:type="fixed"/>
        <w:tblCellMar>
          <w:top w:w="0" w:type="dxa"/>
          <w:left w:w="0" w:type="dxa"/>
          <w:bottom w:w="0" w:type="dxa"/>
          <w:right w:w="0" w:type="dxa"/>
        </w:tblCellMar>
      </w:tblPr>
      <w:tblGrid>
        <w:gridCol w:w="2270"/>
        <w:gridCol w:w="60"/>
        <w:gridCol w:w="1175"/>
        <w:gridCol w:w="60"/>
        <w:gridCol w:w="1565"/>
      </w:tblGrid>
      <w:tr>
        <w:trPr/>
        <w:tc>
          <w:tcPr>
            <w:tcW w:w="2270" w:type="dxa"/>
            <w:tcBorders/>
            <w:vAlign w:val="center"/>
          </w:tcPr>
          <w:p>
            <w:pPr>
              <w:pStyle w:val="TableContents"/>
              <w:bidi w:val="0"/>
              <w:spacing w:before="0" w:after="283"/>
              <w:jc w:val="center"/>
              <w:rPr>
                <w:b/>
                <w:sz w:val="20"/>
              </w:rPr>
            </w:pPr>
            <w:bookmarkStart w:id="5" w:name="xdx_905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b/>
                <w:sz w:val="20"/>
              </w:rPr>
            </w:pPr>
            <w:bookmarkStart w:id="6" w:name="xdx_90A_edei--EntityFileNumber_c20260917"/>
            <w:bookmarkEnd w:id="6"/>
            <w:r>
              <w:rPr>
                <w:b/>
                <w:sz w:val="20"/>
              </w:rPr>
              <w:t>001-03761</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bookmarkStart w:id="7" w:name="xdx_90F_edei--EntityTaxIdentificationNum"/>
            <w:bookmarkEnd w:id="7"/>
            <w:r>
              <w:rPr>
                <w:b/>
                <w:sz w:val="20"/>
              </w:rPr>
              <w:t>75-0289970</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(I.R.S. employer</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identification no.)</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12500 TI Boulevard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4_edei--EntityAddressCityOrTown_c2"/>
      <w:bookmarkEnd w:id="9"/>
      <w:r>
        <w:rPr>
          <w:rFonts w:ascii="Times New Roman;Times;Serif" w:hAnsi="Times New Roman;Times;Serif"/>
          <w:b/>
          <w:i w:val="false"/>
          <w:caps w:val="false"/>
          <w:smallCaps w:val="false"/>
          <w:sz w:val="20"/>
        </w:rPr>
        <w:t xml:space="preserve">Dallas, </w:t>
      </w:r>
      <w:bookmarkStart w:id="10" w:name="xdx_90A_edei--EntityAddressStateOrProvin"/>
      <w:bookmarkEnd w:id="10"/>
      <w:r>
        <w:rPr>
          <w:rFonts w:ascii="Times New Roman;Times;Serif" w:hAnsi="Times New Roman;Times;Serif"/>
          <w:b/>
          <w:i w:val="false"/>
          <w:caps w:val="false"/>
          <w:smallCaps w:val="false"/>
          <w:sz w:val="20"/>
        </w:rPr>
        <w:t xml:space="preserve">Texas </w:t>
      </w:r>
      <w:bookmarkStart w:id="11" w:name="xdx_90B_edei--EntityAddressPostalZipCode"/>
      <w:bookmarkEnd w:id="11"/>
      <w:r>
        <w:rPr>
          <w:rFonts w:ascii="Times New Roman;Times;Serif" w:hAnsi="Times New Roman;Times;Serif"/>
          <w:b/>
          <w:i w:val="false"/>
          <w:caps w:val="false"/>
          <w:smallCaps w:val="false"/>
          <w:sz w:val="20"/>
        </w:rPr>
        <w:t>75243</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 of principal executive offices)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3_edei--CityAreaCode_c20260917__20"/>
      <w:bookmarkEnd w:id="12"/>
      <w:r>
        <w:rPr>
          <w:rFonts w:ascii="Times New Roman;Times;Serif" w:hAnsi="Times New Roman;Times;Serif"/>
          <w:b/>
          <w:i w:val="false"/>
          <w:caps w:val="false"/>
          <w:smallCaps w:val="false"/>
          <w:sz w:val="20"/>
        </w:rPr>
        <w:t>214) </w:t>
      </w:r>
      <w:bookmarkStart w:id="13" w:name="xdx_909_edei--LocalPhoneNumber_c20260917"/>
      <w:bookmarkEnd w:id="13"/>
      <w:r>
        <w:rPr>
          <w:rFonts w:ascii="Times New Roman;Times;Serif" w:hAnsi="Times New Roman;Times;Serif"/>
          <w:b/>
          <w:i w:val="false"/>
          <w:caps w:val="false"/>
          <w:smallCaps w:val="false"/>
          <w:sz w:val="20"/>
        </w:rPr>
        <w:t>479-3773</w:t>
      </w:r>
    </w:p>
    <w:p>
      <w:pPr>
        <w:pStyle w:val="TextBody"/>
        <w:bidi w:val="0"/>
        <w:ind w:left="0" w:right="0" w:hanging="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283"/>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B_edei--SolicitingMaterial_c202609"/>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283"/>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283"/>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8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425" w:type="dxa"/>
        <w:jc w:val="left"/>
        <w:tblInd w:w="0" w:type="dxa"/>
        <w:tblLayout w:type="fixed"/>
        <w:tblCellMar>
          <w:top w:w="0" w:type="dxa"/>
          <w:left w:w="0" w:type="dxa"/>
          <w:bottom w:w="28" w:type="dxa"/>
          <w:right w:w="0" w:type="dxa"/>
        </w:tblCellMar>
      </w:tblPr>
      <w:tblGrid>
        <w:gridCol w:w="2735"/>
        <w:gridCol w:w="60"/>
        <w:gridCol w:w="860"/>
        <w:gridCol w:w="60"/>
        <w:gridCol w:w="3710"/>
      </w:tblGrid>
      <w:tr>
        <w:trPr/>
        <w:tc>
          <w:tcPr>
            <w:tcW w:w="273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Trading</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35" w:type="dxa"/>
            <w:tcBorders/>
            <w:tcMar>
              <w:bottom w:w="0" w:type="dxa"/>
            </w:tcMar>
            <w:vAlign w:val="center"/>
          </w:tcPr>
          <w:p>
            <w:pPr>
              <w:pStyle w:val="TableContents"/>
              <w:bidi w:val="0"/>
              <w:spacing w:before="0" w:after="283"/>
              <w:jc w:val="center"/>
              <w:rPr>
                <w:b/>
                <w:sz w:val="20"/>
              </w:rPr>
            </w:pPr>
            <w:bookmarkStart w:id="18" w:name="xdx_909_edei--Security12bTitle_c20260917"/>
            <w:bookmarkEnd w:id="18"/>
            <w:r>
              <w:rPr>
                <w:b/>
                <w:sz w:val="20"/>
              </w:rPr>
              <w:t>Common Stock, par value $1.00</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b/>
                <w:sz w:val="20"/>
              </w:rPr>
            </w:pPr>
            <w:bookmarkStart w:id="19" w:name="xdx_907_edei--TradingSymbol_c20260917__2"/>
            <w:bookmarkEnd w:id="19"/>
            <w:r>
              <w:rPr>
                <w:b/>
                <w:sz w:val="20"/>
              </w:rPr>
              <w:t>TXN</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b/>
                <w:sz w:val="20"/>
              </w:rPr>
            </w:pPr>
            <w:bookmarkStart w:id="20" w:name="xdx_904_edei--SecurityExchangeName_c2026"/>
            <w:bookmarkEnd w:id="20"/>
            <w:r>
              <w:rPr>
                <w:b/>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ind w:left="0" w:right="0" w:hanging="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7.01.  Regulation FD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news release dated September 17, 2026, regarding a planned dividend increase, attached hereto as Exhibit 99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28" w:type="dxa"/>
          <w:right w:w="0" w:type="dxa"/>
        </w:tblCellMar>
      </w:tblPr>
      <w:tblGrid>
        <w:gridCol w:w="1025"/>
        <w:gridCol w:w="60"/>
        <w:gridCol w:w="6485"/>
      </w:tblGrid>
      <w:tr>
        <w:trPr/>
        <w:tc>
          <w:tcPr>
            <w:tcW w:w="10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Exhibit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left"/>
              <w:rPr>
                <w:sz w:val="20"/>
              </w:rPr>
            </w:pPr>
            <w:r>
              <w:rPr>
                <w:sz w:val="20"/>
              </w:rPr>
              <w:t>Description of Exhibit</w:t>
            </w:r>
          </w:p>
        </w:tc>
      </w:tr>
      <w:tr>
        <w:trPr/>
        <w:tc>
          <w:tcPr>
            <w:tcW w:w="10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1025" w:type="dxa"/>
            <w:tcBorders/>
            <w:tcMar>
              <w:bottom w:w="0" w:type="dxa"/>
            </w:tcMar>
            <w:vAlign w:val="center"/>
          </w:tcPr>
          <w:p>
            <w:pPr>
              <w:pStyle w:val="TableContents"/>
              <w:bidi w:val="0"/>
              <w:spacing w:before="0" w:after="283"/>
              <w:jc w:val="center"/>
              <w:rPr/>
            </w:pPr>
            <w:hyperlink w:anchor="dp253473_ex99.htm">
              <w:r>
                <w:rPr>
                  <w:rStyle w:val="InternetLink"/>
                  <w:sz w:val="20"/>
                </w:rPr>
                <w:t>99</w:t>
              </w:r>
            </w:hyperlink>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6485" w:type="dxa"/>
            <w:tcBorders/>
            <w:tcMar>
              <w:bottom w:w="0" w:type="dxa"/>
            </w:tcMar>
            <w:vAlign w:val="center"/>
          </w:tcPr>
          <w:p>
            <w:pPr>
              <w:pStyle w:val="TableContents"/>
              <w:bidi w:val="0"/>
              <w:spacing w:before="0" w:after="283"/>
              <w:jc w:val="left"/>
              <w:rPr/>
            </w:pPr>
            <w:hyperlink w:anchor="dp253473_ex99.htm">
              <w:r>
                <w:rPr>
                  <w:rStyle w:val="InternetLink"/>
                  <w:color w:val="000000"/>
                  <w:sz w:val="20"/>
                </w:rPr>
                <w:t>Registrant’s News Release</w:t>
              </w:r>
            </w:hyperlink>
          </w:p>
        </w:tc>
      </w:tr>
      <w:tr>
        <w:trPr/>
        <w:tc>
          <w:tcPr>
            <w:tcW w:w="10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sz w:val="20"/>
              </w:rPr>
            </w:pPr>
            <w:r>
              <w:rPr>
                <w:sz w:val="20"/>
              </w:rPr>
              <w:t>Dated September 17, 2026 (furnished pursuant to Item 7.01)</w:t>
            </w:r>
          </w:p>
        </w:tc>
      </w:tr>
      <w:tr>
        <w:trPr/>
        <w:tc>
          <w:tcPr>
            <w:tcW w:w="1025" w:type="dxa"/>
            <w:tcBorders/>
            <w:tcMar>
              <w:bottom w:w="0" w:type="dxa"/>
            </w:tcMar>
            <w:vAlign w:val="center"/>
          </w:tcPr>
          <w:p>
            <w:pPr>
              <w:pStyle w:val="TableContents"/>
              <w:bidi w:val="0"/>
              <w:spacing w:before="0" w:after="283"/>
              <w:jc w:val="center"/>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708" w:type="dxa"/>
        <w:jc w:val="left"/>
        <w:tblInd w:w="0" w:type="dxa"/>
        <w:tblLayout w:type="fixed"/>
        <w:tblCellMar>
          <w:top w:w="0" w:type="dxa"/>
          <w:left w:w="0" w:type="dxa"/>
          <w:bottom w:w="0" w:type="dxa"/>
          <w:right w:w="0" w:type="dxa"/>
        </w:tblCellMar>
      </w:tblPr>
      <w:tblGrid>
        <w:gridCol w:w="2135"/>
        <w:gridCol w:w="457"/>
        <w:gridCol w:w="85"/>
        <w:gridCol w:w="3031"/>
      </w:tblGrid>
      <w:tr>
        <w:trPr/>
        <w:tc>
          <w:tcPr>
            <w:tcW w:w="2135" w:type="dxa"/>
            <w:tcBorders/>
            <w:vAlign w:val="center"/>
          </w:tcPr>
          <w:p>
            <w:pPr>
              <w:pStyle w:val="TableContents"/>
              <w:bidi w:val="0"/>
              <w:spacing w:before="0" w:after="283"/>
              <w:jc w:val="left"/>
              <w:rPr/>
            </w:pPr>
            <w:r>
              <w:rPr/>
              <w:t> </w:t>
            </w:r>
          </w:p>
        </w:tc>
        <w:tc>
          <w:tcPr>
            <w:tcW w:w="3573" w:type="dxa"/>
            <w:gridSpan w:val="3"/>
            <w:tcBorders/>
            <w:vAlign w:val="center"/>
          </w:tcPr>
          <w:p>
            <w:pPr>
              <w:pStyle w:val="TableContents"/>
              <w:bidi w:val="0"/>
              <w:spacing w:before="0" w:after="283"/>
              <w:jc w:val="left"/>
              <w:rPr>
                <w:sz w:val="20"/>
              </w:rPr>
            </w:pPr>
            <w:r>
              <w:rPr>
                <w:sz w:val="20"/>
              </w:rPr>
              <w:t>TEXAS INSTRUMENTS INCORPORATED</w:t>
            </w:r>
          </w:p>
        </w:tc>
      </w:tr>
      <w:tr>
        <w:trPr/>
        <w:tc>
          <w:tcPr>
            <w:tcW w:w="2135" w:type="dxa"/>
            <w:tcBorders/>
            <w:vAlign w:val="center"/>
          </w:tcPr>
          <w:p>
            <w:pPr>
              <w:pStyle w:val="TableContents"/>
              <w:bidi w:val="0"/>
              <w:spacing w:before="0" w:after="283"/>
              <w:jc w:val="left"/>
              <w:rPr/>
            </w:pPr>
            <w:r>
              <w:rPr/>
              <w:t> </w:t>
            </w:r>
          </w:p>
        </w:tc>
        <w:tc>
          <w:tcPr>
            <w:tcW w:w="457"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3031"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17, 2026</w:t>
            </w:r>
          </w:p>
        </w:tc>
        <w:tc>
          <w:tcPr>
            <w:tcW w:w="457" w:type="dxa"/>
            <w:tcBorders/>
            <w:vAlign w:val="center"/>
          </w:tcPr>
          <w:p>
            <w:pPr>
              <w:pStyle w:val="TableContents"/>
              <w:bidi w:val="0"/>
              <w:spacing w:before="0" w:after="283"/>
              <w:jc w:val="left"/>
              <w:rPr>
                <w:sz w:val="20"/>
              </w:rPr>
            </w:pPr>
            <w:r>
              <w:rPr>
                <w:sz w:val="20"/>
              </w:rPr>
              <w:t>By:</w:t>
            </w:r>
          </w:p>
        </w:tc>
        <w:tc>
          <w:tcPr>
            <w:tcW w:w="85" w:type="dxa"/>
            <w:tcBorders/>
            <w:vAlign w:val="center"/>
          </w:tcPr>
          <w:p>
            <w:pPr>
              <w:pStyle w:val="TableContents"/>
              <w:bidi w:val="0"/>
              <w:spacing w:before="0" w:after="283"/>
              <w:jc w:val="left"/>
              <w:rPr/>
            </w:pPr>
            <w:r>
              <w:rPr/>
              <w:t> </w:t>
            </w:r>
          </w:p>
        </w:tc>
        <w:tc>
          <w:tcPr>
            <w:tcW w:w="3031" w:type="dxa"/>
            <w:tcBorders>
              <w:bottom w:val="single" w:sz="8" w:space="0" w:color="000000"/>
            </w:tcBorders>
            <w:tcMar>
              <w:bottom w:w="28" w:type="dxa"/>
            </w:tcMar>
            <w:vAlign w:val="center"/>
          </w:tcPr>
          <w:p>
            <w:pPr>
              <w:pStyle w:val="TableContents"/>
              <w:bidi w:val="0"/>
              <w:spacing w:before="0" w:after="283"/>
              <w:jc w:val="left"/>
              <w:rPr/>
            </w:pPr>
            <w:r>
              <w:rPr/>
              <w:t> </w:t>
            </w:r>
            <w:r>
              <w:rPr/>
              <w:t>/s/ Julie C. Knecht</w:t>
            </w:r>
          </w:p>
        </w:tc>
      </w:tr>
      <w:tr>
        <w:trPr/>
        <w:tc>
          <w:tcPr>
            <w:tcW w:w="2135" w:type="dxa"/>
            <w:tcBorders/>
            <w:vAlign w:val="center"/>
          </w:tcPr>
          <w:p>
            <w:pPr>
              <w:pStyle w:val="TableContents"/>
              <w:bidi w:val="0"/>
              <w:spacing w:before="0" w:after="283"/>
              <w:jc w:val="left"/>
              <w:rPr/>
            </w:pPr>
            <w:r>
              <w:rPr/>
              <w:t> </w:t>
            </w:r>
          </w:p>
        </w:tc>
        <w:tc>
          <w:tcPr>
            <w:tcW w:w="457"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3031" w:type="dxa"/>
            <w:tcBorders/>
            <w:vAlign w:val="center"/>
          </w:tcPr>
          <w:p>
            <w:pPr>
              <w:pStyle w:val="TableContents"/>
              <w:bidi w:val="0"/>
              <w:spacing w:before="0" w:after="283"/>
              <w:jc w:val="left"/>
              <w:rPr>
                <w:sz w:val="20"/>
              </w:rPr>
            </w:pPr>
            <w:r>
              <w:rPr>
                <w:sz w:val="20"/>
              </w:rPr>
              <w:t>Julie C. Knecht</w:t>
            </w:r>
          </w:p>
        </w:tc>
      </w:tr>
      <w:tr>
        <w:trPr/>
        <w:tc>
          <w:tcPr>
            <w:tcW w:w="2135" w:type="dxa"/>
            <w:tcBorders/>
            <w:vAlign w:val="center"/>
          </w:tcPr>
          <w:p>
            <w:pPr>
              <w:pStyle w:val="TableContents"/>
              <w:bidi w:val="0"/>
              <w:spacing w:before="0" w:after="283"/>
              <w:jc w:val="left"/>
              <w:rPr/>
            </w:pPr>
            <w:r>
              <w:rPr/>
              <w:t> </w:t>
            </w:r>
          </w:p>
        </w:tc>
        <w:tc>
          <w:tcPr>
            <w:tcW w:w="457"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3031" w:type="dxa"/>
            <w:tcBorders/>
            <w:vAlign w:val="center"/>
          </w:tcPr>
          <w:p>
            <w:pPr>
              <w:pStyle w:val="TableContents"/>
              <w:bidi w:val="0"/>
              <w:spacing w:before="0" w:after="283"/>
              <w:jc w:val="left"/>
              <w:rPr>
                <w:sz w:val="20"/>
              </w:rPr>
            </w:pPr>
            <w:r>
              <w:rPr>
                <w:sz w:val="20"/>
              </w:rPr>
              <w:t>Senior Vice President and</w:t>
            </w:r>
          </w:p>
        </w:tc>
      </w:tr>
      <w:tr>
        <w:trPr/>
        <w:tc>
          <w:tcPr>
            <w:tcW w:w="2135" w:type="dxa"/>
            <w:tcBorders/>
            <w:vAlign w:val="center"/>
          </w:tcPr>
          <w:p>
            <w:pPr>
              <w:pStyle w:val="TableContents"/>
              <w:bidi w:val="0"/>
              <w:spacing w:before="0" w:after="283"/>
              <w:jc w:val="left"/>
              <w:rPr/>
            </w:pPr>
            <w:r>
              <w:rPr/>
              <w:t> </w:t>
            </w:r>
          </w:p>
        </w:tc>
        <w:tc>
          <w:tcPr>
            <w:tcW w:w="457"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3031"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2" w:name="dp253473_ex99.htm"/>
      <w:bookmarkStart w:id="23" w:name="ksdp253473_ex99"/>
      <w:bookmarkEnd w:id="22"/>
      <w:bookmarkEnd w:id="23"/>
      <w:r>
        <w:rPr/>
        <w:t> </w:t>
      </w:r>
      <w:r>
        <w:br w:type="page"/>
      </w:r>
    </w:p>
    <w:p>
      <w:pPr>
        <w:pStyle w:val="TextBody"/>
        <w:bidi w:val="0"/>
        <w:jc w:val="right"/>
        <w:rPr>
          <w:rFonts w:ascii="Arial;Helvetica;Sans-Serif" w:hAnsi="Arial;Helvetica;Sans-Serif"/>
          <w:b/>
          <w:sz w:val="20"/>
        </w:rPr>
      </w:pPr>
      <w:r>
        <w:rPr>
          <w:rFonts w:ascii="Arial;Helvetica;Sans-Serif" w:hAnsi="Arial;Helvetica;Sans-Serif"/>
          <w:b/>
          <w:sz w:val="20"/>
        </w:rPr>
        <w:t>Exhibit 99</w:t>
      </w:r>
    </w:p>
    <w:p>
      <w:pPr>
        <w:pStyle w:val="TextBody"/>
        <w:bidi w:val="0"/>
        <w:jc w:val="left"/>
        <w:rPr/>
      </w:pPr>
      <w:r>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TI increases dividend 7% to $1.52 per share, marking 23 consecutive years of increases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DALLAS (Sept. 17, 2026) – Texas Instruments Incorporated (TI) (Nasdaq: TXN) today said it will raise its quarterly cash dividend 7%, from $1.42 per share to $1.52, or $6.08 annualized. The higher dividend will be payable November 10, 2026, to stockholders of record on October 30, 2026, contingent upon formal declaration by the board of directors at its regular meeting in October.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increase is consistent with TI’s long-term objective for dividends by providing a sustainable and growing dividend and reflects the company’s continued commitment to return all free cash flow to its owners over time. Today’s announcement marks 23 consecutive years of dividend increases.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Notice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urge you to carefully consider the following important factors that could cause actual results to differ materially from the expectations of TI or our management: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Economic, social and political conditions, and natural events in the countries in which we, our customers or our suppliers operate, including global trade policies; </w:t>
            </w:r>
          </w:p>
        </w:tc>
      </w:tr>
    </w:tbl>
    <w:tbl>
      <w:tblPr>
        <w:tblW w:w="5000" w:type="pct"/>
        <w:jc w:val="left"/>
        <w:tblInd w:w="0" w:type="dxa"/>
        <w:tblLayout w:type="fixed"/>
        <w:tblCellMar>
          <w:top w:w="0" w:type="dxa"/>
          <w:left w:w="0" w:type="dxa"/>
          <w:bottom w:w="0" w:type="dxa"/>
          <w:right w:w="0" w:type="dxa"/>
        </w:tblCellMar>
      </w:tblPr>
      <w:tblGrid>
        <w:gridCol w:w="53"/>
        <w:gridCol w:w="154"/>
        <w:gridCol w:w="9998"/>
      </w:tblGrid>
      <w:tr>
        <w:trPr/>
        <w:tc>
          <w:tcPr>
            <w:tcW w:w="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ability to compete in products and prices in an intensely competitive industry;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Market demand for semiconductors, particularly in the industrial and automotive markets, and customer demand that differs from forecasts;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Losses or curtailments of purchases from key customers or the timing and amount of customer inventory adjustments;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Evolving cybersecurity and other threats relating to our information technology systems or those of our customers, suppliers and other third parties;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ability to successfully implement and realize opportunities from strategic, business and organizational changes, or our ability to realize our expectations regarding the amount and timing of associated restructuring charges and cost savings;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Availability and cost of key materials, utilities, manufacturing equipment, third-party manufacturing services and manufacturing technology;</w:t>
            </w:r>
          </w:p>
        </w:tc>
      </w:tr>
    </w:tbl>
    <w:tbl>
      <w:tblPr>
        <w:tblW w:w="5000" w:type="pct"/>
        <w:jc w:val="left"/>
        <w:tblInd w:w="0" w:type="dxa"/>
        <w:tblLayout w:type="fixed"/>
        <w:tblCellMar>
          <w:top w:w="0" w:type="dxa"/>
          <w:left w:w="0" w:type="dxa"/>
          <w:bottom w:w="0" w:type="dxa"/>
          <w:right w:w="0" w:type="dxa"/>
        </w:tblCellMar>
      </w:tblPr>
      <w:tblGrid>
        <w:gridCol w:w="41"/>
        <w:gridCol w:w="121"/>
        <w:gridCol w:w="10043"/>
      </w:tblGrid>
      <w:tr>
        <w:trPr/>
        <w:tc>
          <w:tcPr>
            <w:tcW w:w="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ability to retain, train and recruit skilled personnel and effectively manage key employee succession;</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Product liability, warranty or other claims relating to our products, software, manufacturing, delivery, services, design or communications, or recalls by our customers for a product containing one of our parts;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Financial difficulties of our distributors or semiconductor distributors' promotion of competing product lines to our detriment; or disputes with current or former distributors;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ability to maintain or improve profit margins, including our ability to utilize our manufacturing facilities at sufficient levels to cover our fixed operating costs, in an intensely competitive and cyclical industry and changing regulatory environment;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Compliance with or changes in the complex laws, rules and regulations to which we are or may become subject, or actions of enforcement authorities, that restrict our ability to operate our business or subject us to fines, penalties or other legal liability;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ability to maintain and enforce a strong intellectual property portfolio and maintain freedom of operation in all jurisdictions where we conduct business; or our exposure to infringement claims;</w:t>
            </w:r>
          </w:p>
        </w:tc>
      </w:tr>
    </w:tbl>
    <w:tbl>
      <w:tblPr>
        <w:tblW w:w="5000" w:type="pct"/>
        <w:jc w:val="left"/>
        <w:tblInd w:w="0" w:type="dxa"/>
        <w:tblLayout w:type="fixed"/>
        <w:tblCellMar>
          <w:top w:w="0" w:type="dxa"/>
          <w:left w:w="0" w:type="dxa"/>
          <w:bottom w:w="0" w:type="dxa"/>
          <w:right w:w="0" w:type="dxa"/>
        </w:tblCellMar>
      </w:tblPr>
      <w:tblGrid>
        <w:gridCol w:w="58"/>
        <w:gridCol w:w="171"/>
        <w:gridCol w:w="9976"/>
      </w:tblGrid>
      <w:tr>
        <w:trPr/>
        <w:tc>
          <w:tcPr>
            <w:tcW w:w="5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ability to make principal and interest payments on our debt when due;</w:t>
            </w:r>
          </w:p>
        </w:tc>
      </w:tr>
    </w:tbl>
    <w:tbl>
      <w:tblPr>
        <w:tblW w:w="5000" w:type="pct"/>
        <w:jc w:val="left"/>
        <w:tblInd w:w="0" w:type="dxa"/>
        <w:tblLayout w:type="fixed"/>
        <w:tblCellMar>
          <w:top w:w="0" w:type="dxa"/>
          <w:left w:w="0" w:type="dxa"/>
          <w:bottom w:w="0" w:type="dxa"/>
          <w:right w:w="0" w:type="dxa"/>
        </w:tblCellMar>
      </w:tblPr>
      <w:tblGrid>
        <w:gridCol w:w="77"/>
        <w:gridCol w:w="223"/>
        <w:gridCol w:w="9905"/>
      </w:tblGrid>
      <w:tr>
        <w:trPr/>
        <w:tc>
          <w:tcPr>
            <w:tcW w:w="7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Instability in the global credit and financial markets; and</w:t>
            </w:r>
          </w:p>
        </w:tc>
      </w:tr>
    </w:tbl>
    <w:tbl>
      <w:tblPr>
        <w:tblW w:w="5000" w:type="pct"/>
        <w:jc w:val="left"/>
        <w:tblInd w:w="0" w:type="dxa"/>
        <w:tblLayout w:type="fixed"/>
        <w:tblCellMar>
          <w:top w:w="0" w:type="dxa"/>
          <w:left w:w="0" w:type="dxa"/>
          <w:bottom w:w="0" w:type="dxa"/>
          <w:right w:w="0" w:type="dxa"/>
        </w:tblCellMar>
      </w:tblPr>
      <w:tblGrid>
        <w:gridCol w:w="105"/>
        <w:gridCol w:w="305"/>
        <w:gridCol w:w="9795"/>
      </w:tblGrid>
      <w:tr>
        <w:trPr/>
        <w:tc>
          <w:tcPr>
            <w:tcW w:w="1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Impairments of our non-financial assets.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a more detailed discussion of these factors, see the Risk factors discussion in Item 1A of our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Texas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Texas Instruments Incorporated (Nasdaq: TXN) is a global semiconductor company that designs, manufactures and sells analog and embedded processing chips for markets such as industrial, automotive, data center, personal electronics and communications equipment.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TI.com.</w:t>
      </w:r>
    </w:p>
    <w:p>
      <w:pPr>
        <w:pStyle w:val="TextBody"/>
        <w:bidi w:val="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1277</Words>
  <Characters>7494</Characters>
  <CharactersWithSpaces>8766</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