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AMENDMENT NO. 7</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(FINAL AMENDMENT)</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TO</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SCHEDULE 14D-1</w:t>
      </w:r>
    </w:p>
    <w:p>
      <w:pPr>
        <w:spacing w:after="0" w:line="186"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2"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6"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AMENDMENT NO. 1</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TO</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SCHEDULE 13D</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3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INTEGRATED SENSOR SOLUTIONS, INC.</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(NAME OF SUBJECT COMPANY)</w:t>
      </w: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SENSOR ACQUISITION CORPORATION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(BIDDERS)</w:t>
      </w: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Common Stock, $0.001 par value</w:t>
      </w:r>
    </w:p>
    <w:p>
      <w:pPr>
        <w:spacing w:after="0" w:line="2"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(Title of Class of Securities)</w:t>
      </w: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45814 M 102 (Common Stock)</w:t>
      </w:r>
    </w:p>
    <w:p>
      <w:pPr>
        <w:spacing w:after="0" w:line="2"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(CUSIP number of Class of Securities)</w:t>
      </w: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Richard J. Agnich, Esq.</w:t>
      </w:r>
    </w:p>
    <w:p>
      <w:pPr>
        <w:spacing w:after="0" w:line="2"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8505 Forest Lane, M/S 8658</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Dallas, Texas 75243</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Telephone: (972) 480-5050</w:t>
      </w:r>
    </w:p>
    <w:p>
      <w:pPr>
        <w:spacing w:after="0" w:line="5" w:lineRule="exact"/>
        <w:rPr>
          <w:sz w:val="24"/>
          <w:szCs w:val="24"/>
          <w:color w:val="auto"/>
        </w:rPr>
      </w:pPr>
    </w:p>
    <w:p>
      <w:pPr>
        <w:ind w:left="962" w:right="3539"/>
        <w:spacing w:after="0" w:line="271" w:lineRule="auto"/>
        <w:rPr>
          <w:sz w:val="20"/>
          <w:szCs w:val="20"/>
          <w:color w:val="auto"/>
        </w:rPr>
      </w:pPr>
      <w:r>
        <w:rPr>
          <w:rFonts w:ascii="Courier New" w:cs="Courier New" w:eastAsia="Courier New" w:hAnsi="Courier New"/>
          <w:sz w:val="15"/>
          <w:szCs w:val="15"/>
          <w:color w:val="auto"/>
        </w:rPr>
        <w:t>(Name, Address and Telephone Number of Person Authorized to Receive Notices and Communications on Behalf of the Bidders)</w:t>
      </w:r>
    </w:p>
    <w:p>
      <w:pPr>
        <w:spacing w:after="0" w:line="166"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with a copy to:</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R. Scott Cohen, Esq.</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Weil, Gotshal &amp; Manges LLP</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100 Crescent Court, Suite 1300</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Dallas, Texas 75201-6950</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Telephone: (214) 746-7738</w:t>
      </w: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August 16, 1999</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(Date of event which requires filing of this Statement on Schedule 13D)</w:t>
      </w:r>
    </w:p>
    <w:p>
      <w:pPr>
        <w:spacing w:after="0" w:line="188"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0" w:lineRule="exact"/>
        <w:rPr>
          <w:rFonts w:ascii="Courier New" w:cs="Courier New" w:eastAsia="Courier New" w:hAnsi="Courier New"/>
          <w:sz w:val="15"/>
          <w:szCs w:val="15"/>
          <w:color w:val="auto"/>
        </w:rPr>
      </w:pPr>
    </w:p>
    <w:p>
      <w:pPr>
        <w:ind w:left="35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w:t>
      </w:r>
    </w:p>
    <w:p>
      <w:pPr>
        <w:sectPr>
          <w:pgSz w:w="11900" w:h="16838" w:orient="portrait"/>
          <w:cols w:equalWidth="0" w:num="1">
            <w:col w:w="10221"/>
          </w:cols>
          <w:pgMar w:left="238" w:top="237" w:right="1440" w:bottom="1440" w:gutter="0" w:footer="0" w:header="0"/>
        </w:sectPr>
      </w:pPr>
    </w:p>
    <w:bookmarkStart w:id="1" w:name="page2"/>
    <w:bookmarkEnd w:id="1"/>
    <w:tbl>
      <w:tblPr>
        <w:tblLayout w:type="fixed"/>
        <w:tblInd w:w="2" w:type="dxa"/>
        <w:tblCellMar>
          <w:top w:w="0" w:type="dxa"/>
          <w:left w:w="0" w:type="dxa"/>
          <w:bottom w:w="0" w:type="dxa"/>
          <w:right w:w="0" w:type="dxa"/>
        </w:tblCellMar>
      </w:tblPr>
      <w:tr>
        <w:trPr>
          <w:trHeight w:val="181"/>
        </w:trPr>
        <w:tc>
          <w:tcPr>
            <w:tcW w:w="3620" w:type="dxa"/>
            <w:vAlign w:val="bottom"/>
          </w:tcPr>
          <w:p>
            <w:pPr>
              <w:jc w:val="right"/>
              <w:ind w:right="3161"/>
              <w:spacing w:after="0"/>
              <w:rPr>
                <w:sz w:val="20"/>
                <w:szCs w:val="20"/>
                <w:color w:val="auto"/>
              </w:rPr>
            </w:pPr>
            <w:r>
              <w:rPr>
                <w:rFonts w:ascii="Courier New" w:cs="Courier New" w:eastAsia="Courier New" w:hAnsi="Courier New"/>
                <w:sz w:val="16"/>
                <w:szCs w:val="16"/>
                <w:color w:val="auto"/>
              </w:rPr>
              <w:t>2</w:t>
            </w:r>
          </w:p>
        </w:tc>
        <w:tc>
          <w:tcPr>
            <w:tcW w:w="330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917"/>
        </w:trPr>
        <w:tc>
          <w:tcPr>
            <w:tcW w:w="3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0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CUSIP No. 45814 M 102</w:t>
            </w:r>
          </w:p>
        </w:tc>
        <w:tc>
          <w:tcPr>
            <w:tcW w:w="3300" w:type="dxa"/>
            <w:vAlign w:val="bottom"/>
          </w:tcPr>
          <w:p>
            <w:pPr>
              <w:ind w:left="1240"/>
              <w:spacing w:after="0"/>
              <w:rPr>
                <w:sz w:val="20"/>
                <w:szCs w:val="20"/>
                <w:color w:val="auto"/>
              </w:rPr>
            </w:pPr>
            <w:r>
              <w:rPr>
                <w:rFonts w:ascii="Courier New" w:cs="Courier New" w:eastAsia="Courier New" w:hAnsi="Courier New"/>
                <w:sz w:val="16"/>
                <w:szCs w:val="16"/>
                <w:color w:val="auto"/>
              </w:rPr>
              <w:t>14D-1</w:t>
            </w:r>
          </w:p>
        </w:tc>
        <w:tc>
          <w:tcPr>
            <w:tcW w:w="386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Page 2</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0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w:t>
      </w:r>
      <w:r>
        <w:rPr>
          <w:rFonts w:ascii="Courier New" w:cs="Courier New" w:eastAsia="Courier New" w:hAnsi="Courier New"/>
          <w:sz w:val="15"/>
          <w:szCs w:val="15"/>
          <w:color w:val="auto"/>
        </w:rPr>
        <w:t>NAME OF REPORTING PERSON</w:t>
      </w:r>
    </w:p>
    <w:p>
      <w:pPr>
        <w:spacing w:after="0" w:line="2" w:lineRule="exact"/>
        <w:rPr>
          <w:rFonts w:ascii="Courier New" w:cs="Courier New" w:eastAsia="Courier New" w:hAnsi="Courier New"/>
          <w:sz w:val="15"/>
          <w:szCs w:val="15"/>
          <w:color w:val="auto"/>
        </w:rPr>
      </w:pPr>
    </w:p>
    <w:p>
      <w:pPr>
        <w:ind w:left="9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I.R.S. IDENTIFICATION NO. OF ABOVE PERSON (entities only)</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TEXAS INSTRUMENTS INCORPORATED</w:t>
      </w:r>
    </w:p>
    <w:p>
      <w:pPr>
        <w:spacing w:after="0" w:line="5" w:lineRule="exact"/>
        <w:rPr>
          <w:sz w:val="20"/>
          <w:szCs w:val="20"/>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w:t>
      </w:r>
      <w:r>
        <w:rPr>
          <w:rFonts w:ascii="Courier New" w:cs="Courier New" w:eastAsia="Courier New" w:hAnsi="Courier New"/>
          <w:sz w:val="15"/>
          <w:szCs w:val="15"/>
          <w:color w:val="auto"/>
        </w:rPr>
        <w:t>CHECK THE APPROPRIATE BOX IF A MEMBER OF A GROUP</w:t>
      </w:r>
    </w:p>
    <w:p>
      <w:pPr>
        <w:spacing w:after="0" w:line="2" w:lineRule="exact"/>
        <w:rPr>
          <w:rFonts w:ascii="Courier New" w:cs="Courier New" w:eastAsia="Courier New" w:hAnsi="Courier New"/>
          <w:sz w:val="15"/>
          <w:szCs w:val="15"/>
          <w:color w:val="auto"/>
        </w:rPr>
      </w:pPr>
    </w:p>
    <w:p>
      <w:pPr>
        <w:ind w:left="8782" w:hanging="389"/>
        <w:spacing w:after="0"/>
        <w:tabs>
          <w:tab w:leader="none" w:pos="878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8782" w:hanging="389"/>
        <w:spacing w:after="0"/>
        <w:tabs>
          <w:tab w:leader="none" w:pos="878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8"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w:t>
      </w:r>
      <w:r>
        <w:rPr>
          <w:rFonts w:ascii="Courier New" w:cs="Courier New" w:eastAsia="Courier New" w:hAnsi="Courier New"/>
          <w:sz w:val="15"/>
          <w:szCs w:val="15"/>
          <w:color w:val="auto"/>
        </w:rPr>
        <w:t>SEC USE ONLY</w:t>
      </w:r>
    </w:p>
    <w:p>
      <w:pPr>
        <w:spacing w:after="0" w:line="188"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962" w:right="9140" w:hanging="954"/>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4SOURCE OF FUNDS WC</w:t>
      </w:r>
    </w:p>
    <w:p>
      <w:pPr>
        <w:spacing w:after="0" w:line="189"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962" w:right="6080" w:hanging="954"/>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5CHECK BOX IF DISCLOSURE OF LEGAL PROCEEDINGS IS REQUIRED PURSUANT TO ITEM 2(d) or 2(e)</w:t>
      </w:r>
    </w:p>
    <w:p>
      <w:pPr>
        <w:spacing w:after="0" w:line="3" w:lineRule="exact"/>
        <w:rPr>
          <w:sz w:val="20"/>
          <w:szCs w:val="20"/>
          <w:color w:val="auto"/>
        </w:rPr>
      </w:pPr>
    </w:p>
    <w:p>
      <w:pPr>
        <w:ind w:left="878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2" w:hanging="182"/>
        <w:spacing w:after="0"/>
        <w:tabs>
          <w:tab w:leader="none" w:pos="1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w:t>
      </w:r>
      <w:r>
        <w:rPr>
          <w:rFonts w:ascii="Courier New" w:cs="Courier New" w:eastAsia="Courier New" w:hAnsi="Courier New"/>
          <w:sz w:val="15"/>
          <w:szCs w:val="15"/>
          <w:color w:val="auto"/>
        </w:rPr>
        <w:t>CITIZENSHIP OR PLACE OF ORGANIZATION</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0"/>
          <w:szCs w:val="20"/>
          <w:color w:val="auto"/>
        </w:rPr>
      </w:pPr>
    </w:p>
    <w:p>
      <w:pPr>
        <w:ind w:left="182" w:hanging="182"/>
        <w:spacing w:after="0"/>
        <w:tabs>
          <w:tab w:leader="none" w:pos="1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w:t>
      </w:r>
      <w:r>
        <w:rPr>
          <w:rFonts w:ascii="Courier New" w:cs="Courier New" w:eastAsia="Courier New" w:hAnsi="Courier New"/>
          <w:sz w:val="15"/>
          <w:szCs w:val="15"/>
          <w:color w:val="auto"/>
        </w:rPr>
        <w:t>SOLE VOTING POWER</w:t>
      </w:r>
    </w:p>
    <w:p>
      <w:pPr>
        <w:spacing w:after="0" w:line="2" w:lineRule="exact"/>
        <w:rPr>
          <w:sz w:val="20"/>
          <w:szCs w:val="20"/>
          <w:color w:val="auto"/>
        </w:rPr>
      </w:pPr>
    </w:p>
    <w:tbl>
      <w:tblPr>
        <w:tblLayout w:type="fixed"/>
        <w:tblInd w:w="1422" w:type="dxa"/>
        <w:tblCellMar>
          <w:top w:w="0" w:type="dxa"/>
          <w:left w:w="0" w:type="dxa"/>
          <w:bottom w:w="0" w:type="dxa"/>
          <w:right w:w="0" w:type="dxa"/>
        </w:tblCellMar>
      </w:tblPr>
      <w:tr>
        <w:trPr>
          <w:trHeight w:val="181"/>
        </w:trPr>
        <w:tc>
          <w:tcPr>
            <w:tcW w:w="202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3"/>
        </w:trPr>
        <w:tc>
          <w:tcPr>
            <w:tcW w:w="2020" w:type="dxa"/>
            <w:vAlign w:val="bottom"/>
          </w:tcPr>
          <w:p>
            <w:pPr>
              <w:jc w:val="center"/>
              <w:ind w:right="781"/>
              <w:spacing w:after="0"/>
              <w:rPr>
                <w:sz w:val="20"/>
                <w:szCs w:val="20"/>
                <w:color w:val="auto"/>
              </w:rPr>
            </w:pPr>
            <w:r>
              <w:rPr>
                <w:rFonts w:ascii="Courier New" w:cs="Courier New" w:eastAsia="Courier New" w:hAnsi="Courier New"/>
                <w:sz w:val="16"/>
                <w:szCs w:val="16"/>
                <w:color w:val="auto"/>
                <w:w w:val="97"/>
              </w:rPr>
              <w:t>SHARES</w:t>
            </w:r>
          </w:p>
        </w:tc>
        <w:tc>
          <w:tcPr>
            <w:tcW w:w="16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7,940,109(1)</w:t>
            </w:r>
          </w:p>
        </w:tc>
      </w:tr>
      <w:tr>
        <w:trPr>
          <w:trHeight w:val="183"/>
        </w:trPr>
        <w:tc>
          <w:tcPr>
            <w:tcW w:w="2020" w:type="dxa"/>
            <w:vAlign w:val="bottom"/>
          </w:tcPr>
          <w:p>
            <w:pPr>
              <w:jc w:val="center"/>
              <w:ind w:right="781"/>
              <w:spacing w:after="0"/>
              <w:rPr>
                <w:sz w:val="20"/>
                <w:szCs w:val="20"/>
                <w:color w:val="auto"/>
              </w:rPr>
            </w:pPr>
            <w:r>
              <w:rPr>
                <w:rFonts w:ascii="Courier New" w:cs="Courier New" w:eastAsia="Courier New" w:hAnsi="Courier New"/>
                <w:sz w:val="16"/>
                <w:szCs w:val="16"/>
                <w:color w:val="auto"/>
              </w:rPr>
              <w:t>BENEFICIALLY</w:t>
            </w:r>
          </w:p>
        </w:tc>
        <w:tc>
          <w:tcPr>
            <w:tcW w:w="372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1"/>
              </w:rPr>
              <w:t>--------------------------------------------------------------------------</w:t>
            </w:r>
          </w:p>
        </w:tc>
      </w:tr>
      <w:tr>
        <w:trPr>
          <w:trHeight w:val="183"/>
        </w:trPr>
        <w:tc>
          <w:tcPr>
            <w:tcW w:w="2020" w:type="dxa"/>
            <w:vAlign w:val="bottom"/>
          </w:tcPr>
          <w:p>
            <w:pPr>
              <w:jc w:val="center"/>
              <w:ind w:right="781"/>
              <w:spacing w:after="0"/>
              <w:rPr>
                <w:sz w:val="20"/>
                <w:szCs w:val="20"/>
                <w:color w:val="auto"/>
              </w:rPr>
            </w:pPr>
            <w:r>
              <w:rPr>
                <w:rFonts w:ascii="Courier New" w:cs="Courier New" w:eastAsia="Courier New" w:hAnsi="Courier New"/>
                <w:sz w:val="16"/>
                <w:szCs w:val="16"/>
                <w:color w:val="auto"/>
                <w:w w:val="98"/>
              </w:rPr>
              <w:t>OWNED BY</w:t>
            </w:r>
          </w:p>
        </w:tc>
        <w:tc>
          <w:tcPr>
            <w:tcW w:w="1620" w:type="dxa"/>
            <w:vAlign w:val="bottom"/>
          </w:tcPr>
          <w:p>
            <w:pPr>
              <w:ind w:left="840"/>
              <w:spacing w:after="0"/>
              <w:rPr>
                <w:sz w:val="20"/>
                <w:szCs w:val="20"/>
                <w:color w:val="auto"/>
              </w:rPr>
            </w:pPr>
            <w:r>
              <w:rPr>
                <w:rFonts w:ascii="Courier New" w:cs="Courier New" w:eastAsia="Courier New" w:hAnsi="Courier New"/>
                <w:sz w:val="16"/>
                <w:szCs w:val="16"/>
                <w:color w:val="auto"/>
              </w:rPr>
              <w:t>8</w:t>
            </w: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3"/>
        </w:trPr>
        <w:tc>
          <w:tcPr>
            <w:tcW w:w="2020" w:type="dxa"/>
            <w:vAlign w:val="bottom"/>
          </w:tcPr>
          <w:p>
            <w:pPr>
              <w:jc w:val="center"/>
              <w:ind w:right="781"/>
              <w:spacing w:after="0"/>
              <w:rPr>
                <w:sz w:val="20"/>
                <w:szCs w:val="20"/>
                <w:color w:val="auto"/>
              </w:rPr>
            </w:pPr>
            <w:r>
              <w:rPr>
                <w:rFonts w:ascii="Courier New" w:cs="Courier New" w:eastAsia="Courier New" w:hAnsi="Courier New"/>
                <w:sz w:val="16"/>
                <w:szCs w:val="16"/>
                <w:color w:val="auto"/>
              </w:rPr>
              <w:t>EACH</w:t>
            </w:r>
          </w:p>
        </w:tc>
        <w:tc>
          <w:tcPr>
            <w:tcW w:w="162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3"/>
        </w:trPr>
        <w:tc>
          <w:tcPr>
            <w:tcW w:w="2020" w:type="dxa"/>
            <w:vAlign w:val="bottom"/>
          </w:tcPr>
          <w:p>
            <w:pPr>
              <w:ind w:left="200"/>
              <w:spacing w:after="0"/>
              <w:rPr>
                <w:sz w:val="20"/>
                <w:szCs w:val="20"/>
                <w:color w:val="auto"/>
              </w:rPr>
            </w:pPr>
            <w:r>
              <w:rPr>
                <w:rFonts w:ascii="Courier New" w:cs="Courier New" w:eastAsia="Courier New" w:hAnsi="Courier New"/>
                <w:sz w:val="16"/>
                <w:szCs w:val="16"/>
                <w:color w:val="auto"/>
              </w:rPr>
              <w:t>REPORTING</w:t>
            </w:r>
          </w:p>
        </w:tc>
        <w:tc>
          <w:tcPr>
            <w:tcW w:w="16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3"/>
        </w:trPr>
        <w:tc>
          <w:tcPr>
            <w:tcW w:w="2020" w:type="dxa"/>
            <w:vAlign w:val="bottom"/>
          </w:tcPr>
          <w:p>
            <w:pPr>
              <w:jc w:val="center"/>
              <w:ind w:right="781"/>
              <w:spacing w:after="0"/>
              <w:rPr>
                <w:sz w:val="20"/>
                <w:szCs w:val="20"/>
                <w:color w:val="auto"/>
              </w:rPr>
            </w:pPr>
            <w:r>
              <w:rPr>
                <w:rFonts w:ascii="Courier New" w:cs="Courier New" w:eastAsia="Courier New" w:hAnsi="Courier New"/>
                <w:sz w:val="16"/>
                <w:szCs w:val="16"/>
                <w:color w:val="auto"/>
                <w:w w:val="97"/>
              </w:rPr>
              <w:t>PERSON</w:t>
            </w:r>
          </w:p>
        </w:tc>
        <w:tc>
          <w:tcPr>
            <w:tcW w:w="372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1"/>
              </w:rPr>
              <w:t>--------------------------------------------------------------------------</w:t>
            </w:r>
          </w:p>
        </w:tc>
      </w:tr>
      <w:tr>
        <w:trPr>
          <w:trHeight w:val="183"/>
        </w:trPr>
        <w:tc>
          <w:tcPr>
            <w:tcW w:w="2020" w:type="dxa"/>
            <w:vAlign w:val="bottom"/>
          </w:tcPr>
          <w:p>
            <w:pPr>
              <w:jc w:val="center"/>
              <w:ind w:right="781"/>
              <w:spacing w:after="0"/>
              <w:rPr>
                <w:sz w:val="20"/>
                <w:szCs w:val="20"/>
                <w:color w:val="auto"/>
              </w:rPr>
            </w:pPr>
            <w:r>
              <w:rPr>
                <w:rFonts w:ascii="Courier New" w:cs="Courier New" w:eastAsia="Courier New" w:hAnsi="Courier New"/>
                <w:sz w:val="16"/>
                <w:szCs w:val="16"/>
                <w:color w:val="auto"/>
              </w:rPr>
              <w:t>WITH</w:t>
            </w:r>
          </w:p>
        </w:tc>
        <w:tc>
          <w:tcPr>
            <w:tcW w:w="1620" w:type="dxa"/>
            <w:vAlign w:val="bottom"/>
          </w:tcPr>
          <w:p>
            <w:pPr>
              <w:ind w:left="840"/>
              <w:spacing w:after="0"/>
              <w:rPr>
                <w:sz w:val="20"/>
                <w:szCs w:val="20"/>
                <w:color w:val="auto"/>
              </w:rPr>
            </w:pPr>
            <w:r>
              <w:rPr>
                <w:rFonts w:ascii="Courier New" w:cs="Courier New" w:eastAsia="Courier New" w:hAnsi="Courier New"/>
                <w:sz w:val="16"/>
                <w:szCs w:val="16"/>
                <w:color w:val="auto"/>
              </w:rPr>
              <w:t>9</w:t>
            </w:r>
          </w:p>
        </w:tc>
        <w:tc>
          <w:tcPr>
            <w:tcW w:w="2100" w:type="dxa"/>
            <w:vAlign w:val="bottom"/>
          </w:tcPr>
          <w:p>
            <w:pPr>
              <w:spacing w:after="0"/>
              <w:rPr>
                <w:sz w:val="20"/>
                <w:szCs w:val="20"/>
                <w:color w:val="auto"/>
              </w:rPr>
            </w:pPr>
            <w:r>
              <w:rPr>
                <w:rFonts w:ascii="Courier New" w:cs="Courier New" w:eastAsia="Courier New" w:hAnsi="Courier New"/>
                <w:sz w:val="16"/>
                <w:szCs w:val="16"/>
                <w:color w:val="auto"/>
                <w:w w:val="98"/>
              </w:rPr>
              <w:t>SOLE DISPOSITIVE POWER</w:t>
            </w:r>
          </w:p>
        </w:tc>
      </w:tr>
      <w:tr>
        <w:trPr>
          <w:trHeight w:val="367"/>
        </w:trPr>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7,940,109(1)</w:t>
            </w:r>
          </w:p>
        </w:tc>
      </w:tr>
    </w:tbl>
    <w:p>
      <w:pPr>
        <w:spacing w:after="0" w:line="2" w:lineRule="exact"/>
        <w:rPr>
          <w:sz w:val="20"/>
          <w:szCs w:val="20"/>
          <w:color w:val="auto"/>
        </w:rPr>
      </w:pPr>
    </w:p>
    <w:p>
      <w:pPr>
        <w:ind w:left="428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62" w:right="4180" w:hanging="770"/>
        <w:spacing w:after="0" w:line="364" w:lineRule="auto"/>
        <w:tabs>
          <w:tab w:leader="none" w:pos="506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ind w:left="182" w:hanging="182"/>
        <w:spacing w:after="0"/>
        <w:tabs>
          <w:tab w:leader="none" w:pos="18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w:t>
      </w:r>
      <w:r>
        <w:rPr>
          <w:rFonts w:ascii="Courier New" w:cs="Courier New" w:eastAsia="Courier New" w:hAnsi="Courier New"/>
          <w:sz w:val="15"/>
          <w:szCs w:val="15"/>
          <w:color w:val="auto"/>
        </w:rPr>
        <w:t>AGGREGATE AMOUNT BENEFICIALLY OWNED BY EACH REPORTING PERSON</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7,940,109(1)</w:t>
      </w:r>
    </w:p>
    <w:p>
      <w:pPr>
        <w:spacing w:after="0" w:line="5" w:lineRule="exact"/>
        <w:rPr>
          <w:sz w:val="20"/>
          <w:szCs w:val="20"/>
          <w:color w:val="auto"/>
        </w:rPr>
      </w:pPr>
    </w:p>
    <w:p>
      <w:pPr>
        <w:ind w:left="182" w:hanging="182"/>
        <w:spacing w:after="0"/>
        <w:tabs>
          <w:tab w:leader="none" w:pos="1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962" w:right="6460" w:hanging="954"/>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12CHECK BOX IF THE AGGREGATE AMOUNT IN ROW 11 EXCLUDES CERTAIN SHARES</w:t>
      </w:r>
    </w:p>
    <w:p>
      <w:pPr>
        <w:spacing w:after="0" w:line="3" w:lineRule="exact"/>
        <w:rPr>
          <w:sz w:val="20"/>
          <w:szCs w:val="20"/>
          <w:color w:val="auto"/>
        </w:rPr>
      </w:pPr>
    </w:p>
    <w:p>
      <w:pPr>
        <w:ind w:left="878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82" w:hanging="182"/>
        <w:spacing w:after="0"/>
        <w:tabs>
          <w:tab w:leader="none" w:pos="18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13</w:t>
      </w:r>
      <w:r>
        <w:rPr>
          <w:rFonts w:ascii="Courier New" w:cs="Courier New" w:eastAsia="Courier New" w:hAnsi="Courier New"/>
          <w:sz w:val="15"/>
          <w:szCs w:val="15"/>
          <w:color w:val="auto"/>
        </w:rPr>
        <w:t>PERCENT OF CLASS REPRESENTED BY AMOUNT IN ROW 11</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100%</w:t>
      </w:r>
    </w:p>
    <w:p>
      <w:pPr>
        <w:spacing w:after="0" w:line="5" w:lineRule="exact"/>
        <w:rPr>
          <w:sz w:val="20"/>
          <w:szCs w:val="20"/>
          <w:color w:val="auto"/>
        </w:rPr>
      </w:pPr>
    </w:p>
    <w:p>
      <w:pPr>
        <w:ind w:left="182" w:hanging="182"/>
        <w:spacing w:after="0"/>
        <w:tabs>
          <w:tab w:leader="none" w:pos="18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w:t>
      </w:r>
      <w:r>
        <w:rPr>
          <w:rFonts w:ascii="Courier New" w:cs="Courier New" w:eastAsia="Courier New" w:hAnsi="Courier New"/>
          <w:sz w:val="15"/>
          <w:szCs w:val="15"/>
          <w:color w:val="auto"/>
        </w:rPr>
        <w:t>TYPE OF REPORTING PERSON</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CO</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2" w:right="3980" w:hanging="862"/>
        <w:spacing w:after="0" w:line="242" w:lineRule="auto"/>
        <w:tabs>
          <w:tab w:leader="none" w:pos="86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16, 1999, Texas Instruments Incorporated ("TI") owned all of the issued and outstanding shares of common stock, par value $0.01 per share, of Sensor Acquisition Corporation ("MergerSub"). As a result of the consummation by MergerSub on August 13, 1999 of the tender offer to which this Statement relates, MergerSub became the direct beneficial owner of 7,814,202 shares of common stock, par value $0.001 per share (the "Shares"), of Integrated Sensor Solutions, Inc. (the "Company"). Pursuant to a second stage merger of MergerSub with and into the Company (with the Company surviving) on August 16, 1999, each Share held by a person other than MergerSub or TI was converted into the right to receive $8.05 in cash, TI became the direct beneficial owner of 100% of the Shares and, as a result the Company became a wholly-owned subsidiary of TI.</w:t>
      </w:r>
    </w:p>
    <w:p>
      <w:pPr>
        <w:sectPr>
          <w:pgSz w:w="11900" w:h="16838" w:orient="portrait"/>
          <w:cols w:equalWidth="0" w:num="1">
            <w:col w:w="11522"/>
          </w:cols>
          <w:pgMar w:left="238" w:top="298" w:right="139" w:bottom="942"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TENDER OFFER</w:t>
      </w:r>
    </w:p>
    <w:p>
      <w:pPr>
        <w:spacing w:after="0" w:line="188"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This Amendment No. 7 to Schedule 14D-1 and Amendment No. 1 to Schedule 13D amends and supplements the Tender Offer Statement on Schedule 14D-1 (the "Schedule 14D-1") and Statement on Schedule 13D (the "Statement") originally filed with the Securities and Exchange Commission on May 7, 1999 by Sensor Acquisition Corporation, a Delaware corporation ("Purchaser"), and Texas Instruments Incorporated, a Delaware corporation and the sole stockholder of Purchaser ("Parent"), relating to the offer by Purchaser to purchase all outstanding shares of common stock, par value $.001 per share (the "Shares"), of Integrated Sensor Solutions, Inc., a Delaware corporation, at $8.05 per Share, net to the seller in cash, on the terms and subject to the conditions set forth in the Offer to Purchase, dated May 7, 1999 (the "Offer to Purchase"), and in the related Letter of Transmittal, copies of which are attached to the Schedule 14D-1 as Exhibits 99(a)(1) and 99(a)(2), respectively.</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INTEREST IN THE SECURITIES OF THE SUBJECT COMPANY.</w:t>
      </w:r>
    </w:p>
    <w:p>
      <w:pPr>
        <w:spacing w:after="0" w:line="188"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The response to Item 6 is amended and supplemented by the addition of the following:</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The Offer was previously extended from 12:00 midnight, Eastern Daylight Time, on Friday, July 30, 1999, to 12:00 midnight, Eastern Daylight Time, on Friday, August 13, 1999, at which time the Offer expired. Following the expiration of the Offer, Purchaser accepted for payment all Shares validly tendered pursuant to the Offer. The Purchaser was informed by the Depositary that 7,814,202 Shares (approximately 98.4% of the issued and outstanding Shares) were validly tendered and not withdrawn pursuant to the Offer, including 104,962 Shares tendered pursuant to the procedures for guaranteed delivery.</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On August 16, 1999, subsequent to the consummation of the Offer,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of the Purchaser with and into the Company (the "Merger") pursuant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253 of the General Corporation Law of the State of Delaware became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The Company was the surviving corporation in the Merger. The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the second and final step in the acquisition by Parent of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Agreement and Plan of Merger, dated as of May 3, 1999, by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among Parent, Purchaser, and the Company (the "Merger Agreement"). The first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 was the consummation of the Offer. Pursuant to the Merger Agreement,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outstanding immediately prior to the effective time of the Merger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Shares held by Parent, the Purchaser, or any of their respective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affiliates and Shares, if any, held by stockholders who demand and perfect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dissenter's rights under Delaware law) was converted into the right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 $8.05 per Share in cash. As a result of the Merger, the Company is now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wholly owned subsidiary of Parent.</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MATERIAL TO BE FILED AS EXHIBITS.</w:t>
      </w:r>
    </w:p>
    <w:p>
      <w:pPr>
        <w:spacing w:after="0" w:line="188" w:lineRule="exact"/>
        <w:rPr>
          <w:sz w:val="20"/>
          <w:szCs w:val="20"/>
          <w:color w:val="auto"/>
        </w:rPr>
      </w:pPr>
    </w:p>
    <w:p>
      <w:pPr>
        <w:ind w:right="3059" w:firstLine="858"/>
        <w:spacing w:after="0" w:line="239" w:lineRule="auto"/>
        <w:rPr>
          <w:sz w:val="20"/>
          <w:szCs w:val="20"/>
          <w:color w:val="auto"/>
        </w:rPr>
      </w:pPr>
      <w:r>
        <w:rPr>
          <w:rFonts w:ascii="Courier New" w:cs="Courier New" w:eastAsia="Courier New" w:hAnsi="Courier New"/>
          <w:sz w:val="16"/>
          <w:szCs w:val="16"/>
          <w:color w:val="auto"/>
        </w:rPr>
        <w:t>99(a)(15) Text of Press Release issued by the Purchaser and Parent dated August 16, 1999.</w:t>
      </w:r>
    </w:p>
    <w:p>
      <w:pPr>
        <w:spacing w:after="0" w:line="189" w:lineRule="exact"/>
        <w:rPr>
          <w:sz w:val="20"/>
          <w:szCs w:val="20"/>
          <w:color w:val="auto"/>
        </w:rPr>
      </w:pPr>
    </w:p>
    <w:p>
      <w:pPr>
        <w:ind w:right="3059" w:firstLine="858"/>
        <w:spacing w:after="0" w:line="239" w:lineRule="auto"/>
        <w:rPr>
          <w:sz w:val="20"/>
          <w:szCs w:val="20"/>
          <w:color w:val="auto"/>
        </w:rPr>
      </w:pPr>
      <w:r>
        <w:rPr>
          <w:rFonts w:ascii="Courier New" w:cs="Courier New" w:eastAsia="Courier New" w:hAnsi="Courier New"/>
          <w:sz w:val="16"/>
          <w:szCs w:val="16"/>
          <w:color w:val="auto"/>
        </w:rPr>
        <w:t>99(a)(16) Text of Press Release issued by the Purchaser and Parent dated August 16, 1999.</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219"/>
          </w:cols>
          <w:pgMar w:left="240" w:top="298"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2879" w:firstLine="858"/>
        <w:spacing w:after="0"/>
        <w:rPr>
          <w:sz w:val="20"/>
          <w:szCs w:val="20"/>
          <w:color w:val="auto"/>
        </w:rPr>
      </w:pPr>
      <w:r>
        <w:rPr>
          <w:rFonts w:ascii="Courier New" w:cs="Courier New" w:eastAsia="Courier New" w:hAnsi="Courier New"/>
          <w:sz w:val="16"/>
          <w:szCs w:val="16"/>
          <w:color w:val="auto"/>
        </w:rPr>
        <w:t>After due inquiry and to the best of their knowledge and belief, the undersigned certify that the information set forth in this statement is true, complete and correct.</w:t>
      </w:r>
    </w:p>
    <w:p>
      <w:pPr>
        <w:sectPr>
          <w:pgSz w:w="11900" w:h="16838" w:orient="portrait"/>
          <w:cols w:equalWidth="0" w:num="1">
            <w:col w:w="10219"/>
          </w:cols>
          <w:pgMar w:left="240" w:top="298" w:right="1440" w:bottom="1440" w:gutter="0" w:footer="0" w:header="0"/>
        </w:sectPr>
      </w:pPr>
    </w:p>
    <w:p>
      <w:pPr>
        <w:spacing w:after="0" w:line="3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16, 1999</w:t>
      </w:r>
    </w:p>
    <w:p>
      <w:pPr>
        <w:spacing w:after="0" w:line="200" w:lineRule="exact"/>
        <w:rPr>
          <w:sz w:val="20"/>
          <w:szCs w:val="20"/>
          <w:color w:val="auto"/>
        </w:rPr>
      </w:pPr>
    </w:p>
    <w:p>
      <w:pPr>
        <w:sectPr>
          <w:pgSz w:w="11900" w:h="16838" w:orient="portrait"/>
          <w:cols w:equalWidth="0" w:num="2">
            <w:col w:w="3900" w:space="300"/>
            <w:col w:w="6019"/>
          </w:cols>
          <w:pgMar w:left="240" w:top="298" w:right="1440" w:bottom="1440" w:gutter="0" w:footer="0" w:header="0"/>
          <w:type w:val="continuous"/>
        </w:sectPr>
      </w:pP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SENSOR ACQUISITION CORPORATION</w:t>
      </w:r>
    </w:p>
    <w:p>
      <w:pPr>
        <w:spacing w:after="0" w:line="369" w:lineRule="exact"/>
        <w:rPr>
          <w:sz w:val="20"/>
          <w:szCs w:val="20"/>
          <w:color w:val="auto"/>
        </w:rPr>
      </w:pPr>
    </w:p>
    <w:p>
      <w:pPr>
        <w:ind w:left="3340"/>
        <w:spacing w:after="0"/>
        <w:tabs>
          <w:tab w:leader="none" w:pos="41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B. Aylesworth</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340"/>
        <w:spacing w:after="0"/>
        <w:tabs>
          <w:tab w:leader="none" w:pos="41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William B. Aylesworth</w:t>
      </w:r>
    </w:p>
    <w:p>
      <w:pPr>
        <w:spacing w:after="0" w:line="2" w:lineRule="exact"/>
        <w:rPr>
          <w:sz w:val="20"/>
          <w:szCs w:val="20"/>
          <w:color w:val="auto"/>
        </w:rPr>
      </w:pPr>
    </w:p>
    <w:p>
      <w:pPr>
        <w:ind w:left="3340"/>
        <w:spacing w:after="0"/>
        <w:tabs>
          <w:tab w:leader="none" w:pos="41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35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TEXAS INSTRUMENTS INCORPORATED</w:t>
      </w:r>
    </w:p>
    <w:p>
      <w:pPr>
        <w:spacing w:after="0" w:line="369" w:lineRule="exact"/>
        <w:rPr>
          <w:sz w:val="20"/>
          <w:szCs w:val="20"/>
          <w:color w:val="auto"/>
        </w:rPr>
      </w:pPr>
    </w:p>
    <w:p>
      <w:pPr>
        <w:ind w:left="3340"/>
        <w:spacing w:after="0"/>
        <w:tabs>
          <w:tab w:leader="none" w:pos="41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B. Aylesworth</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340"/>
        <w:spacing w:after="0"/>
        <w:tabs>
          <w:tab w:leader="none" w:pos="418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William B. Aylesworth</w:t>
      </w:r>
    </w:p>
    <w:p>
      <w:pPr>
        <w:spacing w:after="0" w:line="2" w:lineRule="exact"/>
        <w:rPr>
          <w:sz w:val="20"/>
          <w:szCs w:val="20"/>
          <w:color w:val="auto"/>
        </w:rPr>
      </w:pPr>
    </w:p>
    <w:p>
      <w:pPr>
        <w:ind w:left="3340"/>
        <w:spacing w:after="0"/>
        <w:tabs>
          <w:tab w:leader="none" w:pos="41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Senior Vice President, Treasurer</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1">
            <w:col w:w="10219"/>
          </w:cols>
          <w:pgMar w:left="240" w:top="298" w:right="1440" w:bottom="1440" w:gutter="0" w:footer="0" w:header="0"/>
          <w:type w:val="continuous"/>
        </w:sectPr>
      </w:pPr>
    </w:p>
    <w:bookmarkStart w:id="4" w:name="page5"/>
    <w:bookmarkEnd w:id="4"/>
    <w:p>
      <w:pPr>
        <w:ind w:left="282"/>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EXHIBIT INDEX</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902" w:right="2979" w:hanging="1899"/>
        <w:spacing w:after="0" w:line="239" w:lineRule="auto"/>
        <w:tabs>
          <w:tab w:leader="none" w:pos="1882" w:val="left"/>
        </w:tabs>
        <w:rPr>
          <w:sz w:val="20"/>
          <w:szCs w:val="20"/>
          <w:color w:val="auto"/>
        </w:rPr>
      </w:pPr>
      <w:r>
        <w:rPr>
          <w:rFonts w:ascii="Courier New" w:cs="Courier New" w:eastAsia="Courier New" w:hAnsi="Courier New"/>
          <w:sz w:val="16"/>
          <w:szCs w:val="16"/>
          <w:color w:val="auto"/>
        </w:rPr>
        <w:t>99(a)(16)</w:t>
      </w:r>
      <w:r>
        <w:rPr>
          <w:sz w:val="20"/>
          <w:szCs w:val="20"/>
          <w:color w:val="auto"/>
        </w:rPr>
        <w:tab/>
      </w:r>
      <w:r>
        <w:rPr>
          <w:rFonts w:ascii="Courier New" w:cs="Courier New" w:eastAsia="Courier New" w:hAnsi="Courier New"/>
          <w:sz w:val="16"/>
          <w:szCs w:val="16"/>
          <w:color w:val="auto"/>
        </w:rPr>
        <w:t>Text of Press Release issued by the Purchaser and Parent dated August 16, 1999.</w:t>
      </w:r>
    </w:p>
    <w:p>
      <w:pPr>
        <w:spacing w:after="0" w:line="189" w:lineRule="exact"/>
        <w:rPr>
          <w:sz w:val="20"/>
          <w:szCs w:val="20"/>
          <w:color w:val="auto"/>
        </w:rPr>
      </w:pPr>
    </w:p>
    <w:p>
      <w:pPr>
        <w:ind w:left="1902" w:right="2979" w:hanging="1899"/>
        <w:spacing w:after="0" w:line="239" w:lineRule="auto"/>
        <w:tabs>
          <w:tab w:leader="none" w:pos="1882" w:val="left"/>
        </w:tabs>
        <w:rPr>
          <w:sz w:val="20"/>
          <w:szCs w:val="20"/>
          <w:color w:val="auto"/>
        </w:rPr>
      </w:pPr>
      <w:r>
        <w:rPr>
          <w:rFonts w:ascii="Courier New" w:cs="Courier New" w:eastAsia="Courier New" w:hAnsi="Courier New"/>
          <w:sz w:val="16"/>
          <w:szCs w:val="16"/>
          <w:color w:val="auto"/>
        </w:rPr>
        <w:t>99(a)(15)</w:t>
      </w:r>
      <w:r>
        <w:rPr>
          <w:sz w:val="20"/>
          <w:szCs w:val="20"/>
          <w:color w:val="auto"/>
        </w:rPr>
        <w:tab/>
      </w:r>
      <w:r>
        <w:rPr>
          <w:rFonts w:ascii="Courier New" w:cs="Courier New" w:eastAsia="Courier New" w:hAnsi="Courier New"/>
          <w:sz w:val="16"/>
          <w:szCs w:val="16"/>
          <w:color w:val="auto"/>
        </w:rPr>
        <w:t>Text of Press Release issued by the Purchaser and Parent dated August 16, 1999.</w:t>
      </w:r>
    </w:p>
    <w:p>
      <w:pPr>
        <w:spacing w:after="0" w:line="189" w:lineRule="exact"/>
        <w:rPr>
          <w:sz w:val="20"/>
          <w:szCs w:val="20"/>
          <w:color w:val="auto"/>
        </w:rPr>
      </w:pPr>
    </w:p>
    <w:p>
      <w:pPr>
        <w:ind w:left="1902" w:right="2979" w:hanging="1899"/>
        <w:spacing w:after="0" w:line="239" w:lineRule="auto"/>
        <w:tabs>
          <w:tab w:leader="none" w:pos="1882" w:val="left"/>
        </w:tabs>
        <w:rPr>
          <w:sz w:val="20"/>
          <w:szCs w:val="20"/>
          <w:color w:val="auto"/>
        </w:rPr>
      </w:pPr>
      <w:r>
        <w:rPr>
          <w:rFonts w:ascii="Courier New" w:cs="Courier New" w:eastAsia="Courier New" w:hAnsi="Courier New"/>
          <w:sz w:val="16"/>
          <w:szCs w:val="16"/>
          <w:color w:val="auto"/>
        </w:rPr>
        <w:t>99(a)(14)</w:t>
      </w:r>
      <w:r>
        <w:rPr>
          <w:sz w:val="20"/>
          <w:szCs w:val="20"/>
          <w:color w:val="auto"/>
        </w:rPr>
        <w:tab/>
      </w:r>
      <w:r>
        <w:rPr>
          <w:rFonts w:ascii="Courier New" w:cs="Courier New" w:eastAsia="Courier New" w:hAnsi="Courier New"/>
          <w:sz w:val="16"/>
          <w:szCs w:val="16"/>
          <w:color w:val="auto"/>
        </w:rPr>
        <w:t>Text of Press Release issued by the Purchaser and Parent dated August 2, 1999.++</w:t>
      </w:r>
    </w:p>
    <w:p>
      <w:pPr>
        <w:spacing w:after="0" w:line="189" w:lineRule="exact"/>
        <w:rPr>
          <w:sz w:val="20"/>
          <w:szCs w:val="20"/>
          <w:color w:val="auto"/>
        </w:rPr>
      </w:pPr>
    </w:p>
    <w:p>
      <w:pPr>
        <w:ind w:left="1902" w:right="2979" w:hanging="1899"/>
        <w:spacing w:after="0" w:line="239" w:lineRule="auto"/>
        <w:tabs>
          <w:tab w:leader="none" w:pos="1882" w:val="left"/>
        </w:tabs>
        <w:rPr>
          <w:sz w:val="20"/>
          <w:szCs w:val="20"/>
          <w:color w:val="auto"/>
        </w:rPr>
      </w:pPr>
      <w:r>
        <w:rPr>
          <w:rFonts w:ascii="Courier New" w:cs="Courier New" w:eastAsia="Courier New" w:hAnsi="Courier New"/>
          <w:sz w:val="16"/>
          <w:szCs w:val="16"/>
          <w:color w:val="auto"/>
        </w:rPr>
        <w:t>99(a)(13)</w:t>
      </w:r>
      <w:r>
        <w:rPr>
          <w:sz w:val="20"/>
          <w:szCs w:val="20"/>
          <w:color w:val="auto"/>
        </w:rPr>
        <w:tab/>
      </w:r>
      <w:r>
        <w:rPr>
          <w:rFonts w:ascii="Courier New" w:cs="Courier New" w:eastAsia="Courier New" w:hAnsi="Courier New"/>
          <w:sz w:val="16"/>
          <w:szCs w:val="16"/>
          <w:color w:val="auto"/>
        </w:rPr>
        <w:t>Text of Press Release issued by the Purchaser and Parent dated July 26, 1999.+</w:t>
      </w:r>
    </w:p>
    <w:p>
      <w:pPr>
        <w:spacing w:after="0" w:line="189" w:lineRule="exact"/>
        <w:rPr>
          <w:sz w:val="20"/>
          <w:szCs w:val="20"/>
          <w:color w:val="auto"/>
        </w:rPr>
      </w:pPr>
    </w:p>
    <w:p>
      <w:pPr>
        <w:ind w:left="1902" w:right="2979" w:hanging="1899"/>
        <w:spacing w:after="0" w:line="239" w:lineRule="auto"/>
        <w:tabs>
          <w:tab w:leader="none" w:pos="1882" w:val="left"/>
        </w:tabs>
        <w:rPr>
          <w:sz w:val="20"/>
          <w:szCs w:val="20"/>
          <w:color w:val="auto"/>
        </w:rPr>
      </w:pPr>
      <w:r>
        <w:rPr>
          <w:rFonts w:ascii="Courier New" w:cs="Courier New" w:eastAsia="Courier New" w:hAnsi="Courier New"/>
          <w:sz w:val="16"/>
          <w:szCs w:val="16"/>
          <w:color w:val="auto"/>
        </w:rPr>
        <w:t>99(a)(12)</w:t>
      </w:r>
      <w:r>
        <w:rPr>
          <w:sz w:val="20"/>
          <w:szCs w:val="20"/>
          <w:color w:val="auto"/>
        </w:rPr>
        <w:tab/>
      </w:r>
      <w:r>
        <w:rPr>
          <w:rFonts w:ascii="Courier New" w:cs="Courier New" w:eastAsia="Courier New" w:hAnsi="Courier New"/>
          <w:sz w:val="16"/>
          <w:szCs w:val="16"/>
          <w:color w:val="auto"/>
        </w:rPr>
        <w:t>Text of Press Release issued by the Purchaser and Parent dated July 19, 1999.*****</w:t>
      </w:r>
    </w:p>
    <w:p>
      <w:pPr>
        <w:spacing w:after="0" w:line="189" w:lineRule="exact"/>
        <w:rPr>
          <w:sz w:val="20"/>
          <w:szCs w:val="20"/>
          <w:color w:val="auto"/>
        </w:rPr>
      </w:pPr>
    </w:p>
    <w:p>
      <w:pPr>
        <w:ind w:left="1902" w:right="2979" w:hanging="1899"/>
        <w:spacing w:after="0" w:line="239" w:lineRule="auto"/>
        <w:tabs>
          <w:tab w:leader="none" w:pos="1882" w:val="left"/>
        </w:tabs>
        <w:rPr>
          <w:sz w:val="20"/>
          <w:szCs w:val="20"/>
          <w:color w:val="auto"/>
        </w:rPr>
      </w:pPr>
      <w:r>
        <w:rPr>
          <w:rFonts w:ascii="Courier New" w:cs="Courier New" w:eastAsia="Courier New" w:hAnsi="Courier New"/>
          <w:sz w:val="16"/>
          <w:szCs w:val="16"/>
          <w:color w:val="auto"/>
        </w:rPr>
        <w:t>99(a)(11)</w:t>
      </w:r>
      <w:r>
        <w:rPr>
          <w:sz w:val="20"/>
          <w:szCs w:val="20"/>
          <w:color w:val="auto"/>
        </w:rPr>
        <w:tab/>
      </w:r>
      <w:r>
        <w:rPr>
          <w:rFonts w:ascii="Courier New" w:cs="Courier New" w:eastAsia="Courier New" w:hAnsi="Courier New"/>
          <w:sz w:val="16"/>
          <w:szCs w:val="16"/>
          <w:color w:val="auto"/>
        </w:rPr>
        <w:t>Text of Press Release issued by the Purchaser and Parent dated July 6, 1999.****</w:t>
      </w:r>
    </w:p>
    <w:p>
      <w:pPr>
        <w:spacing w:after="0" w:line="189" w:lineRule="exact"/>
        <w:rPr>
          <w:sz w:val="20"/>
          <w:szCs w:val="20"/>
          <w:color w:val="auto"/>
        </w:rPr>
      </w:pPr>
    </w:p>
    <w:p>
      <w:pPr>
        <w:ind w:left="1902" w:right="2979" w:hanging="1899"/>
        <w:spacing w:after="0" w:line="239" w:lineRule="auto"/>
        <w:tabs>
          <w:tab w:leader="none" w:pos="1882" w:val="left"/>
        </w:tabs>
        <w:rPr>
          <w:sz w:val="20"/>
          <w:szCs w:val="20"/>
          <w:color w:val="auto"/>
        </w:rPr>
      </w:pPr>
      <w:r>
        <w:rPr>
          <w:rFonts w:ascii="Courier New" w:cs="Courier New" w:eastAsia="Courier New" w:hAnsi="Courier New"/>
          <w:sz w:val="16"/>
          <w:szCs w:val="16"/>
          <w:color w:val="auto"/>
        </w:rPr>
        <w:t>99(a)(10)</w:t>
      </w:r>
      <w:r>
        <w:rPr>
          <w:sz w:val="20"/>
          <w:szCs w:val="20"/>
          <w:color w:val="auto"/>
        </w:rPr>
        <w:tab/>
      </w:r>
      <w:r>
        <w:rPr>
          <w:rFonts w:ascii="Courier New" w:cs="Courier New" w:eastAsia="Courier New" w:hAnsi="Courier New"/>
          <w:sz w:val="16"/>
          <w:szCs w:val="16"/>
          <w:color w:val="auto"/>
        </w:rPr>
        <w:t>Text of Press Release issued by the Purchaser and Parent dated June 28, 1999.***</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340" w:type="dxa"/>
            <w:vAlign w:val="bottom"/>
          </w:tcPr>
          <w:p>
            <w:pPr>
              <w:spacing w:after="0"/>
              <w:rPr>
                <w:sz w:val="20"/>
                <w:szCs w:val="20"/>
                <w:color w:val="auto"/>
              </w:rPr>
            </w:pPr>
            <w:r>
              <w:rPr>
                <w:rFonts w:ascii="Courier New" w:cs="Courier New" w:eastAsia="Courier New" w:hAnsi="Courier New"/>
                <w:sz w:val="16"/>
                <w:szCs w:val="16"/>
                <w:color w:val="auto"/>
              </w:rPr>
              <w:t>99(a)(9)</w:t>
            </w:r>
          </w:p>
        </w:tc>
        <w:tc>
          <w:tcPr>
            <w:tcW w:w="1860" w:type="dxa"/>
            <w:vAlign w:val="bottom"/>
          </w:tcPr>
          <w:p>
            <w:pPr>
              <w:ind w:left="560"/>
              <w:spacing w:after="0"/>
              <w:rPr>
                <w:sz w:val="20"/>
                <w:szCs w:val="20"/>
                <w:color w:val="auto"/>
              </w:rPr>
            </w:pPr>
            <w:r>
              <w:rPr>
                <w:rFonts w:ascii="Courier New" w:cs="Courier New" w:eastAsia="Courier New" w:hAnsi="Courier New"/>
                <w:sz w:val="16"/>
                <w:szCs w:val="16"/>
                <w:color w:val="auto"/>
              </w:rPr>
              <w:t>Text of Press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Release</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issued by</w:t>
            </w:r>
          </w:p>
        </w:tc>
        <w:tc>
          <w:tcPr>
            <w:tcW w:w="2660" w:type="dxa"/>
            <w:vAlign w:val="bottom"/>
          </w:tcPr>
          <w:p>
            <w:pPr>
              <w:spacing w:after="0"/>
              <w:rPr>
                <w:sz w:val="20"/>
                <w:szCs w:val="20"/>
                <w:color w:val="auto"/>
              </w:rPr>
            </w:pPr>
            <w:r>
              <w:rPr>
                <w:rFonts w:ascii="Courier New" w:cs="Courier New" w:eastAsia="Courier New" w:hAnsi="Courier New"/>
                <w:sz w:val="16"/>
                <w:szCs w:val="16"/>
                <w:color w:val="auto"/>
              </w:rPr>
              <w:t>the Purchaser and Parent</w:t>
            </w:r>
          </w:p>
        </w:tc>
      </w:tr>
      <w:tr>
        <w:trPr>
          <w:trHeight w:val="183"/>
        </w:trPr>
        <w:tc>
          <w:tcPr>
            <w:tcW w:w="1340" w:type="dxa"/>
            <w:vAlign w:val="bottom"/>
          </w:tcPr>
          <w:p>
            <w:pPr>
              <w:spacing w:after="0"/>
              <w:rPr>
                <w:sz w:val="15"/>
                <w:szCs w:val="15"/>
                <w:color w:val="auto"/>
              </w:rPr>
            </w:pPr>
          </w:p>
        </w:tc>
        <w:tc>
          <w:tcPr>
            <w:tcW w:w="1860" w:type="dxa"/>
            <w:vAlign w:val="bottom"/>
          </w:tcPr>
          <w:p>
            <w:pPr>
              <w:ind w:left="560"/>
              <w:spacing w:after="0"/>
              <w:rPr>
                <w:sz w:val="20"/>
                <w:szCs w:val="20"/>
                <w:color w:val="auto"/>
              </w:rPr>
            </w:pPr>
            <w:r>
              <w:rPr>
                <w:rFonts w:ascii="Courier New" w:cs="Courier New" w:eastAsia="Courier New" w:hAnsi="Courier New"/>
                <w:sz w:val="16"/>
                <w:szCs w:val="16"/>
                <w:color w:val="auto"/>
              </w:rPr>
              <w:t>dated June 7,</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00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99(c)(1)</w:t>
            </w:r>
          </w:p>
        </w:tc>
        <w:tc>
          <w:tcPr>
            <w:tcW w:w="1860" w:type="dxa"/>
            <w:vAlign w:val="bottom"/>
          </w:tcPr>
          <w:p>
            <w:pPr>
              <w:ind w:left="560"/>
              <w:spacing w:after="0"/>
              <w:rPr>
                <w:sz w:val="20"/>
                <w:szCs w:val="20"/>
                <w:color w:val="auto"/>
              </w:rPr>
            </w:pPr>
            <w:r>
              <w:rPr>
                <w:rFonts w:ascii="Courier New" w:cs="Courier New" w:eastAsia="Courier New" w:hAnsi="Courier New"/>
                <w:sz w:val="16"/>
                <w:szCs w:val="16"/>
                <w:color w:val="auto"/>
              </w:rPr>
              <w:t>Agreement and</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Plan of</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Merger dated as of May 3, 1999, by and</w:t>
            </w:r>
          </w:p>
        </w:tc>
      </w:tr>
      <w:tr>
        <w:trPr>
          <w:trHeight w:val="183"/>
        </w:trPr>
        <w:tc>
          <w:tcPr>
            <w:tcW w:w="1340" w:type="dxa"/>
            <w:vAlign w:val="bottom"/>
          </w:tcPr>
          <w:p>
            <w:pPr>
              <w:spacing w:after="0"/>
              <w:rPr>
                <w:sz w:val="15"/>
                <w:szCs w:val="15"/>
                <w:color w:val="auto"/>
              </w:rPr>
            </w:pPr>
          </w:p>
        </w:tc>
        <w:tc>
          <w:tcPr>
            <w:tcW w:w="1860" w:type="dxa"/>
            <w:vAlign w:val="bottom"/>
          </w:tcPr>
          <w:p>
            <w:pPr>
              <w:ind w:left="560"/>
              <w:spacing w:after="0"/>
              <w:rPr>
                <w:sz w:val="20"/>
                <w:szCs w:val="20"/>
                <w:color w:val="auto"/>
              </w:rPr>
            </w:pPr>
            <w:r>
              <w:rPr>
                <w:rFonts w:ascii="Courier New" w:cs="Courier New" w:eastAsia="Courier New" w:hAnsi="Courier New"/>
                <w:sz w:val="16"/>
                <w:szCs w:val="16"/>
                <w:color w:val="auto"/>
              </w:rPr>
              <w:t>among Parent,</w:t>
            </w:r>
          </w:p>
        </w:tc>
        <w:tc>
          <w:tcPr>
            <w:tcW w:w="1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Purchaser and</w:t>
            </w:r>
          </w:p>
        </w:tc>
        <w:tc>
          <w:tcPr>
            <w:tcW w:w="2660" w:type="dxa"/>
            <w:vAlign w:val="bottom"/>
          </w:tcPr>
          <w:p>
            <w:pPr>
              <w:spacing w:after="0"/>
              <w:rPr>
                <w:sz w:val="20"/>
                <w:szCs w:val="20"/>
                <w:color w:val="auto"/>
              </w:rPr>
            </w:pPr>
            <w:r>
              <w:rPr>
                <w:rFonts w:ascii="Courier New" w:cs="Courier New" w:eastAsia="Courier New" w:hAnsi="Courier New"/>
                <w:sz w:val="16"/>
                <w:szCs w:val="16"/>
                <w:color w:val="auto"/>
              </w:rPr>
              <w:t>the Company.*</w:t>
            </w: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99(c)(2)</w:t>
            </w:r>
          </w:p>
        </w:tc>
        <w:tc>
          <w:tcPr>
            <w:tcW w:w="3620" w:type="dxa"/>
            <w:vAlign w:val="bottom"/>
            <w:gridSpan w:val="3"/>
          </w:tcPr>
          <w:p>
            <w:pPr>
              <w:ind w:left="560"/>
              <w:spacing w:after="0"/>
              <w:rPr>
                <w:sz w:val="20"/>
                <w:szCs w:val="20"/>
                <w:color w:val="auto"/>
              </w:rPr>
            </w:pPr>
            <w:r>
              <w:rPr>
                <w:rFonts w:ascii="Courier New" w:cs="Courier New" w:eastAsia="Courier New" w:hAnsi="Courier New"/>
                <w:sz w:val="16"/>
                <w:szCs w:val="16"/>
                <w:color w:val="auto"/>
              </w:rPr>
              <w:t>Stockholders Agreement dated as</w:t>
            </w:r>
          </w:p>
        </w:tc>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of May 3, 1999, by and among</w:t>
            </w:r>
          </w:p>
        </w:tc>
      </w:tr>
      <w:tr>
        <w:trPr>
          <w:trHeight w:val="183"/>
        </w:trPr>
        <w:tc>
          <w:tcPr>
            <w:tcW w:w="1340" w:type="dxa"/>
            <w:vAlign w:val="bottom"/>
          </w:tcPr>
          <w:p>
            <w:pPr>
              <w:spacing w:after="0"/>
              <w:rPr>
                <w:sz w:val="15"/>
                <w:szCs w:val="15"/>
                <w:color w:val="auto"/>
              </w:rPr>
            </w:pPr>
          </w:p>
        </w:tc>
        <w:tc>
          <w:tcPr>
            <w:tcW w:w="262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the Purchaser, Manher</w:t>
            </w:r>
          </w:p>
        </w:tc>
        <w:tc>
          <w:tcPr>
            <w:tcW w:w="3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 Naik, Donald Paulus, Ramesh Sirsi,</w:t>
            </w:r>
          </w:p>
        </w:tc>
      </w:tr>
      <w:tr>
        <w:trPr>
          <w:trHeight w:val="183"/>
        </w:trPr>
        <w:tc>
          <w:tcPr>
            <w:tcW w:w="1340" w:type="dxa"/>
            <w:vAlign w:val="bottom"/>
          </w:tcPr>
          <w:p>
            <w:pPr>
              <w:spacing w:after="0"/>
              <w:rPr>
                <w:sz w:val="15"/>
                <w:szCs w:val="15"/>
                <w:color w:val="auto"/>
              </w:rPr>
            </w:pPr>
          </w:p>
        </w:tc>
        <w:tc>
          <w:tcPr>
            <w:tcW w:w="3620" w:type="dxa"/>
            <w:vAlign w:val="bottom"/>
            <w:gridSpan w:val="3"/>
          </w:tcPr>
          <w:p>
            <w:pPr>
              <w:ind w:left="560"/>
              <w:spacing w:after="0"/>
              <w:rPr>
                <w:sz w:val="20"/>
                <w:szCs w:val="20"/>
                <w:color w:val="auto"/>
              </w:rPr>
            </w:pPr>
            <w:r>
              <w:rPr>
                <w:rFonts w:ascii="Courier New" w:cs="Courier New" w:eastAsia="Courier New" w:hAnsi="Courier New"/>
                <w:sz w:val="16"/>
                <w:szCs w:val="16"/>
                <w:color w:val="auto"/>
              </w:rPr>
              <w:t>David Satterfield, Nagano Keiki</w:t>
            </w:r>
          </w:p>
        </w:tc>
        <w:tc>
          <w:tcPr>
            <w:tcW w:w="2660" w:type="dxa"/>
            <w:vAlign w:val="bottom"/>
          </w:tcPr>
          <w:p>
            <w:pPr>
              <w:spacing w:after="0"/>
              <w:rPr>
                <w:sz w:val="20"/>
                <w:szCs w:val="20"/>
                <w:color w:val="auto"/>
              </w:rPr>
            </w:pPr>
            <w:r>
              <w:rPr>
                <w:rFonts w:ascii="Courier New" w:cs="Courier New" w:eastAsia="Courier New" w:hAnsi="Courier New"/>
                <w:sz w:val="16"/>
                <w:szCs w:val="16"/>
                <w:color w:val="auto"/>
              </w:rPr>
              <w:t>Co., Ltd., Breed</w:t>
            </w:r>
          </w:p>
        </w:tc>
      </w:tr>
      <w:tr>
        <w:trPr>
          <w:trHeight w:val="183"/>
        </w:trPr>
        <w:tc>
          <w:tcPr>
            <w:tcW w:w="1340" w:type="dxa"/>
            <w:vAlign w:val="bottom"/>
          </w:tcPr>
          <w:p>
            <w:pPr>
              <w:spacing w:after="0"/>
              <w:rPr>
                <w:sz w:val="15"/>
                <w:szCs w:val="15"/>
                <w:color w:val="auto"/>
              </w:rPr>
            </w:pPr>
          </w:p>
        </w:tc>
        <w:tc>
          <w:tcPr>
            <w:tcW w:w="1860" w:type="dxa"/>
            <w:vAlign w:val="bottom"/>
          </w:tcPr>
          <w:p>
            <w:pPr>
              <w:ind w:left="560"/>
              <w:spacing w:after="0"/>
              <w:rPr>
                <w:sz w:val="20"/>
                <w:szCs w:val="20"/>
                <w:color w:val="auto"/>
              </w:rPr>
            </w:pPr>
            <w:r>
              <w:rPr>
                <w:rFonts w:ascii="Courier New" w:cs="Courier New" w:eastAsia="Courier New" w:hAnsi="Courier New"/>
                <w:sz w:val="16"/>
                <w:szCs w:val="16"/>
                <w:color w:val="auto"/>
              </w:rPr>
              <w:t>Technologies,</w:t>
            </w:r>
          </w:p>
        </w:tc>
        <w:tc>
          <w:tcPr>
            <w:tcW w:w="44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Inc., WK Technology Funds, and Vinod K. Sood,</w:t>
            </w:r>
          </w:p>
        </w:tc>
      </w:tr>
      <w:tr>
        <w:trPr>
          <w:trHeight w:val="183"/>
        </w:trPr>
        <w:tc>
          <w:tcPr>
            <w:tcW w:w="1340" w:type="dxa"/>
            <w:vAlign w:val="bottom"/>
          </w:tcPr>
          <w:p>
            <w:pPr>
              <w:spacing w:after="0"/>
              <w:rPr>
                <w:sz w:val="15"/>
                <w:szCs w:val="15"/>
                <w:color w:val="auto"/>
              </w:rPr>
            </w:pPr>
          </w:p>
        </w:tc>
        <w:tc>
          <w:tcPr>
            <w:tcW w:w="6280" w:type="dxa"/>
            <w:vAlign w:val="bottom"/>
            <w:gridSpan w:val="4"/>
          </w:tcPr>
          <w:p>
            <w:pPr>
              <w:ind w:left="560"/>
              <w:spacing w:after="0"/>
              <w:rPr>
                <w:sz w:val="20"/>
                <w:szCs w:val="20"/>
                <w:color w:val="auto"/>
              </w:rPr>
            </w:pPr>
            <w:r>
              <w:rPr>
                <w:rFonts w:ascii="Courier New" w:cs="Courier New" w:eastAsia="Courier New" w:hAnsi="Courier New"/>
                <w:sz w:val="16"/>
                <w:szCs w:val="16"/>
                <w:color w:val="auto"/>
              </w:rPr>
              <w:t>Sood Family Trust dated 5/14/90.*</w:t>
            </w: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99(c)(3)</w:t>
            </w:r>
          </w:p>
        </w:tc>
        <w:tc>
          <w:tcPr>
            <w:tcW w:w="3620" w:type="dxa"/>
            <w:vAlign w:val="bottom"/>
            <w:gridSpan w:val="3"/>
          </w:tcPr>
          <w:p>
            <w:pPr>
              <w:ind w:left="560"/>
              <w:spacing w:after="0"/>
              <w:rPr>
                <w:sz w:val="20"/>
                <w:szCs w:val="20"/>
                <w:color w:val="auto"/>
              </w:rPr>
            </w:pPr>
            <w:r>
              <w:rPr>
                <w:rFonts w:ascii="Courier New" w:cs="Courier New" w:eastAsia="Courier New" w:hAnsi="Courier New"/>
                <w:sz w:val="16"/>
                <w:szCs w:val="16"/>
                <w:color w:val="auto"/>
              </w:rPr>
              <w:t>Confidentiality Agreement dated</w:t>
            </w:r>
          </w:p>
        </w:tc>
        <w:tc>
          <w:tcPr>
            <w:tcW w:w="2660" w:type="dxa"/>
            <w:vAlign w:val="bottom"/>
          </w:tcPr>
          <w:p>
            <w:pPr>
              <w:spacing w:after="0"/>
              <w:rPr>
                <w:sz w:val="20"/>
                <w:szCs w:val="20"/>
                <w:color w:val="auto"/>
              </w:rPr>
            </w:pPr>
            <w:r>
              <w:rPr>
                <w:rFonts w:ascii="Courier New" w:cs="Courier New" w:eastAsia="Courier New" w:hAnsi="Courier New"/>
                <w:sz w:val="16"/>
                <w:szCs w:val="16"/>
                <w:color w:val="auto"/>
              </w:rPr>
              <w:t>as of March 2, 1999, by and</w:t>
            </w:r>
          </w:p>
        </w:tc>
      </w:tr>
      <w:tr>
        <w:trPr>
          <w:trHeight w:val="183"/>
        </w:trPr>
        <w:tc>
          <w:tcPr>
            <w:tcW w:w="1340" w:type="dxa"/>
            <w:vAlign w:val="bottom"/>
          </w:tcPr>
          <w:p>
            <w:pPr>
              <w:spacing w:after="0"/>
              <w:rPr>
                <w:sz w:val="15"/>
                <w:szCs w:val="15"/>
                <w:color w:val="auto"/>
              </w:rPr>
            </w:pPr>
          </w:p>
        </w:tc>
        <w:tc>
          <w:tcPr>
            <w:tcW w:w="3620" w:type="dxa"/>
            <w:vAlign w:val="bottom"/>
            <w:gridSpan w:val="3"/>
          </w:tcPr>
          <w:p>
            <w:pPr>
              <w:ind w:left="560"/>
              <w:spacing w:after="0"/>
              <w:rPr>
                <w:sz w:val="20"/>
                <w:szCs w:val="20"/>
                <w:color w:val="auto"/>
              </w:rPr>
            </w:pPr>
            <w:r>
              <w:rPr>
                <w:rFonts w:ascii="Courier New" w:cs="Courier New" w:eastAsia="Courier New" w:hAnsi="Courier New"/>
                <w:sz w:val="16"/>
                <w:szCs w:val="16"/>
                <w:color w:val="auto"/>
                <w:w w:val="98"/>
              </w:rPr>
              <w:t>between Parent and the Company.*</w:t>
            </w:r>
          </w:p>
        </w:tc>
        <w:tc>
          <w:tcPr>
            <w:tcW w:w="26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2" w:hanging="582"/>
        <w:spacing w:after="0"/>
        <w:tabs>
          <w:tab w:leader="none" w:pos="5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Schedule 14D-1.</w:t>
      </w:r>
    </w:p>
    <w:p>
      <w:pPr>
        <w:spacing w:after="0" w:line="186" w:lineRule="exact"/>
        <w:rPr>
          <w:sz w:val="20"/>
          <w:szCs w:val="20"/>
          <w:color w:val="auto"/>
        </w:rPr>
      </w:pPr>
    </w:p>
    <w:p>
      <w:pPr>
        <w:ind w:left="582" w:hanging="582"/>
        <w:spacing w:after="0"/>
        <w:tabs>
          <w:tab w:leader="none" w:pos="5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Amendment No. 1 to Schedule 14D-1.</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Amendment No. 2 to Schedule 14D-1.</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Amendment No. 3 to Schedule 14D-1.</w:t>
      </w:r>
    </w:p>
    <w:p>
      <w:pPr>
        <w:spacing w:after="0" w:line="185" w:lineRule="exact"/>
        <w:rPr>
          <w:rFonts w:ascii="Courier New" w:cs="Courier New" w:eastAsia="Courier New" w:hAnsi="Courier New"/>
          <w:sz w:val="16"/>
          <w:szCs w:val="16"/>
          <w:color w:val="auto"/>
        </w:rPr>
      </w:pPr>
    </w:p>
    <w:p>
      <w:pPr>
        <w:ind w:left="582" w:hanging="582"/>
        <w:spacing w:after="0"/>
        <w:tabs>
          <w:tab w:leader="none" w:pos="5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Amendment No. 4 to Schedule 14D-1.</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Previously filed as an exhibit to Amendment No. 5 to Schedule 14D-1.</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Previously filed as an exhibit to Amendment No. 6 to Schedule 14D-1.</w:t>
      </w:r>
    </w:p>
    <w:p>
      <w:pPr>
        <w:sectPr>
          <w:pgSz w:w="11900" w:h="16838" w:orient="portrait"/>
          <w:cols w:equalWidth="0" w:num="1">
            <w:col w:w="10221"/>
          </w:cols>
          <w:pgMar w:left="238" w:top="298"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EXHIBIT 99(a)(15)</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C-99046</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Courier New" w:cs="Courier New" w:eastAsia="Courier New" w:hAnsi="Courier New"/>
                <w:sz w:val="16"/>
                <w:szCs w:val="16"/>
                <w:color w:val="auto"/>
              </w:rPr>
              <w:t>Media Contact:</w:t>
            </w:r>
          </w:p>
        </w:tc>
        <w:tc>
          <w:tcPr>
            <w:tcW w:w="1340" w:type="dxa"/>
            <w:vAlign w:val="bottom"/>
          </w:tcPr>
          <w:p>
            <w:pPr>
              <w:spacing w:after="0"/>
              <w:rPr>
                <w:sz w:val="15"/>
                <w:szCs w:val="15"/>
                <w:color w:val="auto"/>
              </w:rPr>
            </w:pP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Kim Quirk</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972-480-6878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TEXAS INSTRUMENTS CLOSES TENDER OFFER FOR SHARES</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OF INTEGRATED SENSOR SOLUTIONS</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Dallas (August 16, 1999) - Texas Instruments Incorporated (NYSE: TXN) today announced that its tender offer to acquire all outstanding common stock of Integrated Sensor Solutions, Inc. (ISS) (NASDAQ: ISNR) at a cash price of $8.05 per share expired as scheduled on August 13, 1999. TI accepted for purchase all shares tendered and not withdrawn prior to the expiration of the offer, which was 7,709,240 shares of ISS common stock representing approximately 99.9% of the outstanding shares.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TI will complete its acquisition by merging ISS with Sensor Acquisition Corporation, a wholly owned TI subsidiary. All ISS common stock not acquired in the tender offer will be converted in the merger into the right to receive $8.05 per share in cash. The merger will occur promptly.</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 #</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the company's products also include calculators, controls and sensors, metallurgical materials and digital light processing technologies. The company has manufacturing or sales operations in more than 25 countries.</w:t>
      </w:r>
    </w:p>
    <w:p>
      <w:pPr>
        <w:spacing w:after="0" w:line="188" w:lineRule="exact"/>
        <w:rPr>
          <w:sz w:val="20"/>
          <w:szCs w:val="20"/>
          <w:color w:val="auto"/>
        </w:rPr>
      </w:pPr>
    </w:p>
    <w:p>
      <w:pPr>
        <w:ind w:right="3059"/>
        <w:spacing w:after="0" w:line="271" w:lineRule="auto"/>
        <w:rPr>
          <w:sz w:val="20"/>
          <w:szCs w:val="20"/>
          <w:color w:val="auto"/>
        </w:rPr>
      </w:pPr>
      <w:r>
        <w:rPr>
          <w:rFonts w:ascii="Courier New" w:cs="Courier New" w:eastAsia="Courier New" w:hAnsi="Courier New"/>
          <w:sz w:val="15"/>
          <w:szCs w:val="15"/>
          <w:color w:val="auto"/>
        </w:rPr>
        <w:t>Texas Instruments is traded on the New York Stock Exchange under the symbol TXN. More information is located on the World Wide Web at http://www.ti.com</w:t>
      </w:r>
    </w:p>
    <w:p>
      <w:pPr>
        <w:sectPr>
          <w:pgSz w:w="11900" w:h="16838" w:orient="portrait"/>
          <w:cols w:equalWidth="0" w:num="1">
            <w:col w:w="10219"/>
          </w:cols>
          <w:pgMar w:left="240" w:top="139"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99(a)(16)</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C-99046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Kim Quirk</w:t>
        <w:tab/>
        <w:t>972-480-6878</w:t>
      </w:r>
    </w:p>
    <w:p>
      <w:pPr>
        <w:spacing w:after="0" w:line="200" w:lineRule="exact"/>
        <w:rPr>
          <w:sz w:val="20"/>
          <w:szCs w:val="20"/>
          <w:color w:val="auto"/>
        </w:rPr>
      </w:pPr>
    </w:p>
    <w:p>
      <w:pPr>
        <w:spacing w:after="0" w:line="35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TEXAS INSTRUMENTS CLOSES TENDER OFFER FOR SHARES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 INTEGRATED SENSOR SOLUTIONS</w:t>
      </w:r>
    </w:p>
    <w:p>
      <w:pPr>
        <w:spacing w:after="0" w:line="188" w:lineRule="exact"/>
        <w:rPr>
          <w:sz w:val="20"/>
          <w:szCs w:val="20"/>
          <w:color w:val="auto"/>
        </w:rPr>
      </w:pPr>
    </w:p>
    <w:p>
      <w:pPr>
        <w:ind w:right="2879" w:firstLine="763"/>
        <w:spacing w:after="0" w:line="242" w:lineRule="auto"/>
        <w:rPr>
          <w:sz w:val="20"/>
          <w:szCs w:val="20"/>
          <w:color w:val="auto"/>
        </w:rPr>
      </w:pPr>
      <w:r>
        <w:rPr>
          <w:rFonts w:ascii="Courier New" w:cs="Courier New" w:eastAsia="Courier New" w:hAnsi="Courier New"/>
          <w:sz w:val="16"/>
          <w:szCs w:val="16"/>
          <w:color w:val="auto"/>
        </w:rPr>
        <w:t>Dallas (August 16, 1999) - Texas Instruments Incorporated (NYSE:TXN) today announced that its tender offer to acquire all outstanding common stock of Integrated Sensor Solutions, Inc. (ISS)(NASDAQ:INSR) at a cash price of $8.05 per share expired as scheduled on August 13, 1999. TI accepted for purchase all shares tendered and not withdrawn prior to the expiration of the offer, which was 7,814,202 shares of ISS common stock representing approximately 98.4% of the outstanding shares.</w:t>
      </w:r>
    </w:p>
    <w:p>
      <w:pPr>
        <w:spacing w:after="0" w:line="188" w:lineRule="exact"/>
        <w:rPr>
          <w:sz w:val="20"/>
          <w:szCs w:val="20"/>
          <w:color w:val="auto"/>
        </w:rPr>
      </w:pPr>
    </w:p>
    <w:p>
      <w:pPr>
        <w:ind w:right="2679" w:firstLine="763"/>
        <w:spacing w:after="0" w:line="241" w:lineRule="auto"/>
        <w:rPr>
          <w:sz w:val="20"/>
          <w:szCs w:val="20"/>
          <w:color w:val="auto"/>
        </w:rPr>
      </w:pPr>
      <w:r>
        <w:rPr>
          <w:rFonts w:ascii="Courier New" w:cs="Courier New" w:eastAsia="Courier New" w:hAnsi="Courier New"/>
          <w:sz w:val="16"/>
          <w:szCs w:val="16"/>
          <w:color w:val="auto"/>
        </w:rPr>
        <w:t>TI will complete its acquisition by merging ISS with Sensor Acquisition Corporation, a wholly owned TI subsidiary. All ISS common stock not acquired in the tender offer will be converted in the merger into the right to receive $8.05 per share in cash. The merger will occur promptly.</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the company's products also include calculators, controls and sensors, metallurgical materials and digital light processing technologies. The company has manufacturing or sales operations in more than 25 countries.</w:t>
      </w:r>
    </w:p>
    <w:p>
      <w:pPr>
        <w:spacing w:after="0" w:line="188" w:lineRule="exact"/>
        <w:rPr>
          <w:sz w:val="20"/>
          <w:szCs w:val="20"/>
          <w:color w:val="auto"/>
        </w:rPr>
      </w:pPr>
    </w:p>
    <w:p>
      <w:pPr>
        <w:ind w:right="3059"/>
        <w:spacing w:after="0" w:line="271" w:lineRule="auto"/>
        <w:rPr>
          <w:sz w:val="20"/>
          <w:szCs w:val="20"/>
          <w:color w:val="auto"/>
        </w:rPr>
      </w:pPr>
      <w:r>
        <w:rPr>
          <w:rFonts w:ascii="Courier New" w:cs="Courier New" w:eastAsia="Courier New" w:hAnsi="Courier New"/>
          <w:sz w:val="15"/>
          <w:szCs w:val="15"/>
          <w:color w:val="auto"/>
        </w:rPr>
        <w:t>Texas Instruments is traded on the New York Stock Exchange under the symbol TXN. More information is located on the World Wide Web at http://www.ti.com</w:t>
      </w:r>
    </w:p>
    <w:p>
      <w:pPr>
        <w:spacing w:after="0" w:line="34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 #</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2"/>
      <w:numFmt w:val="decimal"/>
      <w:start w:val="10"/>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2020-02-22T02:30:14Z</dcterms:created>
  <dcterms:modified xsi:type="dcterms:W3CDTF">2020-02-22T02:30:14Z</dcterms:modified>
</cp:coreProperties>
</file>