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333-284977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May 20,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May 20, 2025</w:t>
      </w:r>
    </w:p>
    <w:p>
      <w:pPr>
        <w:spacing w:after="0" w:line="200" w:lineRule="exact"/>
        <w:rPr>
          <w:sz w:val="24"/>
          <w:szCs w:val="24"/>
          <w:color w:val="auto"/>
        </w:rPr>
      </w:pPr>
    </w:p>
    <w:p>
      <w:pPr>
        <w:spacing w:after="0" w:line="219"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43"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4.500% Notes due 2030</w:t>
      </w:r>
    </w:p>
    <w:p>
      <w:pPr>
        <w:spacing w:after="0" w:line="252"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$550,000,000 (the “2030 Notes”)</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May 23, 2030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4.500%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99.942% of principal amount</w:t>
      </w:r>
    </w:p>
    <w:p>
      <w:pPr>
        <w:spacing w:after="0" w:line="117" w:lineRule="exact"/>
        <w:rPr>
          <w:sz w:val="24"/>
          <w:szCs w:val="24"/>
          <w:color w:val="auto"/>
        </w:rPr>
      </w:pPr>
    </w:p>
    <w:p>
      <w:pPr>
        <w:ind w:left="1980" w:right="40"/>
        <w:spacing w:after="0" w:line="282" w:lineRule="auto"/>
        <w:rPr>
          <w:sz w:val="20"/>
          <w:szCs w:val="20"/>
          <w:color w:val="auto"/>
        </w:rPr>
      </w:pPr>
      <w:r>
        <w:rPr>
          <w:rFonts w:ascii="Times New Roman" w:cs="Times New Roman" w:eastAsia="Times New Roman" w:hAnsi="Times New Roman"/>
          <w:sz w:val="18"/>
          <w:szCs w:val="18"/>
          <w:color w:val="auto"/>
        </w:rPr>
        <w:t>May 23 and November 23, beginning on November 23, 2025, and on the maturity date</w:t>
      </w:r>
    </w:p>
    <w:p>
      <w:pPr>
        <w:spacing w:after="0" w:line="5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$548,031,000</w:t>
      </w:r>
    </w:p>
    <w:p>
      <w:pPr>
        <w:spacing w:after="0" w:line="1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3.875% due April 30, 2030</w:t>
      </w:r>
    </w:p>
    <w:p>
      <w:pPr>
        <w:spacing w:after="0" w:line="117" w:lineRule="exact"/>
        <w:rPr>
          <w:sz w:val="24"/>
          <w:szCs w:val="24"/>
          <w:color w:val="auto"/>
        </w:rPr>
      </w:pPr>
    </w:p>
    <w:p>
      <w:pPr>
        <w:ind w:left="2120" w:hanging="147"/>
        <w:spacing w:after="0"/>
        <w:tabs>
          <w:tab w:leader="none" w:pos="2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basis points</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4.513%</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99-05</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4.063%</w:t>
      </w:r>
    </w:p>
    <w:p>
      <w:pPr>
        <w:spacing w:after="0" w:line="45" w:lineRule="exact"/>
        <w:rPr>
          <w:sz w:val="24"/>
          <w:szCs w:val="24"/>
          <w:color w:val="auto"/>
        </w:rPr>
      </w:pPr>
    </w:p>
    <w:p>
      <w:pPr>
        <w:ind w:left="1980" w:right="60"/>
        <w:spacing w:after="0" w:line="251" w:lineRule="auto"/>
        <w:rPr>
          <w:sz w:val="20"/>
          <w:szCs w:val="20"/>
          <w:color w:val="auto"/>
        </w:rPr>
      </w:pPr>
      <w:r>
        <w:rPr>
          <w:rFonts w:ascii="Times New Roman" w:cs="Times New Roman" w:eastAsia="Times New Roman" w:hAnsi="Times New Roman"/>
          <w:sz w:val="18"/>
          <w:szCs w:val="18"/>
          <w:color w:val="auto"/>
        </w:rPr>
        <w:t>At any time before April 23, 2030 (one month before the maturity date) at the greater of: (1) (a) the sum of the present values of the remaining scheduled payments of principal and interest thereon discounted to the redemption date (assuming the Notes matured on April 23, 2030) on a semi-annual basis (assuming a 360-day year consisting of twelve 30-day months) at the Treasury Rate plus 10 basis points less (b) interest accrued to the date of redemption, and (2) 100% of the principal amount of the Notes to be redeemed, plus, in either case, accrued and unpaid interest thereon to the redemption date.</w:t>
      </w:r>
    </w:p>
    <w:p>
      <w:pPr>
        <w:spacing w:after="0" w:line="12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2">
            <w:col w:w="3040" w:space="720"/>
            <w:col w:w="726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At any time on or after April 23, 2030 (one month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-518795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May 20, 2025</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May 23, 2025 (T+3)</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882508 CK8 / US882508CK85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5.100% Notes due 2035</w:t>
      </w:r>
    </w:p>
    <w:p>
      <w:pPr>
        <w:spacing w:after="0" w:line="1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$650,000,000 (the “2035 Notes”)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May 23, 2035</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5.100%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99.961% of principal amount</w:t>
      </w:r>
    </w:p>
    <w:p>
      <w:pPr>
        <w:spacing w:after="0" w:line="117"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May 23 and November 23, beginning on November 23, 2025, and on the maturity date</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$647,471,500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4.250% due May 15, 2035</w:t>
      </w:r>
    </w:p>
    <w:p>
      <w:pPr>
        <w:spacing w:after="0" w:line="117" w:lineRule="exact"/>
        <w:rPr>
          <w:sz w:val="20"/>
          <w:szCs w:val="20"/>
          <w:color w:val="auto"/>
        </w:rPr>
      </w:pPr>
    </w:p>
    <w:p>
      <w:pPr>
        <w:ind w:left="1240" w:hanging="147"/>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basis points</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5.105%</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98-06+; 4.475%</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3920" w:space="720"/>
            <w:col w:w="6340"/>
          </w:cols>
          <w:pgMar w:left="440" w:top="270"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At any time before February 23, 2035 (three months before the maturity</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date) at the greater of: (1) (a) the sum of the present values of the</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remaining scheduled payments of principal and interest thereon</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February 23, 2035) on a semi-annual basis (assuming a 360-day year</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consisting of twelve 30-day months) at the Treasury Rate plus 10 basis</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points less (b) interest accrued to the date of redemption, and (2) 100%</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of the principal amount of the Notes to be redeemed, plus, in either case,</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0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At any time on or after February 23, 2035 (three months before the</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maturity date) at 100% of the principal amount of notes being redeemed</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May 20, 2025</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May 23, 2025 (T+3)</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882508 CM4 / US882508CM42</w:t>
            </w:r>
          </w:p>
        </w:tc>
      </w:tr>
      <w:tr>
        <w:trPr>
          <w:trHeight w:val="391"/>
        </w:trPr>
        <w:tc>
          <w:tcPr>
            <w:tcW w:w="484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4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6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Moody’s: Aa3 (stable outlook)</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1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MUFG Securities Americas Inc.</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A securities rating is not a recommendation to buy, sell or hold securities and may be subject to revision or withdrawal at any time.</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May 23, 2025,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 w:name="page4"/>
    <w:bookmarkEnd w:id="3"/>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prior to the business day immediately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business day immediately before the delivery of the notes should consult their own advisors.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1-888-603-5847 (toll-free), Morgan Stanley &amp; Co. LLC at (866) 718-1649 (toll-free), or MUFG Securities Americas Inc. at (877) 649-6848 (toll-free).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2025-05-20T16:29:52Z</dcterms:created>
  <dcterms:modified xsi:type="dcterms:W3CDTF">2025-05-20T16:29:52Z</dcterms:modified>
</cp:coreProperties>
</file>