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78"/>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120" w:type="dxa"/>
            <w:vAlign w:val="bottom"/>
          </w:tcPr>
          <w:p>
            <w:pPr>
              <w:spacing w:after="0"/>
              <w:rPr>
                <w:sz w:val="18"/>
                <w:szCs w:val="18"/>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24"/>
                <w:szCs w:val="24"/>
                <w:color w:val="auto"/>
              </w:rPr>
            </w:pPr>
          </w:p>
        </w:tc>
      </w:tr>
      <w:tr>
        <w:trPr>
          <w:trHeight w:val="23"/>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69"/>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780" w:type="dxa"/>
            <w:vAlign w:val="bottom"/>
          </w:tcPr>
          <w:p>
            <w:pPr>
              <w:spacing w:after="0"/>
              <w:rPr>
                <w:sz w:val="24"/>
                <w:szCs w:val="24"/>
                <w:color w:val="auto"/>
              </w:rPr>
            </w:pPr>
          </w:p>
        </w:tc>
      </w:tr>
      <w:tr>
        <w:trPr>
          <w:trHeight w:val="238"/>
        </w:trPr>
        <w:tc>
          <w:tcPr>
            <w:tcW w:w="4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6"/>
        </w:trPr>
        <w:tc>
          <w:tcPr>
            <w:tcW w:w="4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333"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288290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227965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8.01. Other Events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September 17, 2020, regarding a planned dividend increase, attached hereto as Exhibit 99 is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Designation</w:t>
            </w:r>
          </w:p>
        </w:tc>
        <w:tc>
          <w:tcPr>
            <w:tcW w:w="8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of Exhibit</w:t>
            </w:r>
          </w:p>
        </w:tc>
        <w:tc>
          <w:tcPr>
            <w:tcW w:w="8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8"/>
              </w:rPr>
              <w:t>in this</w:t>
            </w:r>
          </w:p>
        </w:tc>
        <w:tc>
          <w:tcPr>
            <w:tcW w:w="8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 of Exhibit</w:t>
            </w:r>
          </w:p>
        </w:tc>
        <w:tc>
          <w:tcPr>
            <w:tcW w:w="7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Report</w:t>
            </w:r>
          </w:p>
        </w:tc>
        <w:tc>
          <w:tcPr>
            <w:tcW w:w="340" w:type="dxa"/>
            <w:vAlign w:val="bottom"/>
          </w:tcPr>
          <w:p>
            <w:pPr>
              <w:spacing w:after="0"/>
              <w:rPr>
                <w:sz w:val="16"/>
                <w:szCs w:val="16"/>
                <w:color w:val="auto"/>
              </w:rPr>
            </w:pPr>
          </w:p>
        </w:tc>
        <w:tc>
          <w:tcPr>
            <w:tcW w:w="8900" w:type="dxa"/>
            <w:vAlign w:val="bottom"/>
            <w:tcBorders>
              <w:bottom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240" w:type="dxa"/>
            <w:vAlign w:val="bottom"/>
          </w:tcPr>
          <w:p>
            <w:pPr>
              <w:jc w:val="right"/>
              <w:ind w:right="442"/>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24"/>
                <w:szCs w:val="24"/>
                <w:color w:val="auto"/>
              </w:rPr>
            </w:pPr>
          </w:p>
        </w:tc>
        <w:tc>
          <w:tcPr>
            <w:tcW w:w="966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Registrant’s News Release</w:t>
              </w:r>
            </w:hyperlink>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Dated September 17, 2020</w:t>
            </w:r>
          </w:p>
        </w:tc>
        <w:tc>
          <w:tcPr>
            <w:tcW w:w="0" w:type="dxa"/>
            <w:vAlign w:val="bottom"/>
          </w:tcPr>
          <w:p>
            <w:pPr>
              <w:spacing w:after="0"/>
              <w:rPr>
                <w:sz w:val="1"/>
                <w:szCs w:val="1"/>
                <w:color w:val="auto"/>
              </w:rPr>
            </w:pPr>
          </w:p>
        </w:tc>
      </w:tr>
      <w:tr>
        <w:trPr>
          <w:trHeight w:val="270"/>
        </w:trPr>
        <w:tc>
          <w:tcPr>
            <w:tcW w:w="1240" w:type="dxa"/>
            <w:vAlign w:val="bottom"/>
          </w:tcPr>
          <w:p>
            <w:pPr>
              <w:jc w:val="right"/>
              <w:ind w:right="402"/>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3"/>
                <w:szCs w:val="23"/>
                <w:color w:val="auto"/>
              </w:rPr>
            </w:pPr>
          </w:p>
        </w:tc>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63"/>
        </w:trPr>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333" w:lineRule="exact"/>
        <w:rPr>
          <w:sz w:val="20"/>
          <w:szCs w:val="20"/>
          <w:color w:val="auto"/>
        </w:rPr>
      </w:pPr>
    </w:p>
    <w:p>
      <w:pPr>
        <w:ind w:left="20"/>
        <w:spacing w:after="0"/>
        <w:tabs>
          <w:tab w:leader="none" w:pos="6080" w:val="left"/>
          <w:tab w:leader="none" w:pos="6940" w:val="left"/>
        </w:tabs>
        <w:rPr>
          <w:sz w:val="20"/>
          <w:szCs w:val="20"/>
          <w:color w:val="auto"/>
        </w:rPr>
      </w:pPr>
      <w:r>
        <w:rPr>
          <w:rFonts w:ascii="Times New Roman" w:cs="Times New Roman" w:eastAsia="Times New Roman" w:hAnsi="Times New Roman"/>
          <w:sz w:val="18"/>
          <w:szCs w:val="18"/>
          <w:color w:val="auto"/>
        </w:rPr>
        <w:t>Date: September 17,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34290</wp:posOffset>
            </wp:positionV>
            <wp:extent cx="2717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6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6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340"/>
          </w:cols>
          <w:pgMar w:left="320" w:top="891"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 to return more cash to shareholders with 13% dividend increase</w:t>
      </w:r>
    </w:p>
    <w:p>
      <w:pPr>
        <w:spacing w:after="0" w:line="2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DALLAS (Sept. 17, 2020) – Texas Instruments Incorporated (TI) (Nasdaq: TXN) today said it will raise its quarterly cash dividend 13%, from $0.90 per share to $1.02, or $4.08 annualized. The higher dividend will be payable November 16, 2020, to stockholders of record on October 30, 2020, contingent upon formal declaration by the board of directors at its regular meeting in October.</w:t>
      </w:r>
    </w:p>
    <w:p>
      <w:pPr>
        <w:spacing w:after="0" w:line="20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2"/>
          <w:szCs w:val="22"/>
          <w:color w:val="auto"/>
        </w:rPr>
        <w:t>This dividend increase is an integral piece of TI's disciplined approach to capital management and reflects the company’s continued strength in free cash flow generation and its commitment to return excess cash to stockholders. In the 12-month period ending June 2020, TI has paid 56% of its free cash flow in dividends.</w:t>
      </w:r>
    </w:p>
    <w:p>
      <w:pPr>
        <w:spacing w:after="0" w:line="2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TI has a proven track record of returning cash to its shareholders. Today’s announcement marks 17 consecutive years of dividend increases. In addition, as of second quarter 2020, the company has reduced its outstanding shares by 47% through its consistent share repurchases since the end of 2004.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forward-looking statements</w:t>
      </w:r>
    </w:p>
    <w:p>
      <w:pPr>
        <w:spacing w:after="0" w:line="3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5"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We urge you to carefully consider the following important factors that could cause actual results to differ materially from the expectations of TI or our management:</w:t>
      </w:r>
    </w:p>
    <w:p>
      <w:pPr>
        <w:spacing w:after="0" w:line="185" w:lineRule="exact"/>
        <w:rPr>
          <w:sz w:val="20"/>
          <w:szCs w:val="20"/>
          <w:color w:val="auto"/>
        </w:rPr>
      </w:pPr>
    </w:p>
    <w:p>
      <w:pPr>
        <w:ind w:left="340" w:right="220" w:hanging="332"/>
        <w:spacing w:after="0" w:line="266" w:lineRule="auto"/>
        <w:tabs>
          <w:tab w:leader="none" w:pos="33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1" w:lineRule="exact"/>
        <w:rPr>
          <w:rFonts w:ascii="Times New Roman" w:cs="Times New Roman" w:eastAsia="Times New Roman" w:hAnsi="Times New Roman"/>
          <w:sz w:val="21"/>
          <w:szCs w:val="21"/>
          <w:color w:val="auto"/>
        </w:rPr>
      </w:pPr>
    </w:p>
    <w:p>
      <w:pPr>
        <w:ind w:left="340" w:right="440" w:hanging="332"/>
        <w:spacing w:after="0" w:line="243"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Economic, social and political conditions, and natural events in the countries in which we, our customers or our suppliers operate, including global trade policies;</w:t>
      </w:r>
    </w:p>
    <w:p>
      <w:pPr>
        <w:ind w:left="340" w:right="200" w:hanging="332"/>
        <w:spacing w:after="0" w:line="243"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demand for semiconductors, particularly in the industrial and automotive markets, and customer demand that differs from forecasts;</w:t>
      </w: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compete in products and prices in an intensely competitive industry;</w:t>
      </w:r>
    </w:p>
    <w:p>
      <w:pPr>
        <w:spacing w:after="0" w:line="3" w:lineRule="exact"/>
        <w:rPr>
          <w:rFonts w:ascii="Times New Roman" w:cs="Times New Roman" w:eastAsia="Times New Roman" w:hAnsi="Times New Roman"/>
          <w:sz w:val="22"/>
          <w:szCs w:val="22"/>
          <w:color w:val="auto"/>
        </w:rPr>
      </w:pPr>
    </w:p>
    <w:p>
      <w:pPr>
        <w:ind w:left="340" w:right="820" w:hanging="332"/>
        <w:spacing w:after="0" w:line="243"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Evolving cybersecurity and other threats relating to our information technology systems or those of our customers or suppliers;</w:t>
      </w:r>
    </w:p>
    <w:p>
      <w:pPr>
        <w:ind w:left="340" w:right="340" w:hanging="332"/>
        <w:spacing w:after="0" w:line="271" w:lineRule="auto"/>
        <w:tabs>
          <w:tab w:leader="none" w:pos="33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595959"/>
        </w:rPr>
        <w:t>1</w:t>
      </w:r>
    </w:p>
    <w:p>
      <w:pPr>
        <w:sectPr>
          <w:pgSz w:w="11900" w:h="16838" w:orient="portrait"/>
          <w:cols w:equalWidth="0" w:num="1">
            <w:col w:w="11240"/>
          </w:cols>
          <w:pgMar w:left="320" w:top="122" w:right="339" w:bottom="1440" w:gutter="0" w:footer="0" w:header="0"/>
        </w:sectPr>
      </w:pPr>
    </w:p>
    <w:bookmarkStart w:id="4" w:name="page5"/>
    <w:bookmarkEnd w:id="4"/>
    <w:p>
      <w:pPr>
        <w:ind w:left="340" w:right="20" w:hanging="332"/>
        <w:spacing w:after="0" w:line="254"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1" w:lineRule="exact"/>
        <w:rPr>
          <w:rFonts w:ascii="Times New Roman" w:cs="Times New Roman" w:eastAsia="Times New Roman" w:hAnsi="Times New Roman"/>
          <w:sz w:val="22"/>
          <w:szCs w:val="22"/>
          <w:color w:val="auto"/>
        </w:rPr>
      </w:pPr>
    </w:p>
    <w:p>
      <w:pPr>
        <w:ind w:left="340" w:right="1100" w:hanging="332"/>
        <w:spacing w:after="0" w:line="243"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Availability and cost of raw materials, utilities, manufacturing equipment, third-party manufacturing services and manufacturing technology;</w:t>
      </w:r>
    </w:p>
    <w:p>
      <w:pPr>
        <w:ind w:left="340" w:right="1340" w:hanging="332"/>
        <w:spacing w:after="0" w:line="243"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liability, warranty or other claims relating to our products, manufacturing, delivery, services, design or communications, or recalls by our customers for a product containing one of our parts;</w:t>
      </w:r>
    </w:p>
    <w:p>
      <w:pPr>
        <w:jc w:val="both"/>
        <w:ind w:left="340" w:hanging="332"/>
        <w:spacing w:after="0" w:line="254" w:lineRule="auto"/>
        <w:tabs>
          <w:tab w:leader="none" w:pos="3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1" w:lineRule="exact"/>
        <w:rPr>
          <w:rFonts w:ascii="Times New Roman" w:cs="Times New Roman" w:eastAsia="Times New Roman" w:hAnsi="Times New Roman"/>
          <w:sz w:val="21"/>
          <w:szCs w:val="21"/>
          <w:color w:val="auto"/>
        </w:rPr>
      </w:pPr>
    </w:p>
    <w:p>
      <w:pPr>
        <w:ind w:left="340" w:right="80" w:hanging="332"/>
        <w:spacing w:after="0" w:line="243"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loss suffered by one of our customers or distributors with respect to TI-consigned inventory;</w:t>
      </w:r>
    </w:p>
    <w:p>
      <w:pPr>
        <w:spacing w:after="0" w:line="3" w:lineRule="exact"/>
        <w:rPr>
          <w:rFonts w:ascii="Times New Roman" w:cs="Times New Roman" w:eastAsia="Times New Roman" w:hAnsi="Times New Roman"/>
          <w:sz w:val="22"/>
          <w:szCs w:val="22"/>
          <w:color w:val="auto"/>
        </w:rPr>
      </w:pPr>
    </w:p>
    <w:p>
      <w:pPr>
        <w:ind w:left="340" w:right="540" w:hanging="332"/>
        <w:spacing w:after="0" w:line="243"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difficulties of our distributors or their promotion of competing product lines to our detriment; or disputes with significant distributors;</w:t>
      </w:r>
    </w:p>
    <w:p>
      <w:pPr>
        <w:ind w:left="340" w:right="20" w:hanging="332"/>
        <w:spacing w:after="0" w:line="243"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Losses or curtailments of purchases from key customers or the timing and amount of distributor and other customer inventory adjustments;</w:t>
      </w:r>
    </w:p>
    <w:p>
      <w:pPr>
        <w:ind w:left="340" w:right="420" w:hanging="332"/>
        <w:spacing w:after="0" w:line="243"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1" w:lineRule="exact"/>
        <w:rPr>
          <w:rFonts w:ascii="Times New Roman" w:cs="Times New Roman" w:eastAsia="Times New Roman" w:hAnsi="Times New Roman"/>
          <w:sz w:val="22"/>
          <w:szCs w:val="22"/>
          <w:color w:val="auto"/>
        </w:rPr>
      </w:pPr>
    </w:p>
    <w:p>
      <w:pPr>
        <w:ind w:left="340" w:right="960" w:hanging="332"/>
        <w:spacing w:after="0" w:line="243"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maintain and enforce a strong intellectual property portfolio and maintain freedom of operation in all jurisdictions where we conduct business; or our exposure to infringement claims;</w:t>
      </w: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Instability in the global credit and financial markets;</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Increases in health care and pension benefit costs;</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recruit and retain skilled personnel, and effectively manage key employee succession; and</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Impairments of our non-financial assets.</w:t>
      </w:r>
    </w:p>
    <w:p>
      <w:pPr>
        <w:spacing w:after="0" w:line="2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For a more detailed discussion of these factors, see the Risk factors discussion in Item 1A of our Form 10-Q for the quarter ended March 31, 2020.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Texas Instruments</w:t>
      </w:r>
    </w:p>
    <w:p>
      <w:pPr>
        <w:spacing w:after="0" w:line="3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b w:val="1"/>
          <w:bCs w:val="1"/>
          <w:color w:val="auto"/>
        </w:rPr>
        <w:t>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595959"/>
        </w:rPr>
        <w:t>2</w:t>
      </w:r>
    </w:p>
    <w:p>
      <w:pPr>
        <w:sectPr>
          <w:pgSz w:w="11900" w:h="16838" w:orient="portrait"/>
          <w:cols w:equalWidth="0" w:num="1">
            <w:col w:w="11220"/>
          </w:cols>
          <w:pgMar w:left="320" w:top="1422" w:right="359" w:bottom="1440" w:gutter="0" w:footer="0" w:header="0"/>
        </w:sectPr>
      </w:pPr>
    </w:p>
    <w:bookmarkStart w:id="5" w:name="page6"/>
    <w:bookmarkEnd w:id="5"/>
    <w:p>
      <w:pPr>
        <w:spacing w:after="0" w:line="259" w:lineRule="auto"/>
        <w:rPr>
          <w:sz w:val="20"/>
          <w:szCs w:val="20"/>
          <w:color w:val="auto"/>
        </w:rPr>
      </w:pPr>
      <w:r>
        <w:rPr>
          <w:rFonts w:ascii="Times New Roman" w:cs="Times New Roman" w:eastAsia="Times New Roman" w:hAnsi="Times New Roman"/>
          <w:sz w:val="22"/>
          <w:szCs w:val="22"/>
          <w:b w:val="1"/>
          <w:bCs w:val="1"/>
          <w:color w:val="auto"/>
        </w:rPr>
        <w:t>upon the last to make our technology smaller, more efficient, more reliable and more affordable – making it possible for semiconductors to go into electronics everywhere. We think of this as Engineering Progress. It's what we do and have been doing for decades. Learn more at TI.com.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595959"/>
        </w:rPr>
        <w:t>3</w:t>
      </w:r>
    </w:p>
    <w:sectPr>
      <w:pgSz w:w="11900" w:h="16838" w:orient="portrait"/>
      <w:cols w:equalWidth="0" w:num="1">
        <w:col w:w="11000"/>
      </w:cols>
      <w:pgMar w:left="320" w:top="141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2020-09-17T15:19:27Z</dcterms:created>
  <dcterms:modified xsi:type="dcterms:W3CDTF">2020-09-17T15:19:27Z</dcterms:modified>
</cp:coreProperties>
</file>