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AMENDMENT NO. 1 TO</w:t>
      </w:r>
    </w:p>
    <w:p>
      <w:pPr>
        <w:jc w:val="center"/>
        <w:ind w:right="2619"/>
        <w:spacing w:after="0" w:line="238" w:lineRule="auto"/>
        <w:rPr>
          <w:sz w:val="20"/>
          <w:szCs w:val="20"/>
          <w:color w:val="auto"/>
        </w:rPr>
      </w:pPr>
      <w:r>
        <w:rPr>
          <w:rFonts w:ascii="Courier New" w:cs="Courier New" w:eastAsia="Courier New" w:hAnsi="Courier New"/>
          <w:sz w:val="18"/>
          <w:szCs w:val="18"/>
          <w:color w:val="auto"/>
        </w:rPr>
        <w:t>CURRENT REPORT PURSUANT TO SECTION 13 OR 15(d)</w:t>
      </w:r>
    </w:p>
    <w:p>
      <w:pPr>
        <w:jc w:val="center"/>
        <w:ind w:right="261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January 2,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TEXAS INSTRUMENTS INCORPORATED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230"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500" w:space="720"/>
            <w:col w:w="5999"/>
          </w:cols>
          <w:pgMar w:left="240" w:top="1230" w:right="1440" w:bottom="1440" w:gutter="0" w:footer="0" w:header="0"/>
          <w:type w:val="continuous"/>
        </w:sectPr>
      </w:pPr>
    </w:p>
    <w:p>
      <w:pPr>
        <w:spacing w:after="0" w:line="2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75-0289970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sectPr>
          <w:pgSz w:w="11900" w:h="16838" w:orient="portrait"/>
          <w:cols w:equalWidth="0" w:num="1">
            <w:col w:w="10219"/>
          </w:cols>
          <w:pgMar w:left="240" w:top="1230"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8"/>
          <w:szCs w:val="18"/>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230" w:right="1440" w:bottom="1440" w:gutter="0" w:footer="0" w:header="0"/>
          <w:type w:val="continuous"/>
        </w:sectPr>
      </w:pPr>
    </w:p>
    <w:bookmarkStart w:id="1" w:name="page2"/>
    <w:bookmarkEnd w:id="1"/>
    <w:p>
      <w:pPr>
        <w:ind w:right="2839" w:firstLine="527"/>
        <w:spacing w:after="0" w:line="237" w:lineRule="auto"/>
        <w:rPr>
          <w:sz w:val="20"/>
          <w:szCs w:val="20"/>
          <w:color w:val="auto"/>
        </w:rPr>
      </w:pPr>
      <w:r>
        <w:rPr>
          <w:rFonts w:ascii="Courier New" w:cs="Courier New" w:eastAsia="Courier New" w:hAnsi="Courier New"/>
          <w:sz w:val="18"/>
          <w:szCs w:val="18"/>
          <w:color w:val="auto"/>
        </w:rPr>
        <w:t>The registrant's current report on Form 8-K dated January 2, 1996 is hereby amended and restated in its entirety to correct the filing made on January 2, 1996 and will be effective for all purposes as of that date.</w:t>
      </w:r>
    </w:p>
    <w:p>
      <w:pPr>
        <w:spacing w:after="0" w:line="207"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Pursuant to the requirements of Rule 12b-15 of the Securities Exchange Act of 1934, the registrant has duly caused this amendment to be signed on its behalf by the undersigned, thereunto duly authorized.</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By:/s/ O. WAYNE COON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O. Wayne Coon</w:t>
      </w:r>
    </w:p>
    <w:p>
      <w:pPr>
        <w:ind w:left="4120"/>
        <w:spacing w:after="0" w:line="237" w:lineRule="auto"/>
        <w:rPr>
          <w:sz w:val="20"/>
          <w:szCs w:val="20"/>
          <w:color w:val="auto"/>
        </w:rPr>
      </w:pPr>
      <w:r>
        <w:rPr>
          <w:rFonts w:ascii="Courier New" w:cs="Courier New" w:eastAsia="Courier New" w:hAnsi="Courier New"/>
          <w:sz w:val="18"/>
          <w:szCs w:val="18"/>
          <w:color w:val="auto"/>
        </w:rPr>
        <w:t>Chief Corporate Counsel</w:t>
      </w:r>
    </w:p>
    <w:p>
      <w:pPr>
        <w:ind w:left="4120"/>
        <w:spacing w:after="0" w:line="238" w:lineRule="auto"/>
        <w:rPr>
          <w:sz w:val="20"/>
          <w:szCs w:val="20"/>
          <w:color w:val="auto"/>
        </w:rPr>
      </w:pPr>
      <w:r>
        <w:rPr>
          <w:rFonts w:ascii="Courier New" w:cs="Courier New" w:eastAsia="Courier New" w:hAnsi="Courier New"/>
          <w:sz w:val="18"/>
          <w:szCs w:val="18"/>
          <w:color w:val="auto"/>
        </w:rPr>
        <w:t>and Assistant Secretary</w:t>
      </w:r>
    </w:p>
    <w:p>
      <w:pPr>
        <w:sectPr>
          <w:pgSz w:w="11900" w:h="16838" w:orient="portrait"/>
          <w:cols w:equalWidth="0" w:num="1">
            <w:col w:w="10219"/>
          </w:cols>
          <w:pgMar w:left="240" w:top="723" w:right="1440"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January 2,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0"/>
          <w:szCs w:val="20"/>
          <w:color w:val="auto"/>
        </w:rPr>
      </w:pPr>
    </w:p>
    <w:p>
      <w:pPr>
        <w:sectPr>
          <w:pgSz w:w="11900" w:h="16838" w:orient="portrait"/>
          <w:cols w:equalWidth="0" w:num="2">
            <w:col w:w="3500" w:space="720"/>
            <w:col w:w="5999"/>
          </w:cols>
          <w:pgMar w:left="240" w:top="1325" w:right="1440" w:bottom="1440" w:gutter="0" w:footer="0" w:header="0"/>
          <w:type w:val="continuous"/>
        </w:sectPr>
      </w:pPr>
    </w:p>
    <w:p>
      <w:pPr>
        <w:spacing w:after="0" w:line="22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0"/>
          <w:szCs w:val="20"/>
          <w:color w:val="auto"/>
        </w:rPr>
      </w:pP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41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25" w:right="1440" w:bottom="1440" w:gutter="0" w:footer="0" w:header="0"/>
          <w:type w:val="continuous"/>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January 2, 1996 (attached hereto as Exhibit 21) is incorporated herein by reference to such news release.</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540"/>
            <w:col w:w="8939"/>
          </w:cols>
          <w:pgMar w:left="240" w:top="514"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 1996</w:t>
      </w:r>
    </w:p>
    <w:p>
      <w:pPr>
        <w:spacing w:after="0" w:line="200" w:lineRule="exact"/>
        <w:rPr>
          <w:sz w:val="20"/>
          <w:szCs w:val="20"/>
          <w:color w:val="auto"/>
        </w:rPr>
      </w:pPr>
    </w:p>
    <w:p>
      <w:pPr>
        <w:sectPr>
          <w:pgSz w:w="11900" w:h="16838" w:orient="portrait"/>
          <w:cols w:equalWidth="0" w:num="2">
            <w:col w:w="2340" w:space="720"/>
            <w:col w:w="7159"/>
          </w:cols>
          <w:pgMar w:left="240" w:top="514" w:right="1440" w:bottom="1440" w:gutter="0" w:footer="0" w:header="0"/>
          <w:type w:val="continuous"/>
        </w:sect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RICHARD J. AGNICH</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Richard J. Agnich</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Senior Vice President, Secretary</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 1996</w:t>
      </w:r>
    </w:p>
    <w:p>
      <w:pPr>
        <w:sectPr>
          <w:pgSz w:w="11900" w:h="16838" w:orient="portrait"/>
          <w:cols w:equalWidth="0" w:num="1">
            <w:col w:w="10219"/>
          </w:cols>
          <w:pgMar w:left="240" w:top="514" w:right="1440" w:bottom="1440" w:gutter="0" w:footer="0" w:header="0"/>
          <w:type w:val="continuous"/>
        </w:sectPr>
      </w:pPr>
    </w:p>
    <w:bookmarkStart w:id="4" w:name="page5"/>
    <w:bookmarkEnd w:id="4"/>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20"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52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January 2,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520" w:right="1440" w:bottom="1440" w:gutter="0" w:footer="0" w:header="0"/>
          <w:type w:val="continuous"/>
        </w:sectPr>
      </w:pPr>
    </w:p>
    <w:bookmarkStart w:id="5" w:name="page6"/>
    <w:bookmarkEnd w:id="5"/>
    <w:p>
      <w:pPr>
        <w:ind w:left="6540"/>
        <w:spacing w:after="0"/>
        <w:rPr>
          <w:sz w:val="20"/>
          <w:szCs w:val="20"/>
          <w:color w:val="auto"/>
        </w:rPr>
      </w:pPr>
      <w:r>
        <w:rPr>
          <w:rFonts w:ascii="Courier New" w:cs="Courier New" w:eastAsia="Courier New" w:hAnsi="Courier New"/>
          <w:sz w:val="18"/>
          <w:szCs w:val="18"/>
          <w:color w:val="auto"/>
        </w:rPr>
        <w:t>EXHIBIT 21</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Neil McGlone (214) 995-4961</w:t>
      </w:r>
    </w:p>
    <w:p>
      <w:pPr>
        <w:spacing w:after="0"/>
        <w:rPr>
          <w:sz w:val="20"/>
          <w:szCs w:val="20"/>
          <w:color w:val="auto"/>
        </w:rPr>
      </w:pPr>
      <w:r>
        <w:rPr>
          <w:rFonts w:ascii="Courier New" w:cs="Courier New" w:eastAsia="Courier New" w:hAnsi="Courier New"/>
          <w:sz w:val="18"/>
          <w:szCs w:val="18"/>
          <w:color w:val="auto"/>
        </w:rPr>
        <w:t>(Please do not publish this number)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Files Patent Infringement Suit Against Samsung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DALLAS (January 2, 1996) - Texas Instruments today said it has filed suit against Samsung Electronics Co., Ltd. of Korea, and its two U.S. subsidiaries, charging them with patent infringement. In addition to unspecified monetary damages, TI is asking the court to issue a permanent injunction barring Samsung from using TI's patents.</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litigation was filed in Federal District Court for the Eastern District of Texas alleging violation of several patents involved in the manufacture of semiconductor devices, including dynamic random-access memories (DRAMs).</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TI took this action following extensive negotiations with Samsung regarding renewal of a five-year cross-licensing agreement that expired December 31, 1995.</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"TI has a strong patent portfolio that reflects billions of dollars in R&amp;D investment. Our resolve to protect it and get a fair return for others' use of our technology has not wavered," said Richard J. Agnich, TI senior vice president and general counsel.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TI previously reported that most of the company's existing semiconductor patent-license agreements would expire at the end of 1995 or early in 1996. The remaining agreements, which have expiration dates ranging from 1998 to 2001, will provide ongoing royalties, and TI continues to expect a significant ongoing stream of royalty revenue throughout the remainder of the decade.</w:t>
      </w:r>
    </w:p>
    <w:p>
      <w:pPr>
        <w:spacing w:after="0" w:line="210"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Negotiations continue for renewal of the expired and expiring agreements. However, these negotiations by their nature are not predictable as to outcome or timing. TI will not accrue royalties in the absence of agreements. Royalty revenue from the companies whose agreements expired at the end of 1995 is estimated to be about $108 million in the fourth quarter of 1995, principally attributable to Samsung. The expiration of these licenses will have no effect on fourth-quarter 1995 royalty revenue.</w:t>
      </w:r>
    </w:p>
    <w:p>
      <w:pPr>
        <w:spacing w:after="0" w:line="18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Separately, TI plans to file a complaint with the International Trade Commission asking the ITC to prevent Samsung from importing devices that infringe TI's patents.</w:t>
      </w:r>
    </w:p>
    <w:p>
      <w:pPr>
        <w:spacing w:after="0" w:line="200" w:lineRule="exact"/>
        <w:rPr>
          <w:sz w:val="20"/>
          <w:szCs w:val="20"/>
          <w:color w:val="auto"/>
        </w:rPr>
      </w:pPr>
    </w:p>
    <w:p>
      <w:pPr>
        <w:spacing w:after="0" w:line="211"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 computers and consumer electronics products; custom engineering and manufacturing services; electrical controls; and metallurgical materials.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2019-12-13T07:49:33Z</dcterms:created>
  <dcterms:modified xsi:type="dcterms:W3CDTF">2019-12-13T07:49:33Z</dcterms:modified>
</cp:coreProperties>
</file>