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21,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301" w:right="7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301" w:right="759" w:bottom="1440" w:gutter="0" w:footer="0" w:header="0"/>
          <w:type w:val="continuous"/>
        </w:sectPr>
      </w:pPr>
    </w:p>
    <w:p>
      <w:pPr>
        <w:spacing w:after="0" w:line="5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301" w:right="75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01"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Registrant's news release dated July 21, 2008, regarding its second quarter 2008 results of operations and financial condition is attached hereto as Exhibit 99 and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July 21, 2008 (furnished pursuant to Item 2.02)</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580" w:right="520" w:hanging="140"/>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580" w:right="820" w:hanging="140"/>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580" w:hanging="140"/>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580" w:right="20" w:hanging="140"/>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580" w:hanging="140"/>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580" w:hanging="140"/>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580" w:hanging="14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580" w:right="460" w:hanging="140"/>
        <w:spacing w:after="0" w:line="261"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0" w:lineRule="exact"/>
        <w:rPr>
          <w:sz w:val="20"/>
          <w:szCs w:val="20"/>
          <w:color w:val="auto"/>
        </w:rPr>
      </w:pPr>
    </w:p>
    <w:p>
      <w:pPr>
        <w:spacing w:after="0" w:line="25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July 21,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51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2Q08</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38"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i w:val="1"/>
          <w:iCs w:val="1"/>
          <w:color w:val="auto"/>
        </w:rPr>
        <w:t xml:space="preserve">Beginning with this earnings release, TI will describe revenue in four product categories: Analog, Embedded Processing, Wireless and Other. For a complete description of these changes, please reference the materials from the company’s conference call and webcast, held on July 1, 2008, available at </w:t>
      </w:r>
      <w:r>
        <w:rPr>
          <w:rFonts w:ascii="Arial" w:cs="Arial" w:eastAsia="Arial" w:hAnsi="Arial"/>
          <w:sz w:val="18"/>
          <w:szCs w:val="18"/>
          <w:i w:val="1"/>
          <w:iCs w:val="1"/>
          <w:u w:val="single" w:color="auto"/>
          <w:color w:val="auto"/>
        </w:rPr>
        <w:t>www.ti.com/ir</w:t>
      </w:r>
      <w:r>
        <w:rPr>
          <w:rFonts w:ascii="Arial" w:cs="Arial" w:eastAsia="Arial" w:hAnsi="Arial"/>
          <w:sz w:val="18"/>
          <w:szCs w:val="18"/>
          <w:i w:val="1"/>
          <w:iCs w:val="1"/>
          <w:color w:val="auto"/>
        </w:rPr>
        <w:t>.</w:t>
      </w:r>
    </w:p>
    <w:p>
      <w:pPr>
        <w:spacing w:after="0" w:line="208" w:lineRule="exact"/>
        <w:rPr>
          <w:sz w:val="20"/>
          <w:szCs w:val="20"/>
          <w:color w:val="auto"/>
        </w:rPr>
      </w:pPr>
    </w:p>
    <w:p>
      <w:pPr>
        <w:ind w:right="280" w:firstLine="720"/>
        <w:spacing w:after="0" w:line="277" w:lineRule="auto"/>
        <w:rPr>
          <w:sz w:val="20"/>
          <w:szCs w:val="20"/>
          <w:color w:val="auto"/>
        </w:rPr>
      </w:pPr>
      <w:r>
        <w:rPr>
          <w:rFonts w:ascii="Arial" w:cs="Arial" w:eastAsia="Arial" w:hAnsi="Arial"/>
          <w:sz w:val="18"/>
          <w:szCs w:val="18"/>
          <w:color w:val="auto"/>
        </w:rPr>
        <w:t>DALLAS (July 21, 2008) – Texas Instruments (TI) (NYSE: TXN) today announced second-quarter revenue of $3.35 billion, net income of $588 million and earnings per share of $0.44.</w:t>
      </w:r>
    </w:p>
    <w:p>
      <w:pPr>
        <w:spacing w:after="0" w:line="197" w:lineRule="exact"/>
        <w:rPr>
          <w:sz w:val="20"/>
          <w:szCs w:val="20"/>
          <w:color w:val="auto"/>
        </w:rPr>
      </w:pPr>
    </w:p>
    <w:p>
      <w:pPr>
        <w:ind w:right="400" w:firstLine="720"/>
        <w:spacing w:after="0" w:line="259" w:lineRule="auto"/>
        <w:rPr>
          <w:sz w:val="20"/>
          <w:szCs w:val="20"/>
          <w:color w:val="auto"/>
        </w:rPr>
      </w:pPr>
      <w:r>
        <w:rPr>
          <w:rFonts w:ascii="Arial" w:cs="Arial" w:eastAsia="Arial" w:hAnsi="Arial"/>
          <w:sz w:val="18"/>
          <w:szCs w:val="18"/>
          <w:color w:val="auto"/>
        </w:rPr>
        <w:t>“Our core areas of Analog and Embedded Processing delivered solid revenue growth,” said Rich Templeton, TI’s chairman, president and CEO. “Each grew sequentially and increased 10 percent from a year ago. These technologies are critical to thousands of different types of electronic equipment, making them some of the most attractive markets in the semiconductor industry. We believe our portfolio combined with our passion to help customers solve critical problems will drive good long-term growth.”</w:t>
      </w:r>
    </w:p>
    <w:p>
      <w:pPr>
        <w:spacing w:after="0" w:line="214" w:lineRule="exact"/>
        <w:rPr>
          <w:sz w:val="20"/>
          <w:szCs w:val="20"/>
          <w:color w:val="auto"/>
        </w:rPr>
      </w:pPr>
    </w:p>
    <w:p>
      <w:pPr>
        <w:ind w:right="320" w:firstLine="720"/>
        <w:spacing w:after="0" w:line="264" w:lineRule="auto"/>
        <w:rPr>
          <w:sz w:val="20"/>
          <w:szCs w:val="20"/>
          <w:color w:val="auto"/>
        </w:rPr>
      </w:pPr>
      <w:r>
        <w:rPr>
          <w:rFonts w:ascii="Arial" w:cs="Arial" w:eastAsia="Arial" w:hAnsi="Arial"/>
          <w:sz w:val="18"/>
          <w:szCs w:val="18"/>
          <w:color w:val="auto"/>
        </w:rPr>
        <w:t>In total, TI’s revenue in the second quarter was in the lower half of the company’s range of expectations, as were earnings per share. Demand slowed unexpectedly in June primarily because distributors reduced inventory levels and did not replenish them late in the quarter. Additionally, Wireless revenue declined in the quarter, continuing its first-quarter weakness.</w:t>
      </w:r>
    </w:p>
    <w:p>
      <w:pPr>
        <w:spacing w:after="0" w:line="208" w:lineRule="exact"/>
        <w:rPr>
          <w:sz w:val="20"/>
          <w:szCs w:val="20"/>
          <w:color w:val="auto"/>
        </w:rPr>
      </w:pPr>
    </w:p>
    <w:p>
      <w:pPr>
        <w:ind w:right="260" w:firstLine="720"/>
        <w:spacing w:after="0" w:line="286" w:lineRule="auto"/>
        <w:rPr>
          <w:sz w:val="20"/>
          <w:szCs w:val="20"/>
          <w:color w:val="auto"/>
        </w:rPr>
      </w:pPr>
      <w:r>
        <w:rPr>
          <w:rFonts w:ascii="Arial" w:cs="Arial" w:eastAsia="Arial" w:hAnsi="Arial"/>
          <w:sz w:val="17"/>
          <w:szCs w:val="17"/>
          <w:color w:val="auto"/>
        </w:rPr>
        <w:t>“We believe this slower demand was due to a mix of reasons, including a weaker economic environment and greater confidence in TI’s ability to deliver products within short lead times,” Templeton said. “Our orders were up in the quarter and backlog grew, but we are cautious given the demand environment we just experienced. If demand strengthens as quickly as it slowed, we are well-positioned to meet it.”</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Amounts are in millions of dollars, except per-share amounts. Except as noted, financial results are for continuing operations. The sale of TI’s former Sensors &amp; Controls business was completed on April 27, 2006, and that business is reported as a discontinued operation.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2Q08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2Q07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vs. 2Q07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1Q08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vs. 1Q08</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Revenue: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3351</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3424</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3272</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2%</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Operating profit: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833</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809</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807</w:t>
            </w:r>
          </w:p>
        </w:tc>
        <w:tc>
          <w:tcPr>
            <w:tcW w:w="1360" w:type="dxa"/>
            <w:vAlign w:val="bottom"/>
            <w:gridSpan w:val="2"/>
          </w:tcPr>
          <w:p>
            <w:pPr>
              <w:jc w:val="right"/>
              <w:ind w:right="270"/>
              <w:spacing w:after="0"/>
              <w:rPr>
                <w:sz w:val="20"/>
                <w:szCs w:val="20"/>
                <w:color w:val="auto"/>
              </w:rPr>
            </w:pPr>
            <w:r>
              <w:rPr>
                <w:rFonts w:ascii="Arial" w:cs="Arial" w:eastAsia="Arial" w:hAnsi="Arial"/>
                <w:sz w:val="18"/>
                <w:szCs w:val="18"/>
                <w:color w:val="auto"/>
              </w:rPr>
              <w:t>3%</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Income: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588</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614</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3"/>
              </w:rPr>
              <w:t>-4%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662</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-11%</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Earnings per share: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0.44</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0.42</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color w:val="auto"/>
              </w:rPr>
              <w:t>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0.49</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-10%</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Cash flow from operations:</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520</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898</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5"/>
              </w:rPr>
              <w:t>-42%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641</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right="140" w:firstLine="720"/>
        <w:spacing w:after="0" w:line="264" w:lineRule="auto"/>
        <w:rPr>
          <w:sz w:val="20"/>
          <w:szCs w:val="20"/>
          <w:color w:val="auto"/>
        </w:rPr>
      </w:pPr>
      <w:r>
        <w:rPr>
          <w:rFonts w:ascii="Arial" w:cs="Arial" w:eastAsia="Arial" w:hAnsi="Arial"/>
          <w:sz w:val="18"/>
          <w:szCs w:val="18"/>
          <w:color w:val="auto"/>
        </w:rPr>
        <w:t>TI’s revenue declined 2 percent compared with the second quarter of last year as growth in Analog and Embedded Processing was not sufficient to offset declines in Wireless and Other revenue. Revenue grew 2 percent compared with the prior quarter as growth in Analog, Embedded Processing and Other more than offset the decline in Wireless.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2Q08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2Q07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vs. 2Q07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1Q08</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vs. 1Q08</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Note</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Analog:</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9"/>
              </w:rPr>
              <w:t>1292</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1170</w:t>
            </w: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10%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1265</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Embedded Processing:</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86"/>
              </w:rPr>
              <w:t>436</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397</w:t>
            </w: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10%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418</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(2)</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Wireless: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86"/>
              </w:rPr>
              <w:t>903</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1024</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922</w:t>
            </w:r>
          </w:p>
        </w:tc>
        <w:tc>
          <w:tcPr>
            <w:tcW w:w="1340" w:type="dxa"/>
            <w:vAlign w:val="bottom"/>
            <w:gridSpan w:val="2"/>
          </w:tcPr>
          <w:p>
            <w:pPr>
              <w:jc w:val="right"/>
              <w:ind w:right="27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(3)</w:t>
            </w:r>
          </w:p>
        </w:tc>
      </w:tr>
      <w:tr>
        <w:trPr>
          <w:trHeight w:val="243"/>
        </w:trPr>
        <w:tc>
          <w:tcPr>
            <w:tcW w:w="3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86"/>
              </w:rPr>
              <w:t>720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833</w:t>
            </w:r>
          </w:p>
        </w:tc>
        <w:tc>
          <w:tcPr>
            <w:tcW w:w="1360" w:type="dxa"/>
            <w:vAlign w:val="bottom"/>
            <w:gridSpan w:val="2"/>
          </w:tcPr>
          <w:p>
            <w:pPr>
              <w:jc w:val="right"/>
              <w:ind w:right="230"/>
              <w:spacing w:after="0"/>
              <w:rPr>
                <w:sz w:val="20"/>
                <w:szCs w:val="20"/>
                <w:color w:val="auto"/>
              </w:rPr>
            </w:pPr>
            <w:r>
              <w:rPr>
                <w:rFonts w:ascii="Arial" w:cs="Arial" w:eastAsia="Arial" w:hAnsi="Arial"/>
                <w:sz w:val="18"/>
                <w:szCs w:val="18"/>
                <w:color w:val="auto"/>
              </w:rPr>
              <w:t>-14%</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667</w:t>
            </w:r>
          </w:p>
        </w:tc>
        <w:tc>
          <w:tcPr>
            <w:tcW w:w="1340" w:type="dxa"/>
            <w:vAlign w:val="bottom"/>
            <w:gridSpan w:val="2"/>
          </w:tcPr>
          <w:p>
            <w:pPr>
              <w:jc w:val="right"/>
              <w:ind w:right="25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5"/>
              </w:rPr>
              <w:t>(4)(5)</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product categories include:</w:t>
      </w:r>
    </w:p>
    <w:p>
      <w:pPr>
        <w:spacing w:after="0" w:line="252" w:lineRule="exact"/>
        <w:rPr>
          <w:sz w:val="20"/>
          <w:szCs w:val="20"/>
          <w:color w:val="auto"/>
        </w:rPr>
      </w:pPr>
    </w:p>
    <w:p>
      <w:pPr>
        <w:ind w:left="720" w:hanging="15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Analog: high-performance analog, high-volume analog &amp; logic</w:t>
      </w:r>
    </w:p>
    <w:p>
      <w:pPr>
        <w:spacing w:after="0" w:line="23" w:lineRule="exact"/>
        <w:rPr>
          <w:rFonts w:ascii="Arial" w:cs="Arial" w:eastAsia="Arial" w:hAnsi="Arial"/>
          <w:sz w:val="18"/>
          <w:szCs w:val="18"/>
          <w:color w:val="auto"/>
        </w:rPr>
      </w:pPr>
    </w:p>
    <w:p>
      <w:pPr>
        <w:ind w:left="720" w:hanging="15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Embedded Processing: catalog, communications infrastructure and automotive DSPs and microcontrollers</w:t>
      </w:r>
    </w:p>
    <w:p>
      <w:pPr>
        <w:spacing w:after="0" w:line="9" w:lineRule="exact"/>
        <w:rPr>
          <w:rFonts w:ascii="Arial" w:cs="Arial" w:eastAsia="Arial" w:hAnsi="Arial"/>
          <w:sz w:val="18"/>
          <w:szCs w:val="18"/>
          <w:color w:val="auto"/>
        </w:rPr>
      </w:pPr>
    </w:p>
    <w:p>
      <w:pPr>
        <w:ind w:left="720" w:hanging="150"/>
        <w:spacing w:after="0" w:line="19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Wireless: basebands,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connectivity products for handsets</w:t>
      </w:r>
    </w:p>
    <w:p>
      <w:pPr>
        <w:ind w:left="720" w:hanging="15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DLP® products, calculators, RISC microprocessors, ASIC products, royalties</w:t>
      </w:r>
    </w:p>
    <w:p>
      <w:pPr>
        <w:spacing w:after="0" w:line="236" w:lineRule="exact"/>
        <w:rPr>
          <w:rFonts w:ascii="Arial" w:cs="Arial" w:eastAsia="Arial" w:hAnsi="Arial"/>
          <w:sz w:val="18"/>
          <w:szCs w:val="18"/>
          <w:color w:val="auto"/>
        </w:rPr>
      </w:pPr>
    </w:p>
    <w:p>
      <w:pPr>
        <w:ind w:left="1000" w:hanging="306"/>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Analog revenue growth in both comparisons was due to stronger demand for high-performance analog products.</w:t>
      </w:r>
    </w:p>
    <w:p>
      <w:pPr>
        <w:spacing w:after="0" w:line="252" w:lineRule="exact"/>
        <w:rPr>
          <w:rFonts w:ascii="Arial" w:cs="Arial" w:eastAsia="Arial" w:hAnsi="Arial"/>
          <w:sz w:val="18"/>
          <w:szCs w:val="18"/>
          <w:color w:val="auto"/>
        </w:rPr>
      </w:pPr>
    </w:p>
    <w:p>
      <w:pPr>
        <w:ind w:left="1000" w:hanging="306"/>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Embedded Processing revenue growth in both comparisons was primarily due to stronger demand for catalog products, as well as communications infrastructure products.</w:t>
      </w:r>
    </w:p>
    <w:p>
      <w:pPr>
        <w:spacing w:after="0" w:line="197" w:lineRule="exact"/>
        <w:rPr>
          <w:rFonts w:ascii="Arial" w:cs="Arial" w:eastAsia="Arial" w:hAnsi="Arial"/>
          <w:sz w:val="18"/>
          <w:szCs w:val="18"/>
          <w:color w:val="auto"/>
        </w:rPr>
      </w:pPr>
    </w:p>
    <w:p>
      <w:pPr>
        <w:ind w:left="1000" w:hanging="306"/>
        <w:spacing w:after="0"/>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Wireless revenue declines in both comparisons were due to lower sales of baseband products.</w:t>
      </w:r>
    </w:p>
    <w:p>
      <w:pPr>
        <w:spacing w:after="0" w:line="252" w:lineRule="exact"/>
        <w:rPr>
          <w:rFonts w:ascii="Arial" w:cs="Arial" w:eastAsia="Arial" w:hAnsi="Arial"/>
          <w:sz w:val="18"/>
          <w:szCs w:val="18"/>
          <w:color w:val="auto"/>
        </w:rPr>
      </w:pPr>
    </w:p>
    <w:p>
      <w:pPr>
        <w:jc w:val="both"/>
        <w:ind w:left="1000" w:hanging="306"/>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Other revenue decreased from a year ago due to declines across a number of product lines, especially the impact from the sale of a DSL product line in the third quarter of 2007 and lower demand for RISC microprocessors. Compared with the first quarter of 2008, Other revenue grew due to seasonal demand for calculators that more than offset lower revenue for RISC microprocessors.</w:t>
      </w:r>
    </w:p>
    <w:p>
      <w:pPr>
        <w:spacing w:after="0" w:line="208" w:lineRule="exact"/>
        <w:rPr>
          <w:rFonts w:ascii="Arial" w:cs="Arial" w:eastAsia="Arial" w:hAnsi="Arial"/>
          <w:sz w:val="18"/>
          <w:szCs w:val="18"/>
          <w:color w:val="auto"/>
        </w:rPr>
      </w:pPr>
    </w:p>
    <w:p>
      <w:pPr>
        <w:ind w:left="1000" w:hanging="306"/>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Other category includes revenue from the Education Technology segment of $176 million compared with $167 million in the year-ago quarter and $81 million in the prior quarter. Essentially all of this revenue is from sales of calculators.</w:t>
      </w:r>
    </w:p>
    <w:p>
      <w:pPr>
        <w:sectPr>
          <w:pgSz w:w="11900" w:h="16838" w:orient="portrait"/>
          <w:cols w:equalWidth="0" w:num="1">
            <w:col w:w="11420"/>
          </w:cols>
          <w:pgMar w:left="240" w:top="125"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Additional financial information</w:t>
      </w:r>
    </w:p>
    <w:p>
      <w:pPr>
        <w:spacing w:after="0" w:line="256" w:lineRule="exact"/>
        <w:rPr>
          <w:sz w:val="20"/>
          <w:szCs w:val="20"/>
          <w:color w:val="auto"/>
        </w:rPr>
      </w:pPr>
    </w:p>
    <w:p>
      <w:pPr>
        <w:ind w:left="360" w:hanging="154"/>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3 percent from both the year-ago and prior quarters due to lower operating expenses.</w:t>
      </w:r>
    </w:p>
    <w:p>
      <w:pPr>
        <w:spacing w:after="0" w:line="252" w:lineRule="exact"/>
        <w:rPr>
          <w:rFonts w:ascii="Arial" w:cs="Arial" w:eastAsia="Arial" w:hAnsi="Arial"/>
          <w:sz w:val="18"/>
          <w:szCs w:val="18"/>
          <w:color w:val="auto"/>
        </w:rPr>
      </w:pPr>
    </w:p>
    <w:p>
      <w:pPr>
        <w:ind w:left="360" w:hanging="154"/>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declined 4 percent from the year-ago quarter due to lower interest income. Income declined 11 percent from the prior quarter due to a higher tax provision. The prior quarter included $81 million of discrete tax benefits.</w:t>
      </w:r>
    </w:p>
    <w:p>
      <w:pPr>
        <w:spacing w:after="0" w:line="197" w:lineRule="exact"/>
        <w:rPr>
          <w:rFonts w:ascii="Arial" w:cs="Arial" w:eastAsia="Arial" w:hAnsi="Arial"/>
          <w:sz w:val="18"/>
          <w:szCs w:val="18"/>
          <w:color w:val="auto"/>
        </w:rPr>
      </w:pPr>
    </w:p>
    <w:p>
      <w:pPr>
        <w:ind w:left="360" w:hanging="154"/>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were $3.46 billion, about even with the year-ago quarter and up 4 percent from the prior quarter.</w:t>
      </w:r>
    </w:p>
    <w:p>
      <w:pPr>
        <w:spacing w:after="0" w:line="252" w:lineRule="exact"/>
        <w:rPr>
          <w:rFonts w:ascii="Arial" w:cs="Arial" w:eastAsia="Arial" w:hAnsi="Arial"/>
          <w:sz w:val="18"/>
          <w:szCs w:val="18"/>
          <w:color w:val="auto"/>
        </w:rPr>
      </w:pPr>
    </w:p>
    <w:p>
      <w:pPr>
        <w:ind w:left="360" w:hanging="154"/>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Inventory increased in the quarter to above the company’s desired levels. This was primarily due to higher manufacturing costs and lower-than-expected revenue in the quarter. Additionally, the company built calculator inventory to support the upcoming back-to-school season.</w:t>
      </w:r>
    </w:p>
    <w:p>
      <w:pPr>
        <w:spacing w:after="0" w:line="197" w:lineRule="exact"/>
        <w:rPr>
          <w:rFonts w:ascii="Arial" w:cs="Arial" w:eastAsia="Arial" w:hAnsi="Arial"/>
          <w:sz w:val="18"/>
          <w:szCs w:val="18"/>
          <w:color w:val="auto"/>
        </w:rPr>
      </w:pPr>
    </w:p>
    <w:p>
      <w:pPr>
        <w:ind w:left="360" w:hanging="154"/>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used $433 million in the quarter to repurchase 14.1 million shares of its common stock and paid dividends of $132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2008, TI expects:</w:t>
      </w:r>
    </w:p>
    <w:p>
      <w:pPr>
        <w:spacing w:after="0" w:line="252" w:lineRule="exact"/>
        <w:rPr>
          <w:sz w:val="20"/>
          <w:szCs w:val="20"/>
          <w:color w:val="auto"/>
        </w:rPr>
      </w:pPr>
    </w:p>
    <w:p>
      <w:pPr>
        <w:ind w:left="460" w:hanging="16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$3.26 – 3.54 billion</w:t>
      </w:r>
    </w:p>
    <w:p>
      <w:pPr>
        <w:spacing w:after="0" w:line="23" w:lineRule="exact"/>
        <w:rPr>
          <w:rFonts w:ascii="Arial" w:cs="Arial" w:eastAsia="Arial" w:hAnsi="Arial"/>
          <w:sz w:val="18"/>
          <w:szCs w:val="18"/>
          <w:color w:val="auto"/>
        </w:rPr>
      </w:pPr>
    </w:p>
    <w:p>
      <w:pPr>
        <w:ind w:left="460" w:hanging="160"/>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$0.41 – 0.47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third-quarter outlook on September 9,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2008, TI continues to expect approximately the following:</w:t>
      </w:r>
    </w:p>
    <w:p>
      <w:pPr>
        <w:spacing w:after="0" w:line="252" w:lineRule="exact"/>
        <w:rPr>
          <w:sz w:val="20"/>
          <w:szCs w:val="20"/>
          <w:color w:val="auto"/>
        </w:rPr>
      </w:pPr>
    </w:p>
    <w:p>
      <w:pPr>
        <w:ind w:left="460" w:hanging="16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R&amp;D expense: $2.0 billion</w:t>
      </w:r>
    </w:p>
    <w:p>
      <w:pPr>
        <w:spacing w:after="0" w:line="23" w:lineRule="exact"/>
        <w:rPr>
          <w:rFonts w:ascii="Arial" w:cs="Arial" w:eastAsia="Arial" w:hAnsi="Arial"/>
          <w:sz w:val="18"/>
          <w:szCs w:val="18"/>
          <w:color w:val="auto"/>
        </w:rPr>
      </w:pPr>
    </w:p>
    <w:p>
      <w:pPr>
        <w:ind w:left="460" w:hanging="16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$0.9 billion</w:t>
      </w:r>
    </w:p>
    <w:p>
      <w:pPr>
        <w:spacing w:after="0" w:line="9" w:lineRule="exact"/>
        <w:rPr>
          <w:rFonts w:ascii="Arial" w:cs="Arial" w:eastAsia="Arial" w:hAnsi="Arial"/>
          <w:sz w:val="18"/>
          <w:szCs w:val="18"/>
          <w:color w:val="auto"/>
        </w:rPr>
      </w:pPr>
    </w:p>
    <w:p>
      <w:pPr>
        <w:ind w:left="460" w:hanging="16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$1.0 billion</w:t>
      </w:r>
    </w:p>
    <w:p>
      <w:pPr>
        <w:spacing w:after="0" w:line="9" w:lineRule="exact"/>
        <w:rPr>
          <w:rFonts w:ascii="Arial" w:cs="Arial" w:eastAsia="Arial" w:hAnsi="Arial"/>
          <w:sz w:val="18"/>
          <w:szCs w:val="18"/>
          <w:color w:val="auto"/>
        </w:rPr>
      </w:pPr>
    </w:p>
    <w:p>
      <w:pPr>
        <w:ind w:left="460" w:hanging="160"/>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effective tax rate: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7"/>
                <w:szCs w:val="17"/>
                <w:color w:val="auto"/>
              </w:rPr>
            </w:pPr>
          </w:p>
        </w:tc>
        <w:tc>
          <w:tcPr>
            <w:tcW w:w="124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Mar.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3,351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1,602</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1,749</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488</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428</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833</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850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865</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588</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1,320</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1,437</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1,341</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1,469</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14.6%</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12.8%</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24.9%</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640"/>
        </w:trPr>
        <w:tc>
          <w:tcPr>
            <w:tcW w:w="2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($24), ($27) and ($25)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(3,999)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12,382</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0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preferred. None issued.</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Common stock, $1 par value. Authorized --2,400,000,000 shares. Shares issued: June 30, 2008 --</w:t>
            </w:r>
          </w:p>
        </w:tc>
        <w:tc>
          <w:tcPr>
            <w:tcW w:w="1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1,739,712,567; June 30, 2007 -- 1,739,467,307; March 31, 2008 -- 1,739,660,927</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20,773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00"/>
              <w:spacing w:after="0" w:line="201" w:lineRule="exact"/>
              <w:rPr>
                <w:sz w:val="20"/>
                <w:szCs w:val="20"/>
                <w:color w:val="auto"/>
              </w:rPr>
            </w:pPr>
            <w:r>
              <w:rPr>
                <w:rFonts w:ascii="Arial" w:cs="Arial" w:eastAsia="Arial" w:hAnsi="Arial"/>
                <w:sz w:val="18"/>
                <w:szCs w:val="18"/>
                <w:color w:val="auto"/>
              </w:rPr>
              <w:t>Less treasury common stock at cost: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Shares: June 30, 2008 -- 428,835,142; June 30, 2007 -- 310,382,046; March 31, 2008 -</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(13,138)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360"/>
              <w:spacing w:after="0"/>
              <w:rPr>
                <w:sz w:val="20"/>
                <w:szCs w:val="20"/>
                <w:color w:val="auto"/>
              </w:rPr>
            </w:pPr>
            <w:r>
              <w:rPr>
                <w:rFonts w:ascii="Arial" w:cs="Arial" w:eastAsia="Arial" w:hAnsi="Arial"/>
                <w:sz w:val="18"/>
                <w:szCs w:val="18"/>
                <w:color w:val="auto"/>
              </w:rPr>
              <w:t>- 416,925,336</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(9,233)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loss, net of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11,494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12,382</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14,020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1057"/>
        </w:trPr>
        <w:tc>
          <w:tcPr>
            <w:tcW w:w="20" w:type="dxa"/>
            <w:vAlign w:val="bottom"/>
          </w:tcPr>
          <w:p>
            <w:pPr>
              <w:spacing w:after="0"/>
              <w:rPr>
                <w:sz w:val="24"/>
                <w:szCs w:val="24"/>
                <w:color w:val="auto"/>
              </w:rPr>
            </w:pPr>
          </w:p>
        </w:tc>
        <w:tc>
          <w:tcPr>
            <w:tcW w:w="74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96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center"/>
              <w:ind w:left="650"/>
              <w:spacing w:after="0"/>
              <w:rPr>
                <w:sz w:val="20"/>
                <w:szCs w:val="20"/>
                <w:color w:val="auto"/>
              </w:rPr>
            </w:pPr>
            <w:r>
              <w:rPr>
                <w:rFonts w:ascii="Arial" w:cs="Arial" w:eastAsia="Arial" w:hAnsi="Arial"/>
                <w:sz w:val="18"/>
                <w:szCs w:val="18"/>
                <w:b w:val="1"/>
                <w:bCs w:val="1"/>
                <w:color w:val="auto"/>
                <w:w w:val="92"/>
              </w:rPr>
              <w:t>For Three Months Ended</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7"/>
              </w:rPr>
              <w:t>June 30,</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5"/>
              </w:rPr>
              <w:t>Mar.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Adjustments to reconcile net income to cash provided by operating activities of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acquisition-related</w:t>
            </w:r>
          </w:p>
        </w:tc>
        <w:tc>
          <w:tcPr>
            <w:tcW w:w="1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18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Losses on sales of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Accrued profit sharing and retirement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long-term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 of continuing operations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(182)</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Payments on loans and long-term debt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(473)</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1,317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1,266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460" w:right="600" w:hanging="101"/>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460" w:right="60" w:hanging="101"/>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460" w:right="100" w:hanging="101"/>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460" w:hanging="101"/>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460" w:right="540" w:hanging="101"/>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Texas Instruments (NYSE: TXN) helps customers solve problems and develop new electronics that make the world smarter, healthier, safer, greener and more fun. A global semiconductor company, TI innovates through manufacturing, design and sales operations in more than 25 countries. For more information, go to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OMAP</w:t>
      </w:r>
    </w:p>
    <w:p>
      <w:pPr>
        <w:spacing w:after="0" w:line="6" w:lineRule="exact"/>
        <w:rPr>
          <w:sz w:val="20"/>
          <w:szCs w:val="20"/>
          <w:color w:val="auto"/>
        </w:rPr>
      </w:pPr>
    </w:p>
    <w:p>
      <w:pPr>
        <w:ind w:left="820"/>
        <w:spacing w:after="0"/>
        <w:rPr>
          <w:sz w:val="20"/>
          <w:szCs w:val="20"/>
          <w:color w:val="auto"/>
        </w:rPr>
      </w:pPr>
      <w:r>
        <w:rPr>
          <w:rFonts w:ascii="Arial" w:cs="Arial" w:eastAsia="Arial" w:hAnsi="Arial"/>
          <w:sz w:val="22"/>
          <w:szCs w:val="22"/>
          <w:color w:val="auto"/>
        </w:rPr>
        <w:t>DLP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2019-12-13T07:31:19Z</dcterms:created>
  <dcterms:modified xsi:type="dcterms:W3CDTF">2019-12-13T07:31:19Z</dcterms:modified>
</cp:coreProperties>
</file>