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1760" w:type="dxa"/>
            <w:vAlign w:val="bottom"/>
          </w:tcPr>
          <w:p>
            <w:pPr>
              <w:jc w:val="center"/>
              <w:ind w:right="62"/>
              <w:spacing w:after="0"/>
              <w:rPr>
                <w:sz w:val="20"/>
                <w:szCs w:val="20"/>
                <w:color w:val="auto"/>
              </w:rPr>
            </w:pPr>
            <w:r>
              <w:rPr>
                <w:rFonts w:ascii="Arial" w:cs="Arial" w:eastAsia="Arial" w:hAnsi="Arial"/>
                <w:sz w:val="18"/>
                <w:szCs w:val="18"/>
                <w:b w:val="1"/>
                <w:bCs w:val="1"/>
                <w:color w:val="auto"/>
                <w:w w:val="98"/>
              </w:rPr>
              <w:t>DELAWARE</w:t>
            </w:r>
          </w:p>
        </w:tc>
        <w:tc>
          <w:tcPr>
            <w:tcW w:w="5600" w:type="dxa"/>
            <w:vAlign w:val="bottom"/>
          </w:tcPr>
          <w:p>
            <w:pPr>
              <w:ind w:left="2380"/>
              <w:spacing w:after="0"/>
              <w:rPr>
                <w:sz w:val="20"/>
                <w:szCs w:val="20"/>
                <w:color w:val="auto"/>
              </w:rPr>
            </w:pPr>
            <w:r>
              <w:rPr>
                <w:rFonts w:ascii="Arial" w:cs="Arial" w:eastAsia="Arial" w:hAnsi="Arial"/>
                <w:sz w:val="18"/>
                <w:szCs w:val="18"/>
                <w:b w:val="1"/>
                <w:bCs w:val="1"/>
                <w:color w:val="auto"/>
              </w:rPr>
              <w:t>001-03761</w:t>
            </w:r>
          </w:p>
        </w:tc>
        <w:tc>
          <w:tcPr>
            <w:tcW w:w="1400" w:type="dxa"/>
            <w:vAlign w:val="bottom"/>
          </w:tcPr>
          <w:p>
            <w:pPr>
              <w:jc w:val="center"/>
              <w:ind w:left="222"/>
              <w:spacing w:after="0"/>
              <w:rPr>
                <w:sz w:val="20"/>
                <w:szCs w:val="20"/>
                <w:color w:val="auto"/>
              </w:rPr>
            </w:pPr>
            <w:r>
              <w:rPr>
                <w:rFonts w:ascii="Arial" w:cs="Arial" w:eastAsia="Arial" w:hAnsi="Arial"/>
                <w:sz w:val="18"/>
                <w:szCs w:val="18"/>
                <w:b w:val="1"/>
                <w:bCs w:val="1"/>
                <w:color w:val="auto"/>
                <w:w w:val="89"/>
              </w:rPr>
              <w:t>75-0289970</w:t>
            </w:r>
          </w:p>
        </w:tc>
      </w:tr>
      <w:tr>
        <w:trPr>
          <w:trHeight w:val="148"/>
        </w:trPr>
        <w:tc>
          <w:tcPr>
            <w:tcW w:w="17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600" w:type="dxa"/>
            <w:vAlign w:val="bottom"/>
          </w:tcPr>
          <w:p>
            <w:pPr>
              <w:ind w:left="2360"/>
              <w:spacing w:after="0" w:line="149" w:lineRule="exact"/>
              <w:rPr>
                <w:sz w:val="20"/>
                <w:szCs w:val="20"/>
                <w:color w:val="auto"/>
              </w:rPr>
            </w:pPr>
            <w:r>
              <w:rPr>
                <w:rFonts w:ascii="Arial" w:cs="Arial" w:eastAsia="Arial" w:hAnsi="Arial"/>
                <w:sz w:val="14"/>
                <w:szCs w:val="14"/>
                <w:b w:val="1"/>
                <w:bCs w:val="1"/>
                <w:color w:val="auto"/>
              </w:rPr>
              <w:t>(Commission</w:t>
            </w:r>
          </w:p>
        </w:tc>
        <w:tc>
          <w:tcPr>
            <w:tcW w:w="1400" w:type="dxa"/>
            <w:vAlign w:val="bottom"/>
          </w:tcPr>
          <w:p>
            <w:pPr>
              <w:jc w:val="center"/>
              <w:ind w:left="2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76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of incorporation)</w:t>
            </w:r>
          </w:p>
        </w:tc>
        <w:tc>
          <w:tcPr>
            <w:tcW w:w="5600" w:type="dxa"/>
            <w:vAlign w:val="bottom"/>
          </w:tcPr>
          <w:p>
            <w:pPr>
              <w:ind w:left="2400"/>
              <w:spacing w:after="0"/>
              <w:rPr>
                <w:sz w:val="20"/>
                <w:szCs w:val="20"/>
                <w:color w:val="auto"/>
              </w:rPr>
            </w:pPr>
            <w:r>
              <w:rPr>
                <w:rFonts w:ascii="Arial" w:cs="Arial" w:eastAsia="Arial" w:hAnsi="Arial"/>
                <w:sz w:val="14"/>
                <w:szCs w:val="14"/>
                <w:b w:val="1"/>
                <w:bCs w:val="1"/>
                <w:color w:val="auto"/>
              </w:rPr>
              <w:t>file number)</w:t>
            </w:r>
          </w:p>
        </w:tc>
        <w:tc>
          <w:tcPr>
            <w:tcW w:w="140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760" w:type="dxa"/>
            <w:vAlign w:val="bottom"/>
          </w:tcPr>
          <w:p>
            <w:pPr>
              <w:spacing w:after="0"/>
              <w:rPr>
                <w:sz w:val="24"/>
                <w:szCs w:val="24"/>
                <w:color w:val="auto"/>
              </w:rPr>
            </w:pPr>
          </w:p>
        </w:tc>
        <w:tc>
          <w:tcPr>
            <w:tcW w:w="5600" w:type="dxa"/>
            <w:vAlign w:val="bottom"/>
          </w:tcPr>
          <w:p>
            <w:pPr>
              <w:jc w:val="center"/>
              <w:ind w:right="98"/>
              <w:spacing w:after="0"/>
              <w:rPr>
                <w:sz w:val="20"/>
                <w:szCs w:val="20"/>
                <w:color w:val="auto"/>
              </w:rPr>
            </w:pPr>
            <w:r>
              <w:rPr>
                <w:rFonts w:ascii="Arial" w:cs="Arial" w:eastAsia="Arial" w:hAnsi="Arial"/>
                <w:sz w:val="18"/>
                <w:szCs w:val="18"/>
                <w:b w:val="1"/>
                <w:bCs w:val="1"/>
                <w:color w:val="auto"/>
                <w:w w:val="97"/>
              </w:rPr>
              <w:t>12500 TI BOULEVARD</w:t>
            </w:r>
          </w:p>
        </w:tc>
        <w:tc>
          <w:tcPr>
            <w:tcW w:w="1400" w:type="dxa"/>
            <w:vAlign w:val="bottom"/>
          </w:tcPr>
          <w:p>
            <w:pPr>
              <w:spacing w:after="0"/>
              <w:rPr>
                <w:sz w:val="24"/>
                <w:szCs w:val="24"/>
                <w:color w:val="auto"/>
              </w:rPr>
            </w:pPr>
          </w:p>
        </w:tc>
      </w:tr>
      <w:tr>
        <w:trPr>
          <w:trHeight w:val="212"/>
        </w:trPr>
        <w:tc>
          <w:tcPr>
            <w:tcW w:w="1760" w:type="dxa"/>
            <w:vAlign w:val="bottom"/>
          </w:tcPr>
          <w:p>
            <w:pPr>
              <w:spacing w:after="0"/>
              <w:rPr>
                <w:sz w:val="18"/>
                <w:szCs w:val="18"/>
                <w:color w:val="auto"/>
              </w:rPr>
            </w:pPr>
          </w:p>
        </w:tc>
        <w:tc>
          <w:tcPr>
            <w:tcW w:w="5600" w:type="dxa"/>
            <w:vAlign w:val="bottom"/>
          </w:tcPr>
          <w:p>
            <w:pPr>
              <w:jc w:val="center"/>
              <w:ind w:right="118"/>
              <w:spacing w:after="0"/>
              <w:rPr>
                <w:sz w:val="20"/>
                <w:szCs w:val="20"/>
                <w:color w:val="auto"/>
              </w:rPr>
            </w:pPr>
            <w:r>
              <w:rPr>
                <w:rFonts w:ascii="Arial" w:cs="Arial" w:eastAsia="Arial" w:hAnsi="Arial"/>
                <w:sz w:val="18"/>
                <w:szCs w:val="18"/>
                <w:b w:val="1"/>
                <w:bCs w:val="1"/>
                <w:color w:val="auto"/>
                <w:w w:val="96"/>
              </w:rPr>
              <w:t>DALLAS, TEXAS 75243</w:t>
            </w:r>
          </w:p>
        </w:tc>
        <w:tc>
          <w:tcPr>
            <w:tcW w:w="1400" w:type="dxa"/>
            <w:vAlign w:val="bottom"/>
          </w:tcPr>
          <w:p>
            <w:pPr>
              <w:spacing w:after="0"/>
              <w:rPr>
                <w:sz w:val="18"/>
                <w:szCs w:val="18"/>
                <w:color w:val="auto"/>
              </w:rPr>
            </w:pPr>
          </w:p>
        </w:tc>
      </w:tr>
      <w:tr>
        <w:trPr>
          <w:trHeight w:val="186"/>
        </w:trPr>
        <w:tc>
          <w:tcPr>
            <w:tcW w:w="1760" w:type="dxa"/>
            <w:vAlign w:val="bottom"/>
          </w:tcPr>
          <w:p>
            <w:pPr>
              <w:spacing w:after="0"/>
              <w:rPr>
                <w:sz w:val="16"/>
                <w:szCs w:val="16"/>
                <w:color w:val="auto"/>
              </w:rPr>
            </w:pPr>
          </w:p>
        </w:tc>
        <w:tc>
          <w:tcPr>
            <w:tcW w:w="560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spacing w:after="0"/>
              <w:rPr>
                <w:sz w:val="16"/>
                <w:szCs w:val="16"/>
                <w:color w:val="auto"/>
              </w:rPr>
            </w:pPr>
          </w:p>
        </w:tc>
      </w:tr>
      <w:tr>
        <w:trPr>
          <w:trHeight w:val="417"/>
        </w:trPr>
        <w:tc>
          <w:tcPr>
            <w:tcW w:w="1760" w:type="dxa"/>
            <w:vAlign w:val="bottom"/>
          </w:tcPr>
          <w:p>
            <w:pPr>
              <w:spacing w:after="0"/>
              <w:rPr>
                <w:sz w:val="24"/>
                <w:szCs w:val="24"/>
                <w:color w:val="auto"/>
              </w:rPr>
            </w:pPr>
          </w:p>
        </w:tc>
        <w:tc>
          <w:tcPr>
            <w:tcW w:w="5600" w:type="dxa"/>
            <w:vAlign w:val="bottom"/>
          </w:tcPr>
          <w:p>
            <w:pPr>
              <w:jc w:val="center"/>
              <w:ind w:right="118"/>
              <w:spacing w:after="0"/>
              <w:rPr>
                <w:sz w:val="20"/>
                <w:szCs w:val="20"/>
                <w:color w:val="auto"/>
              </w:rPr>
            </w:pPr>
            <w:r>
              <w:rPr>
                <w:rFonts w:ascii="Arial" w:cs="Arial" w:eastAsia="Arial" w:hAnsi="Arial"/>
                <w:sz w:val="18"/>
                <w:szCs w:val="18"/>
                <w:b w:val="1"/>
                <w:bCs w:val="1"/>
                <w:color w:val="auto"/>
                <w:w w:val="89"/>
              </w:rPr>
              <w:t>Registrant’s telephone number, including area code: (214) 479-3773</w:t>
            </w:r>
          </w:p>
        </w:tc>
        <w:tc>
          <w:tcPr>
            <w:tcW w:w="14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205740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$1.00</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TXN</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$750,000,000 of Notes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March 12, 2020, Texas Instruments Incorporated (“Texas Instruments”) consummated the issuance and sale of $750,000,000 aggregate principal amount of its 1.375% Notes due 2025 (the “Notes”), pursuant to an underwriting agreement filed herewith as Exhibit 1.1 dated March 3, 2020 among Texas Instruments and BofA Securities, Inc. and MUFG Securities Americas Inc., as representatives of the several underwriters named therein. The Notes were issued pursuant to an Indenture dated as of May 23, 2011 (the “Indenture”) between Texas Instruments and U.S. Bank National Association, as trustee, and an Officers’ Certificate issued pursuant thereto.</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Notes were offered pursuant to Texas Instruments’ Registration Statement on Form S-3 filed on February 22, 2019 (Reg. No. 333-229797), including the prospectus contained therein, and a related preliminary prospectus supplement dated March 3, 2020 and a prospectus supplement dated March 3, 2020.</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20" w:type="dxa"/>
            <w:vAlign w:val="bottom"/>
            <w:gridSpan w:val="7"/>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46"/>
        </w:trPr>
        <w:tc>
          <w:tcPr>
            <w:tcW w:w="104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2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167"/>
        </w:trPr>
        <w:tc>
          <w:tcPr>
            <w:tcW w:w="420" w:type="dxa"/>
            <w:vAlign w:val="bottom"/>
          </w:tcPr>
          <w:p>
            <w:pPr>
              <w:jc w:val="right"/>
              <w:ind w:right="15"/>
              <w:spacing w:after="0"/>
              <w:rPr>
                <w:sz w:val="20"/>
                <w:szCs w:val="20"/>
                <w:color w:val="auto"/>
              </w:rPr>
            </w:pPr>
            <w:r>
              <w:rPr>
                <w:rFonts w:ascii="Arial" w:cs="Arial" w:eastAsia="Arial" w:hAnsi="Arial"/>
                <w:sz w:val="14"/>
                <w:szCs w:val="14"/>
                <w:color w:val="auto"/>
              </w:rPr>
              <w:t>No.</w:t>
            </w:r>
          </w:p>
        </w:tc>
        <w:tc>
          <w:tcPr>
            <w:tcW w:w="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20" w:type="dxa"/>
            <w:vAlign w:val="bottom"/>
            <w:gridSpan w:val="5"/>
          </w:tcPr>
          <w:p>
            <w:pPr>
              <w:ind w:left="640"/>
              <w:spacing w:after="0"/>
              <w:rPr>
                <w:sz w:val="20"/>
                <w:szCs w:val="20"/>
                <w:color w:val="auto"/>
              </w:rPr>
            </w:pPr>
            <w:r>
              <w:rPr>
                <w:rFonts w:ascii="Arial" w:cs="Arial" w:eastAsia="Arial" w:hAnsi="Arial"/>
                <w:sz w:val="14"/>
                <w:szCs w:val="14"/>
                <w:color w:val="auto"/>
              </w:rPr>
              <w:t>Description</w:t>
            </w:r>
          </w:p>
        </w:tc>
      </w:tr>
      <w:tr>
        <w:trPr>
          <w:trHeight w:val="20"/>
        </w:trPr>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77"/>
        </w:trPr>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98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Underwriting Agreement dated March 3, 2020 among Texas Instruments and BofA Securities, Inc. and MUFG Securities Americas Inc.,</w:t>
              </w:r>
            </w:hyperlink>
          </w:p>
        </w:tc>
      </w:tr>
      <w:tr>
        <w:trPr>
          <w:trHeight w:val="196"/>
        </w:trPr>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20" w:type="dxa"/>
            <w:vAlign w:val="bottom"/>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as representatives of the several underwriters named in Schedule II therein</w:t>
              </w:r>
            </w:hyperlink>
          </w:p>
        </w:tc>
      </w:tr>
      <w:tr>
        <w:trPr>
          <w:trHeight w:val="304"/>
        </w:trPr>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Officers’ Certificate setting forth the terms of the Notes</w:t>
              </w:r>
            </w:hyperlink>
          </w:p>
        </w:tc>
        <w:tc>
          <w:tcPr>
            <w:tcW w:w="1360" w:type="dxa"/>
            <w:vAlign w:val="bottom"/>
            <w:tcBorders>
              <w:top w:val="single" w:sz="8" w:color="0000EE"/>
            </w:tcBorders>
            <w:gridSpan w:val="4"/>
          </w:tcPr>
          <w:p>
            <w:pPr>
              <w:spacing w:after="0"/>
              <w:rPr>
                <w:sz w:val="24"/>
                <w:szCs w:val="24"/>
                <w:color w:val="auto"/>
              </w:rPr>
            </w:pPr>
          </w:p>
        </w:tc>
        <w:tc>
          <w:tcPr>
            <w:tcW w:w="4460" w:type="dxa"/>
            <w:vAlign w:val="bottom"/>
          </w:tcPr>
          <w:p>
            <w:pPr>
              <w:spacing w:after="0"/>
              <w:rPr>
                <w:sz w:val="24"/>
                <w:szCs w:val="24"/>
                <w:color w:val="auto"/>
              </w:rPr>
            </w:pPr>
          </w:p>
        </w:tc>
      </w:tr>
      <w:tr>
        <w:trPr>
          <w:trHeight w:val="304"/>
        </w:trPr>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4"/>
                <w:szCs w:val="24"/>
                <w:color w:val="auto"/>
              </w:rPr>
            </w:pPr>
          </w:p>
        </w:tc>
        <w:tc>
          <w:tcPr>
            <w:tcW w:w="982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Opinion of Davis Polk &amp; Wardwell LLP</w:t>
              </w:r>
            </w:hyperlink>
          </w:p>
        </w:tc>
      </w:tr>
      <w:tr>
        <w:trPr>
          <w:trHeight w:val="20"/>
        </w:trPr>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r>
      <w:tr>
        <w:trPr>
          <w:trHeight w:val="304"/>
        </w:trPr>
        <w:tc>
          <w:tcPr>
            <w:tcW w:w="420" w:type="dxa"/>
            <w:vAlign w:val="bottom"/>
          </w:tcPr>
          <w:p>
            <w:pPr>
              <w:jc w:val="right"/>
              <w:spacing w:after="0"/>
              <w:rPr>
                <w:sz w:val="20"/>
                <w:szCs w:val="20"/>
                <w:color w:val="auto"/>
              </w:rPr>
            </w:pPr>
            <w:r>
              <w:rPr>
                <w:rFonts w:ascii="Arial" w:cs="Arial" w:eastAsia="Arial" w:hAnsi="Arial"/>
                <w:sz w:val="18"/>
                <w:szCs w:val="18"/>
                <w:color w:val="auto"/>
                <w:w w:val="96"/>
              </w:rPr>
              <w:t>23.1</w:t>
            </w:r>
          </w:p>
        </w:tc>
        <w:tc>
          <w:tcPr>
            <w:tcW w:w="620" w:type="dxa"/>
            <w:vAlign w:val="bottom"/>
          </w:tcPr>
          <w:p>
            <w:pPr>
              <w:spacing w:after="0"/>
              <w:rPr>
                <w:sz w:val="24"/>
                <w:szCs w:val="24"/>
                <w:color w:val="auto"/>
              </w:rPr>
            </w:pPr>
          </w:p>
        </w:tc>
        <w:tc>
          <w:tcPr>
            <w:tcW w:w="982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Consent of Davis Polk &amp; Wardwell LLP (contained in Exhibit 5.1)</w:t>
              </w:r>
            </w:hyperlink>
          </w:p>
        </w:tc>
      </w:tr>
      <w:tr>
        <w:trPr>
          <w:trHeight w:val="20"/>
        </w:trPr>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5460" w:right="4040" w:hanging="5410"/>
        <w:spacing w:after="0" w:line="481" w:lineRule="auto"/>
        <w:tabs>
          <w:tab w:leader="none" w:pos="1036"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ectPr>
          <w:pgSz w:w="11900" w:h="16838" w:orient="portrait"/>
          <w:cols w:equalWidth="0" w:num="1">
            <w:col w:w="10860"/>
          </w:cols>
          <w:pgMar w:left="440" w:top="297" w:right="599" w:bottom="1440" w:gutter="0" w:footer="0" w:header="0"/>
        </w:sectPr>
      </w:pPr>
    </w:p>
    <w:bookmarkStart w:id="3" w:name="page4"/>
    <w:bookmarkEnd w:id="3"/>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March 12, 2020</w:t>
      </w:r>
      <w:r>
        <w:rPr>
          <w:sz w:val="20"/>
          <w:szCs w:val="20"/>
          <w:color w:val="auto"/>
        </w:rPr>
        <w:tab/>
      </w:r>
      <w:r>
        <w:rPr>
          <w:rFonts w:ascii="Arial" w:cs="Arial" w:eastAsia="Arial" w:hAnsi="Arial"/>
          <w:sz w:val="17"/>
          <w:szCs w:val="17"/>
          <w:color w:val="auto"/>
        </w:rPr>
        <w:t>By:  /s/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Rafael R. Lizardi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pacing w:after="0" w:line="17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20"/>
          </w:cols>
          <w:pgMar w:left="440" w:top="301" w:right="11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We (the “</w:t>
      </w:r>
      <w:r>
        <w:rPr>
          <w:rFonts w:ascii="Arial" w:cs="Arial" w:eastAsia="Arial" w:hAnsi="Arial"/>
          <w:sz w:val="18"/>
          <w:szCs w:val="18"/>
          <w:b w:val="1"/>
          <w:bCs w:val="1"/>
          <w:color w:val="auto"/>
        </w:rPr>
        <w:t>Underwriters</w:t>
      </w:r>
      <w:r>
        <w:rPr>
          <w:rFonts w:ascii="Arial" w:cs="Arial" w:eastAsia="Arial" w:hAnsi="Arial"/>
          <w:sz w:val="18"/>
          <w:szCs w:val="18"/>
          <w:color w:val="auto"/>
        </w:rPr>
        <w:t>”) understand that Texas Instruments Incorporated,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$750,000,000 principal amount of the 1.375% Notes due 2025 (the “</w:t>
      </w:r>
      <w:r>
        <w:rPr>
          <w:rFonts w:ascii="Arial" w:cs="Arial" w:eastAsia="Arial" w:hAnsi="Arial"/>
          <w:sz w:val="18"/>
          <w:szCs w:val="18"/>
          <w:b w:val="1"/>
          <w:bCs w:val="1"/>
          <w:color w:val="auto"/>
        </w:rPr>
        <w:t>Offered Securities</w:t>
      </w:r>
      <w:r>
        <w:rPr>
          <w:rFonts w:ascii="Arial" w:cs="Arial" w:eastAsia="Arial" w:hAnsi="Arial"/>
          <w:sz w:val="18"/>
          <w:szCs w:val="18"/>
          <w:color w:val="auto"/>
        </w:rPr>
        <w:t>”) identified in Schedule I hereto, as more fully described in the Time of Sale Prospectus. The Offered Securities will be issued pursuant to an Indenture dated as of May 23, 2011, between the Company and U.S. Bank National Association, as trustee.</w:t>
      </w:r>
    </w:p>
    <w:p>
      <w:pPr>
        <w:spacing w:after="0" w:line="184" w:lineRule="exact"/>
        <w:rPr>
          <w:sz w:val="20"/>
          <w:szCs w:val="20"/>
          <w:color w:val="auto"/>
        </w:rPr>
      </w:pPr>
    </w:p>
    <w:p>
      <w:pPr>
        <w:jc w:val="both"/>
        <w:ind w:right="80" w:firstLine="440"/>
        <w:spacing w:after="0" w:line="311" w:lineRule="auto"/>
        <w:rPr>
          <w:sz w:val="20"/>
          <w:szCs w:val="20"/>
          <w:color w:val="auto"/>
        </w:rPr>
      </w:pPr>
      <w:r>
        <w:rPr>
          <w:rFonts w:ascii="Arial" w:cs="Arial" w:eastAsia="Arial" w:hAnsi="Arial"/>
          <w:sz w:val="16"/>
          <w:szCs w:val="16"/>
          <w:color w:val="auto"/>
        </w:rPr>
        <w:t>Subject to the terms and conditions set forth herein or incorporated by reference herein, the Company agrees to sell and the Underwriters agree to purchase, severally and not jointly, at the purchase price set forth in Schedule I hereto, the principal amount of the Offered Securities set forth opposite their respective names in Schedule II hereto. For purposes of this Agreement, “</w:t>
      </w:r>
      <w:r>
        <w:rPr>
          <w:rFonts w:ascii="Arial" w:cs="Arial" w:eastAsia="Arial" w:hAnsi="Arial"/>
          <w:sz w:val="16"/>
          <w:szCs w:val="16"/>
          <w:b w:val="1"/>
          <w:bCs w:val="1"/>
          <w:color w:val="auto"/>
        </w:rPr>
        <w:t>Applicable Time</w:t>
      </w:r>
      <w:r>
        <w:rPr>
          <w:rFonts w:ascii="Arial" w:cs="Arial" w:eastAsia="Arial" w:hAnsi="Arial"/>
          <w:sz w:val="16"/>
          <w:szCs w:val="16"/>
          <w:color w:val="auto"/>
        </w:rPr>
        <w:t>” means 1:00 P.M. (New York time) on the date hereof.</w:t>
      </w:r>
    </w:p>
    <w:p>
      <w:pPr>
        <w:spacing w:after="0" w:line="149"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Payment of the purchase price for the Offered Securities shall be made to the Company by Federal funds wire transfer against delivery of the Offered Securities in book-entry form to the Manager (as defined below)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9:00 A.M. (New York time) on March 12, 2020, or at such other time, not later than March 19, 2020, as shall be designated by the Manager.</w:t>
      </w:r>
    </w:p>
    <w:p>
      <w:pPr>
        <w:spacing w:after="0" w:line="188"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All the provisions contained in the document entitled Texas Instruments Incorporated Underwriting Agreement Standard Provisions dated February 22, 2019 (the “</w:t>
      </w:r>
      <w:r>
        <w:rPr>
          <w:rFonts w:ascii="Arial" w:cs="Arial" w:eastAsia="Arial" w:hAnsi="Arial"/>
          <w:sz w:val="17"/>
          <w:szCs w:val="17"/>
          <w:b w:val="1"/>
          <w:bCs w:val="1"/>
          <w:color w:val="auto"/>
        </w:rPr>
        <w:t>Standard Provisions</w:t>
      </w:r>
      <w:r>
        <w:rPr>
          <w:rFonts w:ascii="Arial" w:cs="Arial" w:eastAsia="Arial" w:hAnsi="Arial"/>
          <w:sz w:val="17"/>
          <w:szCs w:val="17"/>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w:t>
      </w:r>
    </w:p>
    <w:p>
      <w:pPr>
        <w:sectPr>
          <w:pgSz w:w="11900" w:h="16838" w:orient="portrait"/>
          <w:cols w:equalWidth="0" w:num="1">
            <w:col w:w="11020"/>
          </w:cols>
          <w:pgMar w:left="440" w:top="121" w:right="439" w:bottom="1440" w:gutter="0" w:footer="0" w:header="0"/>
        </w:sectPr>
      </w:pPr>
    </w:p>
    <w:bookmarkStart w:id="5" w:name="page6"/>
    <w:bookmarkEnd w:id="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the transactions contemplated hereby shall not be deemed to be a part of this Agreement,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 mean BofA Securities, Inc. and MUFG Securities Americas Inc., whose authority hereunder may be exercised by them jointly, (v) Section III(b)(iv)(B) 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 and (vii) Section IV(l) of the Standard Provisions shall be deleted and replaced in its entirety with the following text: “(l)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1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On behalf of themselves and the several Underwriters listed</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 Schedule II hereto</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Keith 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Keith Harman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MUFG Securities Americas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Richard Testa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Richard Testa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920"/>
          </w:cols>
          <w:pgMar w:left="440" w:top="274" w:right="5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Alan C. Boyd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20" w:type="dxa"/>
            <w:vAlign w:val="bottom"/>
            <w:gridSpan w:val="2"/>
          </w:tcPr>
          <w:p>
            <w:pPr>
              <w:jc w:val="center"/>
              <w:ind w:right="4480"/>
              <w:spacing w:after="0"/>
              <w:rPr>
                <w:sz w:val="20"/>
                <w:szCs w:val="20"/>
                <w:color w:val="auto"/>
              </w:rPr>
            </w:pPr>
            <w:r>
              <w:rPr>
                <w:rFonts w:ascii="Arial" w:cs="Arial" w:eastAsia="Arial" w:hAnsi="Arial"/>
                <w:sz w:val="18"/>
                <w:szCs w:val="18"/>
                <w:b w:val="1"/>
                <w:bCs w:val="1"/>
                <w:color w:val="auto"/>
              </w:rPr>
              <w:t>SCHEDULE I</w:t>
            </w:r>
          </w:p>
        </w:tc>
      </w:tr>
      <w:tr>
        <w:trPr>
          <w:trHeight w:val="234"/>
        </w:trPr>
        <w:tc>
          <w:tcPr>
            <w:tcW w:w="3120" w:type="dxa"/>
            <w:vAlign w:val="bottom"/>
          </w:tcPr>
          <w:p>
            <w:pPr>
              <w:spacing w:after="0"/>
              <w:rPr>
                <w:sz w:val="20"/>
                <w:szCs w:val="20"/>
                <w:color w:val="auto"/>
              </w:rPr>
            </w:pPr>
          </w:p>
        </w:tc>
        <w:tc>
          <w:tcPr>
            <w:tcW w:w="7740" w:type="dxa"/>
            <w:vAlign w:val="bottom"/>
            <w:gridSpan w:val="3"/>
          </w:tcPr>
          <w:p>
            <w:pPr>
              <w:jc w:val="center"/>
              <w:ind w:right="2980"/>
              <w:spacing w:after="0"/>
              <w:rPr>
                <w:sz w:val="20"/>
                <w:szCs w:val="20"/>
                <w:color w:val="auto"/>
              </w:rPr>
            </w:pPr>
            <w:r>
              <w:rPr>
                <w:rFonts w:ascii="Arial" w:cs="Arial" w:eastAsia="Arial" w:hAnsi="Arial"/>
                <w:sz w:val="18"/>
                <w:szCs w:val="18"/>
                <w:b w:val="1"/>
                <w:bCs w:val="1"/>
                <w:color w:val="auto"/>
              </w:rPr>
              <w:t>TO UNDERWRITING AGREEMENT</w:t>
            </w:r>
          </w:p>
        </w:tc>
      </w:tr>
      <w:tr>
        <w:trPr>
          <w:trHeight w:val="432"/>
        </w:trPr>
        <w:tc>
          <w:tcPr>
            <w:tcW w:w="3120" w:type="dxa"/>
            <w:vAlign w:val="bottom"/>
          </w:tcPr>
          <w:p>
            <w:pPr>
              <w:spacing w:after="0"/>
              <w:rPr>
                <w:sz w:val="24"/>
                <w:szCs w:val="24"/>
                <w:color w:val="auto"/>
              </w:rPr>
            </w:pPr>
          </w:p>
        </w:tc>
        <w:tc>
          <w:tcPr>
            <w:tcW w:w="7740" w:type="dxa"/>
            <w:vAlign w:val="bottom"/>
            <w:gridSpan w:val="3"/>
          </w:tcPr>
          <w:p>
            <w:pPr>
              <w:jc w:val="center"/>
              <w:ind w:right="2980"/>
              <w:spacing w:after="0"/>
              <w:rPr>
                <w:sz w:val="20"/>
                <w:szCs w:val="20"/>
                <w:color w:val="auto"/>
              </w:rPr>
            </w:pPr>
            <w:r>
              <w:rPr>
                <w:rFonts w:ascii="Arial" w:cs="Arial" w:eastAsia="Arial" w:hAnsi="Arial"/>
                <w:sz w:val="18"/>
                <w:szCs w:val="18"/>
                <w:b w:val="1"/>
                <w:bCs w:val="1"/>
                <w:color w:val="auto"/>
              </w:rPr>
              <w:t>TEXAS INSTRUMENTS INCORPORATED</w:t>
            </w:r>
          </w:p>
        </w:tc>
      </w:tr>
      <w:tr>
        <w:trPr>
          <w:trHeight w:val="432"/>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20" w:type="dxa"/>
            <w:vAlign w:val="bottom"/>
            <w:gridSpan w:val="2"/>
          </w:tcPr>
          <w:p>
            <w:pPr>
              <w:jc w:val="center"/>
              <w:ind w:right="450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20" w:type="dxa"/>
            <w:vAlign w:val="bottom"/>
            <w:gridSpan w:val="2"/>
          </w:tcPr>
          <w:p>
            <w:pPr>
              <w:jc w:val="center"/>
              <w:ind w:right="4500"/>
              <w:spacing w:after="0"/>
              <w:rPr>
                <w:sz w:val="20"/>
                <w:szCs w:val="20"/>
                <w:color w:val="auto"/>
              </w:rPr>
            </w:pPr>
            <w:r>
              <w:rPr>
                <w:rFonts w:ascii="Arial" w:cs="Arial" w:eastAsia="Arial" w:hAnsi="Arial"/>
                <w:sz w:val="18"/>
                <w:szCs w:val="18"/>
                <w:color w:val="auto"/>
                <w:w w:val="89"/>
              </w:rPr>
              <w:t>1.</w:t>
            </w:r>
            <w:r>
              <w:rPr>
                <w:rFonts w:ascii="Arial" w:cs="Arial" w:eastAsia="Arial" w:hAnsi="Arial"/>
                <w:sz w:val="18"/>
                <w:szCs w:val="18"/>
                <w:u w:val="single" w:color="auto"/>
                <w:color w:val="auto"/>
                <w:w w:val="89"/>
              </w:rPr>
              <w:t>375%</w:t>
            </w:r>
            <w:r>
              <w:rPr>
                <w:rFonts w:ascii="Arial" w:cs="Arial" w:eastAsia="Arial" w:hAnsi="Arial"/>
                <w:sz w:val="18"/>
                <w:szCs w:val="18"/>
                <w:color w:val="auto"/>
                <w:w w:val="89"/>
              </w:rPr>
              <w:t xml:space="preserve"> Notes due 2025</w:t>
            </w:r>
          </w:p>
        </w:tc>
      </w:tr>
      <w:tr>
        <w:trPr>
          <w:trHeight w:val="20"/>
        </w:trPr>
        <w:tc>
          <w:tcPr>
            <w:tcW w:w="3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66"/>
        </w:trPr>
        <w:tc>
          <w:tcPr>
            <w:tcW w:w="3120" w:type="dxa"/>
            <w:vAlign w:val="bottom"/>
          </w:tcPr>
          <w:p>
            <w:pPr>
              <w:spacing w:after="0"/>
              <w:rPr>
                <w:sz w:val="20"/>
                <w:szCs w:val="20"/>
                <w:color w:val="auto"/>
              </w:rPr>
            </w:pPr>
            <w:r>
              <w:rPr>
                <w:rFonts w:ascii="Arial" w:cs="Arial" w:eastAsia="Arial" w:hAnsi="Arial"/>
                <w:sz w:val="18"/>
                <w:szCs w:val="18"/>
                <w:color w:val="auto"/>
              </w:rPr>
              <w:t>Issuer:</w:t>
            </w:r>
          </w:p>
        </w:tc>
        <w:tc>
          <w:tcPr>
            <w:tcW w:w="7740" w:type="dxa"/>
            <w:vAlign w:val="bottom"/>
            <w:gridSpan w:val="3"/>
          </w:tcPr>
          <w:p>
            <w:pPr>
              <w:ind w:left="42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Principal Amount:</w:t>
            </w:r>
          </w:p>
        </w:tc>
        <w:tc>
          <w:tcPr>
            <w:tcW w:w="1520" w:type="dxa"/>
            <w:vAlign w:val="bottom"/>
          </w:tcPr>
          <w:p>
            <w:pPr>
              <w:ind w:left="420"/>
              <w:spacing w:after="0"/>
              <w:rPr>
                <w:sz w:val="20"/>
                <w:szCs w:val="20"/>
                <w:color w:val="auto"/>
              </w:rPr>
            </w:pPr>
            <w:r>
              <w:rPr>
                <w:rFonts w:ascii="Arial" w:cs="Arial" w:eastAsia="Arial" w:hAnsi="Arial"/>
                <w:sz w:val="18"/>
                <w:szCs w:val="18"/>
                <w:color w:val="auto"/>
                <w:w w:val="98"/>
              </w:rPr>
              <w:t>$750,000,000</w:t>
            </w:r>
          </w:p>
        </w:tc>
        <w:tc>
          <w:tcPr>
            <w:tcW w:w="17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Maturity:</w:t>
            </w:r>
          </w:p>
        </w:tc>
        <w:tc>
          <w:tcPr>
            <w:tcW w:w="7740" w:type="dxa"/>
            <w:vAlign w:val="bottom"/>
            <w:gridSpan w:val="3"/>
          </w:tcPr>
          <w:p>
            <w:pPr>
              <w:ind w:left="420"/>
              <w:spacing w:after="0"/>
              <w:rPr>
                <w:sz w:val="20"/>
                <w:szCs w:val="20"/>
                <w:color w:val="auto"/>
              </w:rPr>
            </w:pPr>
            <w:r>
              <w:rPr>
                <w:rFonts w:ascii="Arial" w:cs="Arial" w:eastAsia="Arial" w:hAnsi="Arial"/>
                <w:sz w:val="18"/>
                <w:szCs w:val="18"/>
                <w:color w:val="auto"/>
              </w:rPr>
              <w:t>March 12, 2025</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Coupon:</w:t>
            </w:r>
          </w:p>
        </w:tc>
        <w:tc>
          <w:tcPr>
            <w:tcW w:w="1520" w:type="dxa"/>
            <w:vAlign w:val="bottom"/>
          </w:tcPr>
          <w:p>
            <w:pPr>
              <w:ind w:left="420"/>
              <w:spacing w:after="0"/>
              <w:rPr>
                <w:sz w:val="20"/>
                <w:szCs w:val="20"/>
                <w:color w:val="auto"/>
              </w:rPr>
            </w:pPr>
            <w:r>
              <w:rPr>
                <w:rFonts w:ascii="Arial" w:cs="Arial" w:eastAsia="Arial" w:hAnsi="Arial"/>
                <w:sz w:val="18"/>
                <w:szCs w:val="18"/>
                <w:color w:val="auto"/>
              </w:rPr>
              <w:t>1.375%</w:t>
            </w:r>
          </w:p>
        </w:tc>
        <w:tc>
          <w:tcPr>
            <w:tcW w:w="17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Price to Public:</w:t>
            </w:r>
          </w:p>
        </w:tc>
        <w:tc>
          <w:tcPr>
            <w:tcW w:w="7740" w:type="dxa"/>
            <w:vAlign w:val="bottom"/>
            <w:gridSpan w:val="3"/>
          </w:tcPr>
          <w:p>
            <w:pPr>
              <w:ind w:left="420"/>
              <w:spacing w:after="0"/>
              <w:rPr>
                <w:sz w:val="20"/>
                <w:szCs w:val="20"/>
                <w:color w:val="auto"/>
              </w:rPr>
            </w:pPr>
            <w:r>
              <w:rPr>
                <w:rFonts w:ascii="Arial" w:cs="Arial" w:eastAsia="Arial" w:hAnsi="Arial"/>
                <w:sz w:val="18"/>
                <w:szCs w:val="18"/>
                <w:color w:val="auto"/>
              </w:rPr>
              <w:t>99.851% of principal amount</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740" w:type="dxa"/>
            <w:vAlign w:val="bottom"/>
            <w:gridSpan w:val="3"/>
          </w:tcPr>
          <w:p>
            <w:pPr>
              <w:ind w:left="420"/>
              <w:spacing w:after="0"/>
              <w:rPr>
                <w:sz w:val="20"/>
                <w:szCs w:val="20"/>
                <w:color w:val="auto"/>
              </w:rPr>
            </w:pPr>
            <w:r>
              <w:rPr>
                <w:rFonts w:ascii="Arial" w:cs="Arial" w:eastAsia="Arial" w:hAnsi="Arial"/>
                <w:sz w:val="18"/>
                <w:szCs w:val="18"/>
                <w:color w:val="auto"/>
              </w:rPr>
              <w:t>March 12 and September 12, beginning on September 12, 2020, and on the maturity date</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Day Count Convention:</w:t>
            </w:r>
          </w:p>
        </w:tc>
        <w:tc>
          <w:tcPr>
            <w:tcW w:w="1520" w:type="dxa"/>
            <w:vAlign w:val="bottom"/>
          </w:tcPr>
          <w:p>
            <w:pPr>
              <w:ind w:left="420"/>
              <w:spacing w:after="0"/>
              <w:rPr>
                <w:sz w:val="20"/>
                <w:szCs w:val="20"/>
                <w:color w:val="auto"/>
              </w:rPr>
            </w:pPr>
            <w:r>
              <w:rPr>
                <w:rFonts w:ascii="Arial" w:cs="Arial" w:eastAsia="Arial" w:hAnsi="Arial"/>
                <w:sz w:val="18"/>
                <w:szCs w:val="18"/>
                <w:color w:val="auto"/>
              </w:rPr>
              <w:t>30/360</w:t>
            </w:r>
          </w:p>
        </w:tc>
        <w:tc>
          <w:tcPr>
            <w:tcW w:w="17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1520" w:type="dxa"/>
            <w:vAlign w:val="bottom"/>
          </w:tcPr>
          <w:p>
            <w:pPr>
              <w:ind w:left="420"/>
              <w:spacing w:after="0"/>
              <w:rPr>
                <w:sz w:val="20"/>
                <w:szCs w:val="20"/>
                <w:color w:val="auto"/>
              </w:rPr>
            </w:pPr>
            <w:r>
              <w:rPr>
                <w:rFonts w:ascii="Arial" w:cs="Arial" w:eastAsia="Arial" w:hAnsi="Arial"/>
                <w:sz w:val="18"/>
                <w:szCs w:val="18"/>
                <w:color w:val="auto"/>
                <w:w w:val="98"/>
              </w:rPr>
              <w:t>$746,257,500</w:t>
            </w:r>
          </w:p>
        </w:tc>
        <w:tc>
          <w:tcPr>
            <w:tcW w:w="17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Benchmark Treasury:</w:t>
            </w:r>
          </w:p>
        </w:tc>
        <w:tc>
          <w:tcPr>
            <w:tcW w:w="7740" w:type="dxa"/>
            <w:vAlign w:val="bottom"/>
            <w:gridSpan w:val="3"/>
          </w:tcPr>
          <w:p>
            <w:pPr>
              <w:ind w:left="420"/>
              <w:spacing w:after="0"/>
              <w:rPr>
                <w:sz w:val="20"/>
                <w:szCs w:val="20"/>
                <w:color w:val="auto"/>
              </w:rPr>
            </w:pPr>
            <w:r>
              <w:rPr>
                <w:rFonts w:ascii="Arial" w:cs="Arial" w:eastAsia="Arial" w:hAnsi="Arial"/>
                <w:sz w:val="18"/>
                <w:szCs w:val="18"/>
                <w:color w:val="auto"/>
              </w:rPr>
              <w:t>1.125% due February 28, 2025</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740" w:type="dxa"/>
            <w:vAlign w:val="bottom"/>
            <w:gridSpan w:val="3"/>
          </w:tcPr>
          <w:p>
            <w:pPr>
              <w:ind w:left="420"/>
              <w:spacing w:after="0"/>
              <w:rPr>
                <w:sz w:val="20"/>
                <w:szCs w:val="20"/>
                <w:color w:val="auto"/>
              </w:rPr>
            </w:pPr>
            <w:r>
              <w:rPr>
                <w:rFonts w:ascii="Arial" w:cs="Arial" w:eastAsia="Arial" w:hAnsi="Arial"/>
                <w:sz w:val="18"/>
                <w:szCs w:val="18"/>
                <w:color w:val="auto"/>
              </w:rPr>
              <w:t>60 basis points</w:t>
            </w: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Yield to Maturity:</w:t>
            </w:r>
          </w:p>
        </w:tc>
        <w:tc>
          <w:tcPr>
            <w:tcW w:w="1520" w:type="dxa"/>
            <w:vAlign w:val="bottom"/>
          </w:tcPr>
          <w:p>
            <w:pPr>
              <w:ind w:left="420"/>
              <w:spacing w:after="0"/>
              <w:rPr>
                <w:sz w:val="20"/>
                <w:szCs w:val="20"/>
                <w:color w:val="auto"/>
              </w:rPr>
            </w:pPr>
            <w:r>
              <w:rPr>
                <w:rFonts w:ascii="Arial" w:cs="Arial" w:eastAsia="Arial" w:hAnsi="Arial"/>
                <w:sz w:val="18"/>
                <w:szCs w:val="18"/>
                <w:color w:val="auto"/>
              </w:rPr>
              <w:t>1.406%</w:t>
            </w:r>
          </w:p>
        </w:tc>
        <w:tc>
          <w:tcPr>
            <w:tcW w:w="17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418"/>
        </w:trPr>
        <w:tc>
          <w:tcPr>
            <w:tcW w:w="312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740" w:type="dxa"/>
            <w:vAlign w:val="bottom"/>
            <w:gridSpan w:val="3"/>
          </w:tcPr>
          <w:p>
            <w:pPr>
              <w:ind w:left="420"/>
              <w:spacing w:after="0"/>
              <w:rPr>
                <w:sz w:val="20"/>
                <w:szCs w:val="20"/>
                <w:color w:val="auto"/>
              </w:rPr>
            </w:pPr>
            <w:r>
              <w:rPr>
                <w:rFonts w:ascii="Arial" w:cs="Arial" w:eastAsia="Arial" w:hAnsi="Arial"/>
                <w:sz w:val="18"/>
                <w:szCs w:val="18"/>
                <w:color w:val="auto"/>
              </w:rPr>
              <w:t xml:space="preserve">101-17 </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29"/>
                <w:szCs w:val="29"/>
                <w:color w:val="auto"/>
                <w:vertAlign w:val="subscript"/>
              </w:rPr>
              <w:t>4</w:t>
            </w:r>
            <w:r>
              <w:rPr>
                <w:rFonts w:ascii="Arial" w:cs="Arial" w:eastAsia="Arial" w:hAnsi="Arial"/>
                <w:sz w:val="18"/>
                <w:szCs w:val="18"/>
                <w:color w:val="auto"/>
              </w:rPr>
              <w:t xml:space="preserve"> ; 0.806%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Make-Whole Call:</w:t>
            </w:r>
          </w:p>
        </w:tc>
        <w:tc>
          <w:tcPr>
            <w:tcW w:w="7740" w:type="dxa"/>
            <w:vAlign w:val="bottom"/>
            <w:gridSpan w:val="3"/>
          </w:tcPr>
          <w:p>
            <w:pPr>
              <w:ind w:left="420"/>
              <w:spacing w:after="0"/>
              <w:rPr>
                <w:sz w:val="20"/>
                <w:szCs w:val="20"/>
                <w:color w:val="auto"/>
              </w:rPr>
            </w:pPr>
            <w:r>
              <w:rPr>
                <w:rFonts w:ascii="Arial" w:cs="Arial" w:eastAsia="Arial" w:hAnsi="Arial"/>
                <w:sz w:val="18"/>
                <w:szCs w:val="18"/>
                <w:color w:val="auto"/>
                <w:w w:val="90"/>
              </w:rPr>
              <w:t>At any time before February 12, 2025 (one month before the maturity date) at the greater of: (i) 100%</w:t>
            </w:r>
          </w:p>
        </w:tc>
      </w:tr>
      <w:tr>
        <w:trPr>
          <w:trHeight w:val="216"/>
        </w:trPr>
        <w:tc>
          <w:tcPr>
            <w:tcW w:w="3120" w:type="dxa"/>
            <w:vAlign w:val="bottom"/>
          </w:tcPr>
          <w:p>
            <w:pPr>
              <w:spacing w:after="0"/>
              <w:rPr>
                <w:sz w:val="18"/>
                <w:szCs w:val="18"/>
                <w:color w:val="auto"/>
              </w:rPr>
            </w:pPr>
          </w:p>
        </w:tc>
        <w:tc>
          <w:tcPr>
            <w:tcW w:w="7740" w:type="dxa"/>
            <w:vAlign w:val="bottom"/>
            <w:gridSpan w:val="3"/>
          </w:tcPr>
          <w:p>
            <w:pPr>
              <w:ind w:left="420"/>
              <w:spacing w:after="0"/>
              <w:rPr>
                <w:sz w:val="20"/>
                <w:szCs w:val="20"/>
                <w:color w:val="auto"/>
              </w:rPr>
            </w:pPr>
            <w:r>
              <w:rPr>
                <w:rFonts w:ascii="Arial" w:cs="Arial" w:eastAsia="Arial" w:hAnsi="Arial"/>
                <w:sz w:val="18"/>
                <w:szCs w:val="18"/>
                <w:color w:val="auto"/>
                <w:w w:val="94"/>
              </w:rPr>
              <w:t>of the principal amount of the notes being redeemed; and (ii) the sum of the present values of the</w:t>
            </w:r>
          </w:p>
        </w:tc>
      </w:tr>
      <w:tr>
        <w:trPr>
          <w:trHeight w:val="216"/>
        </w:trPr>
        <w:tc>
          <w:tcPr>
            <w:tcW w:w="3120" w:type="dxa"/>
            <w:vAlign w:val="bottom"/>
          </w:tcPr>
          <w:p>
            <w:pPr>
              <w:spacing w:after="0"/>
              <w:rPr>
                <w:sz w:val="18"/>
                <w:szCs w:val="18"/>
                <w:color w:val="auto"/>
              </w:rPr>
            </w:pPr>
          </w:p>
        </w:tc>
        <w:tc>
          <w:tcPr>
            <w:tcW w:w="7740" w:type="dxa"/>
            <w:vAlign w:val="bottom"/>
            <w:gridSpan w:val="3"/>
          </w:tcPr>
          <w:p>
            <w:pPr>
              <w:ind w:left="420"/>
              <w:spacing w:after="0"/>
              <w:rPr>
                <w:sz w:val="20"/>
                <w:szCs w:val="20"/>
                <w:color w:val="auto"/>
              </w:rPr>
            </w:pPr>
            <w:r>
              <w:rPr>
                <w:rFonts w:ascii="Arial" w:cs="Arial" w:eastAsia="Arial" w:hAnsi="Arial"/>
                <w:sz w:val="18"/>
                <w:szCs w:val="18"/>
                <w:color w:val="auto"/>
                <w:w w:val="94"/>
              </w:rPr>
              <w:t>principal amount of such notes and the scheduled payments of interest thereon (not including any</w:t>
            </w:r>
          </w:p>
        </w:tc>
      </w:tr>
      <w:tr>
        <w:trPr>
          <w:trHeight w:val="230"/>
        </w:trPr>
        <w:tc>
          <w:tcPr>
            <w:tcW w:w="3120" w:type="dxa"/>
            <w:vAlign w:val="bottom"/>
          </w:tcPr>
          <w:p>
            <w:pPr>
              <w:spacing w:after="0"/>
              <w:rPr>
                <w:sz w:val="20"/>
                <w:szCs w:val="20"/>
                <w:color w:val="auto"/>
              </w:rPr>
            </w:pPr>
          </w:p>
        </w:tc>
        <w:tc>
          <w:tcPr>
            <w:tcW w:w="7740" w:type="dxa"/>
            <w:vAlign w:val="bottom"/>
            <w:gridSpan w:val="3"/>
          </w:tcPr>
          <w:p>
            <w:pPr>
              <w:ind w:left="420"/>
              <w:spacing w:after="0"/>
              <w:rPr>
                <w:sz w:val="20"/>
                <w:szCs w:val="20"/>
                <w:color w:val="auto"/>
              </w:rPr>
            </w:pPr>
            <w:r>
              <w:rPr>
                <w:rFonts w:ascii="Arial" w:cs="Arial" w:eastAsia="Arial" w:hAnsi="Arial"/>
                <w:sz w:val="18"/>
                <w:szCs w:val="18"/>
                <w:color w:val="auto"/>
              </w:rPr>
              <w:t>portion of such payments of interest accrued as of the date</w:t>
            </w:r>
          </w:p>
        </w:tc>
      </w:tr>
      <w:tr>
        <w:trPr>
          <w:trHeight w:val="365"/>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20" w:type="dxa"/>
            <w:vAlign w:val="bottom"/>
            <w:gridSpan w:val="2"/>
          </w:tcPr>
          <w:p>
            <w:pPr>
              <w:jc w:val="center"/>
              <w:ind w:right="4500"/>
              <w:spacing w:after="0"/>
              <w:rPr>
                <w:sz w:val="20"/>
                <w:szCs w:val="20"/>
                <w:color w:val="auto"/>
              </w:rPr>
            </w:pPr>
            <w:r>
              <w:rPr>
                <w:rFonts w:ascii="Arial" w:cs="Arial" w:eastAsia="Arial" w:hAnsi="Arial"/>
                <w:sz w:val="18"/>
                <w:szCs w:val="18"/>
                <w:color w:val="auto"/>
                <w:w w:val="94"/>
              </w:rPr>
              <w:t>I-1</w:t>
            </w:r>
          </w:p>
        </w:tc>
      </w:tr>
    </w:tbl>
    <w:p>
      <w:pPr>
        <w:jc w:val="center"/>
        <w:ind w:right="4500"/>
        <w:spacing w:after="0"/>
        <w:rPr>
          <w:sz w:val="20"/>
          <w:szCs w:val="20"/>
          <w:color w:val="auto"/>
        </w:rPr>
        <w:sectPr>
          <w:pgSz w:w="11900" w:h="16838" w:orient="portrait"/>
          <w:cols w:equalWidth="0" w:num="1">
            <w:col w:w="10860"/>
          </w:cols>
          <w:pgMar w:left="440" w:top="270" w:right="5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jc w:val="both"/>
        <w:ind w:left="354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redemption) from the date of redemption to February 12, 2025 (one month before the maturity date), in each case discounted to the date of redemption on a semi-annual basis at the rate of Treasury plus 10 basis points</w:t>
      </w:r>
    </w:p>
    <w:p>
      <w:pPr>
        <w:sectPr>
          <w:pgSz w:w="11900" w:h="16838" w:orient="portrait"/>
          <w:cols w:equalWidth="0" w:num="1">
            <w:col w:w="10964"/>
          </w:cols>
          <w:pgMar w:left="436" w:top="274" w:right="499" w:bottom="1440" w:gutter="0" w:footer="0" w:header="0"/>
        </w:sectPr>
      </w:pPr>
    </w:p>
    <w:p>
      <w:pPr>
        <w:spacing w:after="0" w:line="76" w:lineRule="exact"/>
        <w:rPr>
          <w:sz w:val="20"/>
          <w:szCs w:val="20"/>
          <w:color w:val="auto"/>
        </w:rPr>
      </w:pPr>
    </w:p>
    <w:p>
      <w:pPr>
        <w:ind w:left="4"/>
        <w:spacing w:after="0"/>
        <w:rPr>
          <w:sz w:val="20"/>
          <w:szCs w:val="20"/>
          <w:color w:val="auto"/>
        </w:rPr>
      </w:pPr>
      <w:r>
        <w:rPr>
          <w:rFonts w:ascii="Arial" w:cs="Arial" w:eastAsia="Arial" w:hAnsi="Arial"/>
          <w:sz w:val="16"/>
          <w:szCs w:val="16"/>
          <w:color w:val="auto"/>
        </w:rPr>
        <w:t>Par Call:</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At any time on or after February 12, 2025 (one month before the maturity date) at 100% of the principal amount of notes being redeemed</w:t>
      </w:r>
    </w:p>
    <w:p>
      <w:pPr>
        <w:spacing w:after="0" w:line="62" w:lineRule="exact"/>
        <w:rPr>
          <w:sz w:val="20"/>
          <w:szCs w:val="20"/>
          <w:color w:val="auto"/>
        </w:rPr>
      </w:pPr>
    </w:p>
    <w:p>
      <w:pPr>
        <w:sectPr>
          <w:pgSz w:w="11900" w:h="16838" w:orient="portrait"/>
          <w:cols w:equalWidth="0" w:num="2">
            <w:col w:w="2824" w:space="720"/>
            <w:col w:w="7420"/>
          </w:cols>
          <w:pgMar w:left="436" w:top="274" w:right="499" w:bottom="1440" w:gutter="0" w:footer="0" w:header="0"/>
          <w:type w:val="continuous"/>
        </w:sectPr>
      </w:pPr>
    </w:p>
    <w:p>
      <w:pPr>
        <w:ind w:left="4"/>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3, 2020</w:t>
      </w:r>
    </w:p>
    <w:p>
      <w:pPr>
        <w:spacing w:after="0" w:line="140" w:lineRule="exact"/>
        <w:rPr>
          <w:sz w:val="20"/>
          <w:szCs w:val="20"/>
          <w:color w:val="auto"/>
        </w:rPr>
      </w:pPr>
    </w:p>
    <w:p>
      <w:pPr>
        <w:sectPr>
          <w:pgSz w:w="11900" w:h="16838" w:orient="portrait"/>
          <w:cols w:equalWidth="0" w:num="2">
            <w:col w:w="2824" w:space="720"/>
            <w:col w:w="7420"/>
          </w:cols>
          <w:pgMar w:left="436" w:top="274" w:right="49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12, 2020 (T+7)</w:t>
      </w:r>
    </w:p>
    <w:p>
      <w:pPr>
        <w:spacing w:after="0" w:line="140" w:lineRule="exact"/>
        <w:rPr>
          <w:sz w:val="20"/>
          <w:szCs w:val="20"/>
          <w:color w:val="auto"/>
        </w:rPr>
      </w:pPr>
    </w:p>
    <w:p>
      <w:pPr>
        <w:sectPr>
          <w:pgSz w:w="11900" w:h="16838" w:orient="portrait"/>
          <w:cols w:equalWidth="0" w:num="2">
            <w:col w:w="2824" w:space="720"/>
            <w:col w:w="7420"/>
          </w:cols>
          <w:pgMar w:left="436" w:top="274" w:right="49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2824" w:space="720"/>
            <w:col w:w="7420"/>
          </w:cols>
          <w:pgMar w:left="436" w:top="274" w:right="49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882508 BH6 / US882508BH65</w:t>
      </w:r>
    </w:p>
    <w:p>
      <w:pPr>
        <w:spacing w:after="0" w:line="140" w:lineRule="exact"/>
        <w:rPr>
          <w:sz w:val="20"/>
          <w:szCs w:val="20"/>
          <w:color w:val="auto"/>
        </w:rPr>
      </w:pPr>
    </w:p>
    <w:p>
      <w:pPr>
        <w:sectPr>
          <w:pgSz w:w="11900" w:h="16838" w:orient="portrait"/>
          <w:cols w:equalWidth="0" w:num="2">
            <w:col w:w="2824" w:space="720"/>
            <w:col w:w="7420"/>
          </w:cols>
          <w:pgMar w:left="436" w:top="274" w:right="49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[Intentionally omitted]</w:t>
      </w:r>
    </w:p>
    <w:p>
      <w:pPr>
        <w:spacing w:after="0" w:line="142" w:lineRule="exact"/>
        <w:rPr>
          <w:sz w:val="20"/>
          <w:szCs w:val="20"/>
          <w:color w:val="auto"/>
        </w:rPr>
      </w:pPr>
    </w:p>
    <w:p>
      <w:pPr>
        <w:sectPr>
          <w:pgSz w:w="11900" w:h="16838" w:orient="portrait"/>
          <w:cols w:equalWidth="0" w:num="2">
            <w:col w:w="2824" w:space="720"/>
            <w:col w:w="7420"/>
          </w:cols>
          <w:pgMar w:left="436" w:top="274" w:right="49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MUFG Securities Americas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Citigroup Global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16" w:lineRule="exact"/>
        <w:rPr>
          <w:sz w:val="20"/>
          <w:szCs w:val="20"/>
          <w:color w:val="auto"/>
        </w:rPr>
      </w:pPr>
    </w:p>
    <w:p>
      <w:pPr>
        <w:sectPr>
          <w:pgSz w:w="11900" w:h="16838" w:orient="portrait"/>
          <w:cols w:equalWidth="0" w:num="2">
            <w:col w:w="2824" w:space="720"/>
            <w:col w:w="7420"/>
          </w:cols>
          <w:pgMar w:left="436" w:top="274" w:right="49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Siebert Williams Shank &amp; Co.,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200" w:lineRule="exact"/>
        <w:rPr>
          <w:sz w:val="20"/>
          <w:szCs w:val="20"/>
          <w:color w:val="auto"/>
        </w:rPr>
      </w:pPr>
    </w:p>
    <w:p>
      <w:pPr>
        <w:sectPr>
          <w:pgSz w:w="11900" w:h="16838" w:orient="portrait"/>
          <w:cols w:equalWidth="0" w:num="2">
            <w:col w:w="2824" w:space="720"/>
            <w:col w:w="7420"/>
          </w:cols>
          <w:pgMar w:left="436" w:top="274" w:right="499" w:bottom="1440" w:gutter="0" w:footer="0" w:header="0"/>
          <w:type w:val="continuous"/>
        </w:sectPr>
      </w:pPr>
    </w:p>
    <w:p>
      <w:pPr>
        <w:spacing w:after="0" w:line="47" w:lineRule="exact"/>
        <w:rPr>
          <w:sz w:val="20"/>
          <w:szCs w:val="20"/>
          <w:color w:val="auto"/>
        </w:rPr>
      </w:pPr>
    </w:p>
    <w:p>
      <w:pPr>
        <w:ind w:left="5404" w:right="720" w:hanging="5404"/>
        <w:spacing w:after="0" w:line="454" w:lineRule="auto"/>
        <w:tabs>
          <w:tab w:leader="none" w:pos="21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securities rating is not a recommendation to buy, sell or hold securities and may be subject to revision or withdrawal at any time. </w:t>
      </w:r>
      <w:r>
        <w:rPr>
          <w:rFonts w:ascii="Arial" w:cs="Arial" w:eastAsia="Arial" w:hAnsi="Arial"/>
          <w:sz w:val="18"/>
          <w:szCs w:val="18"/>
          <w:color w:val="auto"/>
        </w:rPr>
        <w:t>I-2</w:t>
      </w:r>
    </w:p>
    <w:p>
      <w:pPr>
        <w:sectPr>
          <w:pgSz w:w="11900" w:h="16838" w:orient="portrait"/>
          <w:cols w:equalWidth="0" w:num="1">
            <w:col w:w="10964"/>
          </w:cols>
          <w:pgMar w:left="436" w:top="274" w:right="499" w:bottom="1440" w:gutter="0" w:footer="0" w:header="0"/>
          <w:type w:val="continuous"/>
        </w:sectPr>
      </w:pPr>
    </w:p>
    <w:bookmarkStart w:id="10" w:name="page11"/>
    <w:bookmarkEnd w:id="10"/>
    <w:p>
      <w:pPr>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expected that delivery of the notes will be made against payment therefore on or about March 12, 2020, which is the seventh business day following the date hereof (such settlement cycle being referred to as “T+7”).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T+7,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BofA Securities, Inc. at (800) 294-1322 and MUFG Securities Americas Inc. at (877) 649-6848.</w:t>
      </w:r>
    </w:p>
    <w:p>
      <w:pPr>
        <w:spacing w:after="0" w:line="160"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0920"/>
          </w:cols>
          <w:pgMar w:left="440" w:top="270" w:right="5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760" w:type="dxa"/>
            <w:vAlign w:val="bottom"/>
            <w:gridSpan w:val="2"/>
          </w:tcPr>
          <w:p>
            <w:pPr>
              <w:jc w:val="right"/>
              <w:ind w:right="3887"/>
              <w:spacing w:after="0"/>
              <w:rPr>
                <w:sz w:val="20"/>
                <w:szCs w:val="20"/>
                <w:color w:val="auto"/>
              </w:rPr>
            </w:pPr>
            <w:r>
              <w:rPr>
                <w:rFonts w:ascii="Arial" w:cs="Arial" w:eastAsia="Arial" w:hAnsi="Arial"/>
                <w:sz w:val="18"/>
                <w:szCs w:val="18"/>
                <w:b w:val="1"/>
                <w:bCs w:val="1"/>
                <w:color w:val="auto"/>
              </w:rPr>
              <w:t>SCHEDULE II</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760" w:type="dxa"/>
            <w:vAlign w:val="bottom"/>
            <w:gridSpan w:val="2"/>
          </w:tcPr>
          <w:p>
            <w:pPr>
              <w:jc w:val="right"/>
              <w:ind w:right="2987"/>
              <w:spacing w:after="0"/>
              <w:rPr>
                <w:sz w:val="20"/>
                <w:szCs w:val="20"/>
                <w:color w:val="auto"/>
              </w:rPr>
            </w:pPr>
            <w:r>
              <w:rPr>
                <w:rFonts w:ascii="Arial" w:cs="Arial" w:eastAsia="Arial" w:hAnsi="Arial"/>
                <w:sz w:val="18"/>
                <w:szCs w:val="18"/>
                <w:b w:val="1"/>
                <w:bCs w:val="1"/>
                <w:color w:val="auto"/>
              </w:rPr>
              <w:t>TO UNDERWRITING AGREEMENT</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520" w:type="dxa"/>
            <w:vAlign w:val="bottom"/>
            <w:vMerge w:val="restart"/>
          </w:tcPr>
          <w:p>
            <w:pPr>
              <w:spacing w:after="0"/>
              <w:rPr>
                <w:sz w:val="24"/>
                <w:szCs w:val="24"/>
                <w:color w:val="auto"/>
              </w:rPr>
            </w:pPr>
          </w:p>
        </w:tc>
        <w:tc>
          <w:tcPr>
            <w:tcW w:w="6660" w:type="dxa"/>
            <w:vAlign w:val="bottom"/>
          </w:tcPr>
          <w:p>
            <w:pPr>
              <w:spacing w:after="0"/>
              <w:rPr>
                <w:sz w:val="24"/>
                <w:szCs w:val="24"/>
                <w:color w:val="auto"/>
              </w:rPr>
            </w:pPr>
          </w:p>
        </w:tc>
        <w:tc>
          <w:tcPr>
            <w:tcW w:w="10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1.375% Notes</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520" w:type="dxa"/>
            <w:vAlign w:val="bottom"/>
            <w:vMerge w:val="continue"/>
          </w:tcPr>
          <w:p>
            <w:pPr>
              <w:spacing w:after="0"/>
              <w:rPr>
                <w:sz w:val="15"/>
                <w:szCs w:val="15"/>
                <w:color w:val="auto"/>
              </w:rPr>
            </w:pPr>
          </w:p>
        </w:tc>
        <w:tc>
          <w:tcPr>
            <w:tcW w:w="6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due 2025</w:t>
            </w: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6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187,500,000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187,500,000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52,500,000</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52,500,000</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52,500,000</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52,500,000</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52,500,000</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Siebert Williams Shank &amp; Co., LLC</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37,500,000</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37,500,000</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18,750,000</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18,750,000</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750,000,000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0"/>
          </w:cols>
          <w:pgMar w:left="440" w:top="270" w:right="439" w:bottom="1440" w:gutter="0" w:footer="0" w:header="0"/>
        </w:sectPr>
      </w:pPr>
    </w:p>
    <w:bookmarkStart w:id="12" w:name="page13"/>
    <w:bookmarkEnd w:id="12"/>
    <w:p>
      <w:pPr>
        <w:jc w:val="center"/>
        <w:ind w:righ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9579"/>
          </w:cols>
          <w:pgMar w:left="880" w:top="270" w:right="1440" w:bottom="1440" w:gutter="0" w:footer="0" w:header="0"/>
        </w:sectPr>
      </w:pPr>
    </w:p>
    <w:bookmarkStart w:id="13" w:name="page14"/>
    <w:bookmarkEnd w:id="1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only information that the Underwriters have furnished to the Company in writing expressly for use in the Prospectus Supplement is:</w:t>
      </w:r>
    </w:p>
    <w:p>
      <w:pPr>
        <w:spacing w:after="0" w:line="140" w:lineRule="exact"/>
        <w:rPr>
          <w:sz w:val="20"/>
          <w:szCs w:val="20"/>
          <w:color w:val="auto"/>
        </w:rPr>
      </w:pPr>
    </w:p>
    <w:p>
      <w:pPr>
        <w:ind w:right="60" w:firstLine="419"/>
        <w:spacing w:after="0" w:line="277" w:lineRule="auto"/>
        <w:tabs>
          <w:tab w:leader="none" w:pos="60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third paragraph of text under the caption “Underwriting” in the Prospectus Supplement, concerning the terms offered by the Underwriters;</w:t>
      </w:r>
    </w:p>
    <w:p>
      <w:pPr>
        <w:spacing w:after="0" w:line="62" w:lineRule="exact"/>
        <w:rPr>
          <w:rFonts w:ascii="Arial" w:cs="Arial" w:eastAsia="Arial" w:hAnsi="Arial"/>
          <w:sz w:val="18"/>
          <w:szCs w:val="18"/>
          <w:color w:val="auto"/>
        </w:rPr>
      </w:pPr>
    </w:p>
    <w:p>
      <w:pPr>
        <w:ind w:firstLine="419"/>
        <w:spacing w:after="0" w:line="277" w:lineRule="auto"/>
        <w:tabs>
          <w:tab w:leader="none" w:pos="60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sixth and seventh paragraphs of text under the caption “Underwriting” in the Prospectus Supplement, concerning short sales, purchases to cover short positions and stabilizing purchases.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9900"/>
          </w:cols>
          <w:pgMar w:left="880" w:top="270" w:right="11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 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11"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February 22, 2019</w:t>
      </w:r>
    </w:p>
    <w:p>
      <w:pPr>
        <w:spacing w:after="0" w:line="2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8"/>
          <w:szCs w:val="18"/>
          <w:b w:val="1"/>
          <w:bCs w:val="1"/>
          <w:color w:val="auto"/>
        </w:rPr>
        <w:t>Underwriting Agreement</w:t>
      </w:r>
      <w:r>
        <w:rPr>
          <w:rFonts w:ascii="Arial" w:cs="Arial" w:eastAsia="Arial" w:hAnsi="Arial"/>
          <w:sz w:val="18"/>
          <w:szCs w:val="18"/>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From time to time in one or more offerings on terms determined at the time of sale, the Company proposes to issue and sell (a) its common stock, $1.00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(b) its preferred stock, $25.00 par value 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(c) certain of its debt securities (the “</w:t>
      </w:r>
      <w:r>
        <w:rPr>
          <w:rFonts w:ascii="Arial" w:cs="Arial" w:eastAsia="Arial" w:hAnsi="Arial"/>
          <w:sz w:val="17"/>
          <w:szCs w:val="17"/>
          <w:b w:val="1"/>
          <w:bCs w:val="1"/>
          <w:color w:val="auto"/>
        </w:rPr>
        <w:t>Debt Securities</w:t>
      </w:r>
      <w:r>
        <w:rPr>
          <w:rFonts w:ascii="Arial" w:cs="Arial" w:eastAsia="Arial" w:hAnsi="Arial"/>
          <w:sz w:val="17"/>
          <w:szCs w:val="17"/>
          <w:color w:val="auto"/>
        </w:rPr>
        <w:t>”) issuable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entered into by the Company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(d) warrants to purchase Common Stock, Preferred Stock or Debt Securities (“</w:t>
      </w:r>
      <w:r>
        <w:rPr>
          <w:rFonts w:ascii="Arial" w:cs="Arial" w:eastAsia="Arial" w:hAnsi="Arial"/>
          <w:sz w:val="17"/>
          <w:szCs w:val="17"/>
          <w:b w:val="1"/>
          <w:bCs w:val="1"/>
          <w:color w:val="auto"/>
        </w:rPr>
        <w:t>Warrants</w:t>
      </w:r>
      <w:r>
        <w:rPr>
          <w:rFonts w:ascii="Arial" w:cs="Arial" w:eastAsia="Arial" w:hAnsi="Arial"/>
          <w:sz w:val="17"/>
          <w:szCs w:val="17"/>
          <w:color w:val="auto"/>
        </w:rPr>
        <w:t>”), and (e) units consisting of Common Stock, Preferred Stock, Debt Securities or Warrants or any combination thereof (“</w:t>
      </w:r>
      <w:r>
        <w:rPr>
          <w:rFonts w:ascii="Arial" w:cs="Arial" w:eastAsia="Arial" w:hAnsi="Arial"/>
          <w:sz w:val="17"/>
          <w:szCs w:val="17"/>
          <w:b w:val="1"/>
          <w:bCs w:val="1"/>
          <w:color w:val="auto"/>
        </w:rPr>
        <w:t>Units</w:t>
      </w:r>
      <w:r>
        <w:rPr>
          <w:rFonts w:ascii="Arial" w:cs="Arial" w:eastAsia="Arial" w:hAnsi="Arial"/>
          <w:sz w:val="17"/>
          <w:szCs w:val="17"/>
          <w:color w:val="auto"/>
        </w:rPr>
        <w:t>”). The Common Stock, Preferred Stock, Debt Securities, Warrants and Units are each referred to as “</w:t>
      </w:r>
      <w:r>
        <w:rPr>
          <w:rFonts w:ascii="Arial" w:cs="Arial" w:eastAsia="Arial" w:hAnsi="Arial"/>
          <w:sz w:val="17"/>
          <w:szCs w:val="17"/>
          <w:b w:val="1"/>
          <w:bCs w:val="1"/>
          <w:color w:val="auto"/>
        </w:rPr>
        <w:t>Securities</w:t>
      </w:r>
      <w:r>
        <w:rPr>
          <w:rFonts w:ascii="Arial" w:cs="Arial" w:eastAsia="Arial" w:hAnsi="Arial"/>
          <w:sz w:val="17"/>
          <w:szCs w:val="17"/>
          <w:color w:val="auto"/>
        </w:rPr>
        <w:t>” for the purposes of this Agreement.</w:t>
      </w:r>
    </w:p>
    <w:p>
      <w:pPr>
        <w:spacing w:after="0" w:line="17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specifically relating to the Securities listed on Schedule I hereto (the “</w:t>
      </w:r>
      <w:r>
        <w:rPr>
          <w:rFonts w:ascii="Arial" w:cs="Arial" w:eastAsia="Arial" w:hAnsi="Arial"/>
          <w:sz w:val="17"/>
          <w:szCs w:val="17"/>
          <w:b w:val="1"/>
          <w:bCs w:val="1"/>
          <w:color w:val="auto"/>
        </w:rPr>
        <w:t>Offered</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pursuant to Rule 424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7"/>
          <w:szCs w:val="17"/>
          <w:b w:val="1"/>
          <w:bCs w:val="1"/>
          <w:color w:val="auto"/>
        </w:rPr>
        <w:t>Base Prospectus</w:t>
      </w:r>
      <w:r>
        <w:rPr>
          <w:rFonts w:ascii="Arial" w:cs="Arial" w:eastAsia="Arial" w:hAnsi="Arial"/>
          <w:sz w:val="17"/>
          <w:szCs w:val="17"/>
          <w:color w:val="auto"/>
        </w:rPr>
        <w:t>” means the prospectus included in the Registration Statement. The term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 preliminary prospectus supplement specifically relating to the Offered Securities, together with the Base Prospectus. The term “</w:t>
      </w:r>
      <w:r>
        <w:rPr>
          <w:rFonts w:ascii="Arial" w:cs="Arial" w:eastAsia="Arial" w:hAnsi="Arial"/>
          <w:sz w:val="17"/>
          <w:szCs w:val="17"/>
          <w:b w:val="1"/>
          <w:bCs w:val="1"/>
          <w:color w:val="auto"/>
        </w:rPr>
        <w:t>free writing</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has the meaning set forth in Rule 405 under the Securities Act. The term “</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has the meaning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Rule 433 under the Securities Act. The term “</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Base Prospectus and preliminary prospectus, if any, together with any additional documents 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15" w:name="page16"/>
    <w:bookmarkEnd w:id="15"/>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As used herein, the term “</w:t>
      </w:r>
      <w:r>
        <w:rPr>
          <w:rFonts w:ascii="Arial" w:cs="Arial" w:eastAsia="Arial" w:hAnsi="Arial"/>
          <w:sz w:val="17"/>
          <w:szCs w:val="17"/>
          <w:b w:val="1"/>
          <w:bCs w:val="1"/>
          <w:color w:val="auto"/>
        </w:rPr>
        <w:t>Applicable Time</w:t>
      </w:r>
      <w:r>
        <w:rPr>
          <w:rFonts w:ascii="Arial" w:cs="Arial" w:eastAsia="Arial" w:hAnsi="Arial"/>
          <w:sz w:val="17"/>
          <w:szCs w:val="17"/>
          <w:color w:val="auto"/>
        </w:rPr>
        <w:t>” means the time and date set forth in the Underwriting Agreement or such other time as agreed in writing by the Company and the Manager.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left="440" w:right="80" w:firstLine="419"/>
        <w:spacing w:after="0" w:line="271" w:lineRule="auto"/>
        <w:tabs>
          <w:tab w:leader="none" w:pos="1108"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6" w:name="page17"/>
    <w:bookmarkEnd w:id="16"/>
    <w:p>
      <w:pPr>
        <w:ind w:right="540" w:firstLine="419"/>
        <w:spacing w:after="0" w:line="277" w:lineRule="auto"/>
        <w:tabs>
          <w:tab w:leader="none" w:pos="678"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62" w:lineRule="exact"/>
        <w:rPr>
          <w:rFonts w:ascii="Arial" w:cs="Arial" w:eastAsia="Arial" w:hAnsi="Arial"/>
          <w:sz w:val="18"/>
          <w:szCs w:val="18"/>
          <w:color w:val="auto"/>
        </w:rPr>
      </w:pPr>
    </w:p>
    <w:p>
      <w:pPr>
        <w:ind w:left="540" w:right="160" w:firstLine="408"/>
        <w:spacing w:after="0" w:line="277" w:lineRule="auto"/>
        <w:tabs>
          <w:tab w:leader="none" w:pos="1156"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w:t>
      </w:r>
    </w:p>
    <w:p>
      <w:pPr>
        <w:spacing w:after="0" w:line="62" w:lineRule="exact"/>
        <w:rPr>
          <w:rFonts w:ascii="Arial" w:cs="Arial" w:eastAsia="Arial" w:hAnsi="Arial"/>
          <w:sz w:val="18"/>
          <w:szCs w:val="18"/>
          <w:color w:val="auto"/>
        </w:rPr>
      </w:pPr>
    </w:p>
    <w:p>
      <w:pPr>
        <w:jc w:val="both"/>
        <w:ind w:left="540" w:right="60" w:firstLine="408"/>
        <w:spacing w:after="0" w:line="286" w:lineRule="auto"/>
        <w:tabs>
          <w:tab w:leader="none" w:pos="1206"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57" w:lineRule="exact"/>
        <w:rPr>
          <w:rFonts w:ascii="Arial" w:cs="Arial" w:eastAsia="Arial" w:hAnsi="Arial"/>
          <w:sz w:val="17"/>
          <w:szCs w:val="17"/>
          <w:color w:val="auto"/>
        </w:rPr>
      </w:pPr>
    </w:p>
    <w:p>
      <w:pPr>
        <w:ind w:left="540" w:right="160" w:firstLine="408"/>
        <w:spacing w:after="0" w:line="277" w:lineRule="auto"/>
        <w:tabs>
          <w:tab w:leader="none" w:pos="1256"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such counsel’s knowledge, no proceedings for a stop order are pending or threatened by the Commission with respect to the Registration Statement.</w:t>
      </w:r>
    </w:p>
    <w:p>
      <w:pPr>
        <w:spacing w:after="0" w:line="62" w:lineRule="exact"/>
        <w:rPr>
          <w:rFonts w:ascii="Arial" w:cs="Arial" w:eastAsia="Arial" w:hAnsi="Arial"/>
          <w:sz w:val="18"/>
          <w:szCs w:val="18"/>
          <w:color w:val="auto"/>
        </w:rPr>
      </w:pPr>
    </w:p>
    <w:p>
      <w:pPr>
        <w:ind w:left="540" w:right="180" w:firstLine="408"/>
        <w:spacing w:after="0" w:line="263" w:lineRule="auto"/>
        <w:tabs>
          <w:tab w:leader="none" w:pos="1246"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execution and delivery by the Company of this Agreement and, as applicable, the Indenture, the Offered Securities, the Warrant Agreement and the Unit Agreement (each, a “</w:t>
      </w:r>
      <w:r>
        <w:rPr>
          <w:rFonts w:ascii="Arial" w:cs="Arial" w:eastAsia="Arial" w:hAnsi="Arial"/>
          <w:sz w:val="18"/>
          <w:szCs w:val="18"/>
          <w:b w:val="1"/>
          <w:bCs w:val="1"/>
          <w:color w:val="auto"/>
        </w:rPr>
        <w:t>Transaction Document</w:t>
      </w:r>
      <w:r>
        <w:rPr>
          <w:rFonts w:ascii="Arial" w:cs="Arial" w:eastAsia="Arial" w:hAnsi="Arial"/>
          <w:sz w:val="18"/>
          <w:szCs w:val="18"/>
          <w:color w:val="auto"/>
        </w:rPr>
        <w:t>”) and the performance by the Company of its obligations thereunder will not conflict with, constitute a default under or violate:</w:t>
      </w:r>
    </w:p>
    <w:p>
      <w:pPr>
        <w:spacing w:after="0" w:line="75" w:lineRule="exact"/>
        <w:rPr>
          <w:rFonts w:ascii="Arial" w:cs="Arial" w:eastAsia="Arial" w:hAnsi="Arial"/>
          <w:sz w:val="18"/>
          <w:szCs w:val="18"/>
          <w:color w:val="auto"/>
        </w:rPr>
      </w:pPr>
    </w:p>
    <w:p>
      <w:pPr>
        <w:ind w:left="1660" w:hanging="289"/>
        <w:spacing w:after="0"/>
        <w:tabs>
          <w:tab w:leader="none" w:pos="1660"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of the terms, conditions or provisions of the Certificate of Incorporation or by-laws of the Company; or</w:t>
      </w:r>
    </w:p>
    <w:p>
      <w:pPr>
        <w:spacing w:after="0" w:line="117" w:lineRule="exact"/>
        <w:rPr>
          <w:rFonts w:ascii="Arial" w:cs="Arial" w:eastAsia="Arial" w:hAnsi="Arial"/>
          <w:sz w:val="18"/>
          <w:szCs w:val="18"/>
          <w:color w:val="auto"/>
        </w:rPr>
      </w:pPr>
    </w:p>
    <w:p>
      <w:pPr>
        <w:ind w:left="980" w:firstLine="391"/>
        <w:spacing w:after="0" w:line="259" w:lineRule="auto"/>
        <w:tabs>
          <w:tab w:leader="none" w:pos="1648"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78" w:lineRule="exact"/>
        <w:rPr>
          <w:rFonts w:ascii="Arial" w:cs="Arial" w:eastAsia="Arial" w:hAnsi="Arial"/>
          <w:sz w:val="18"/>
          <w:szCs w:val="18"/>
          <w:color w:val="auto"/>
        </w:rPr>
      </w:pPr>
    </w:p>
    <w:p>
      <w:pPr>
        <w:ind w:left="540" w:right="300" w:firstLine="408"/>
        <w:spacing w:after="0" w:line="279" w:lineRule="auto"/>
        <w:tabs>
          <w:tab w:leader="none" w:pos="1196" w:val="left"/>
        </w:tabs>
        <w:numPr>
          <w:ilvl w:val="1"/>
          <w:numId w:val="6"/>
        </w:numPr>
        <w:rPr>
          <w:rFonts w:ascii="Arial" w:cs="Arial" w:eastAsia="Arial" w:hAnsi="Arial"/>
          <w:sz w:val="17"/>
          <w:szCs w:val="17"/>
          <w:color w:val="auto"/>
        </w:rPr>
      </w:pPr>
      <w:r>
        <w:rPr>
          <w:rFonts w:ascii="Arial" w:cs="Arial" w:eastAsia="Arial" w:hAnsi="Arial"/>
          <w:sz w:val="17"/>
          <w:szCs w:val="17"/>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17" w:name="page18"/>
    <w:bookmarkEnd w:id="17"/>
    <w:p>
      <w:pPr>
        <w:ind w:left="-20" w:firstLine="408"/>
        <w:spacing w:after="0" w:line="296" w:lineRule="auto"/>
        <w:tabs>
          <w:tab w:leader="none" w:pos="686"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such counsel’s knowledge, there is no action, suit or formal proceeding pending or threatened against the Company or any of its subsidiaries before any court or arbitrator or any governmental body or 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53" w:lineRule="exact"/>
        <w:rPr>
          <w:rFonts w:ascii="Arial" w:cs="Arial" w:eastAsia="Arial" w:hAnsi="Arial"/>
          <w:sz w:val="16"/>
          <w:szCs w:val="16"/>
          <w:color w:val="auto"/>
        </w:rPr>
      </w:pPr>
    </w:p>
    <w:p>
      <w:pPr>
        <w:ind w:left="-20" w:right="120" w:firstLine="408"/>
        <w:spacing w:after="0" w:line="257" w:lineRule="auto"/>
        <w:tabs>
          <w:tab w:leader="none" w:pos="73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79" w:lineRule="exact"/>
        <w:rPr>
          <w:rFonts w:ascii="Arial" w:cs="Arial" w:eastAsia="Arial" w:hAnsi="Arial"/>
          <w:sz w:val="18"/>
          <w:szCs w:val="18"/>
          <w:color w:val="auto"/>
        </w:rPr>
      </w:pPr>
    </w:p>
    <w:p>
      <w:pPr>
        <w:ind w:left="-20" w:right="80" w:firstLine="408"/>
        <w:spacing w:after="0" w:line="277" w:lineRule="auto"/>
        <w:tabs>
          <w:tab w:leader="none" w:pos="786"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420" w:right="80" w:firstLine="391"/>
        <w:spacing w:after="0" w:line="255" w:lineRule="auto"/>
        <w:tabs>
          <w:tab w:leader="none" w:pos="109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84" w:lineRule="exact"/>
        <w:rPr>
          <w:rFonts w:ascii="Arial" w:cs="Arial" w:eastAsia="Arial" w:hAnsi="Arial"/>
          <w:sz w:val="18"/>
          <w:szCs w:val="18"/>
          <w:color w:val="auto"/>
        </w:rPr>
      </w:pPr>
    </w:p>
    <w:p>
      <w:pPr>
        <w:ind w:left="420" w:right="20" w:firstLine="391"/>
        <w:spacing w:after="0" w:line="301" w:lineRule="auto"/>
        <w:tabs>
          <w:tab w:leader="none" w:pos="1088"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00"/>
          </w:cols>
          <w:pgMar w:left="1440" w:top="274" w:right="459" w:bottom="1440" w:gutter="0" w:footer="0" w:header="0"/>
        </w:sectPr>
      </w:pPr>
    </w:p>
    <w:bookmarkStart w:id="18" w:name="page19"/>
    <w:bookmarkEnd w:id="18"/>
    <w:p>
      <w:pPr>
        <w:ind w:left="980" w:right="180" w:firstLine="391"/>
        <w:spacing w:after="0" w:line="259" w:lineRule="auto"/>
        <w:tabs>
          <w:tab w:leader="none" w:pos="1648" w:val="left"/>
        </w:tabs>
        <w:numPr>
          <w:ilvl w:val="2"/>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8" w:lineRule="exact"/>
        <w:rPr>
          <w:rFonts w:ascii="Arial" w:cs="Arial" w:eastAsia="Arial" w:hAnsi="Arial"/>
          <w:sz w:val="18"/>
          <w:szCs w:val="18"/>
          <w:color w:val="auto"/>
        </w:rPr>
      </w:pPr>
    </w:p>
    <w:p>
      <w:pPr>
        <w:ind w:left="980" w:right="60" w:firstLine="391"/>
        <w:spacing w:after="0" w:line="301" w:lineRule="auto"/>
        <w:tabs>
          <w:tab w:leader="none" w:pos="1658" w:val="left"/>
        </w:tabs>
        <w:numPr>
          <w:ilvl w:val="2"/>
          <w:numId w:val="8"/>
        </w:numPr>
        <w:rPr>
          <w:rFonts w:ascii="Arial" w:cs="Arial" w:eastAsia="Arial" w:hAnsi="Arial"/>
          <w:sz w:val="16"/>
          <w:szCs w:val="16"/>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49" w:lineRule="exact"/>
        <w:rPr>
          <w:rFonts w:ascii="Arial" w:cs="Arial" w:eastAsia="Arial" w:hAnsi="Arial"/>
          <w:sz w:val="16"/>
          <w:szCs w:val="16"/>
          <w:color w:val="auto"/>
        </w:rPr>
      </w:pPr>
    </w:p>
    <w:p>
      <w:pPr>
        <w:ind w:right="720" w:firstLine="419"/>
        <w:spacing w:after="0" w:line="277" w:lineRule="auto"/>
        <w:tabs>
          <w:tab w:leader="none" w:pos="6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Davis Polk &amp; Wardwell LLP, special outside counsel to the Company, dated the Closing Date, to the effect (as applicable) that:</w:t>
      </w:r>
    </w:p>
    <w:p>
      <w:pPr>
        <w:spacing w:after="0" w:line="62" w:lineRule="exact"/>
        <w:rPr>
          <w:rFonts w:ascii="Arial" w:cs="Arial" w:eastAsia="Arial" w:hAnsi="Arial"/>
          <w:sz w:val="18"/>
          <w:szCs w:val="18"/>
          <w:color w:val="auto"/>
        </w:rPr>
      </w:pPr>
    </w:p>
    <w:p>
      <w:pPr>
        <w:ind w:left="540" w:firstLine="408"/>
        <w:spacing w:after="0" w:line="263" w:lineRule="auto"/>
        <w:tabs>
          <w:tab w:leader="none" w:pos="1156"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5" w:lineRule="exact"/>
        <w:rPr>
          <w:rFonts w:ascii="Arial" w:cs="Arial" w:eastAsia="Arial" w:hAnsi="Arial"/>
          <w:sz w:val="18"/>
          <w:szCs w:val="18"/>
          <w:color w:val="auto"/>
        </w:rPr>
      </w:pPr>
    </w:p>
    <w:p>
      <w:pPr>
        <w:ind w:left="1220" w:hanging="272"/>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Debt Securities are Offered Securities:</w:t>
      </w:r>
    </w:p>
    <w:p>
      <w:pPr>
        <w:spacing w:after="0" w:line="117" w:lineRule="exact"/>
        <w:rPr>
          <w:rFonts w:ascii="Arial" w:cs="Arial" w:eastAsia="Arial" w:hAnsi="Arial"/>
          <w:sz w:val="18"/>
          <w:szCs w:val="18"/>
          <w:color w:val="auto"/>
        </w:rPr>
      </w:pPr>
    </w:p>
    <w:p>
      <w:pPr>
        <w:ind w:left="980" w:right="40" w:firstLine="391"/>
        <w:spacing w:after="0" w:line="272" w:lineRule="auto"/>
        <w:tabs>
          <w:tab w:leader="none" w:pos="1658" w:val="left"/>
        </w:tabs>
        <w:numPr>
          <w:ilvl w:val="2"/>
          <w:numId w:val="9"/>
        </w:numPr>
        <w:rPr>
          <w:rFonts w:ascii="Arial" w:cs="Arial" w:eastAsia="Arial" w:hAnsi="Arial"/>
          <w:sz w:val="17"/>
          <w:szCs w:val="17"/>
          <w:color w:val="auto"/>
        </w:rPr>
      </w:pPr>
      <w:r>
        <w:rPr>
          <w:rFonts w:ascii="Arial" w:cs="Arial" w:eastAsia="Arial" w:hAnsi="Arial"/>
          <w:sz w:val="17"/>
          <w:szCs w:val="17"/>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provided that such counsel need not express any opinion as to the validity, legally binding effect or enforceability of any provision that permits holders to collect any portion of stated principal amount upon acceleration of such securities to the extent determined to constitute unearned interest;</w:t>
      </w:r>
    </w:p>
    <w:p>
      <w:pPr>
        <w:spacing w:after="0" w:line="69" w:lineRule="exact"/>
        <w:rPr>
          <w:rFonts w:ascii="Arial" w:cs="Arial" w:eastAsia="Arial" w:hAnsi="Arial"/>
          <w:sz w:val="17"/>
          <w:szCs w:val="17"/>
          <w:color w:val="auto"/>
        </w:rPr>
      </w:pPr>
    </w:p>
    <w:p>
      <w:pPr>
        <w:ind w:left="980" w:right="240" w:firstLine="391"/>
        <w:spacing w:after="0" w:line="277" w:lineRule="auto"/>
        <w:tabs>
          <w:tab w:leader="none" w:pos="1648"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19" w:name="page20"/>
    <w:bookmarkEnd w:id="19"/>
    <w:p>
      <w:pPr>
        <w:ind w:left="1100" w:hanging="289"/>
        <w:spacing w:after="0"/>
        <w:tabs>
          <w:tab w:leader="none" w:pos="1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has been duly qualified under the Trust Indenture Act of 1939.</w:t>
      </w:r>
    </w:p>
    <w:p>
      <w:pPr>
        <w:spacing w:after="0" w:line="117" w:lineRule="exact"/>
        <w:rPr>
          <w:rFonts w:ascii="Arial" w:cs="Arial" w:eastAsia="Arial" w:hAnsi="Arial"/>
          <w:sz w:val="18"/>
          <w:szCs w:val="18"/>
          <w:color w:val="auto"/>
        </w:rPr>
      </w:pPr>
    </w:p>
    <w:p>
      <w:pPr>
        <w:ind w:left="700" w:hanging="31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Warrants are Offered Securities:</w:t>
      </w:r>
    </w:p>
    <w:p>
      <w:pPr>
        <w:spacing w:after="0" w:line="117" w:lineRule="exact"/>
        <w:rPr>
          <w:rFonts w:ascii="Arial" w:cs="Arial" w:eastAsia="Arial" w:hAnsi="Arial"/>
          <w:sz w:val="18"/>
          <w:szCs w:val="18"/>
          <w:color w:val="auto"/>
        </w:rPr>
      </w:pPr>
    </w:p>
    <w:p>
      <w:pPr>
        <w:ind w:left="420" w:firstLine="391"/>
        <w:spacing w:after="0" w:line="259" w:lineRule="auto"/>
        <w:tabs>
          <w:tab w:leader="none" w:pos="10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78" w:lineRule="exact"/>
        <w:rPr>
          <w:rFonts w:ascii="Arial" w:cs="Arial" w:eastAsia="Arial" w:hAnsi="Arial"/>
          <w:sz w:val="18"/>
          <w:szCs w:val="18"/>
          <w:color w:val="auto"/>
        </w:rPr>
      </w:pPr>
    </w:p>
    <w:p>
      <w:pPr>
        <w:ind w:left="420" w:right="180" w:firstLine="391"/>
        <w:spacing w:after="0" w:line="277" w:lineRule="auto"/>
        <w:tabs>
          <w:tab w:leader="none" w:pos="10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700" w:hanging="31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Units are Offered Securities:</w:t>
      </w:r>
    </w:p>
    <w:p>
      <w:pPr>
        <w:spacing w:after="0" w:line="117" w:lineRule="exact"/>
        <w:rPr>
          <w:rFonts w:ascii="Arial" w:cs="Arial" w:eastAsia="Arial" w:hAnsi="Arial"/>
          <w:sz w:val="18"/>
          <w:szCs w:val="18"/>
          <w:color w:val="auto"/>
        </w:rPr>
      </w:pPr>
    </w:p>
    <w:p>
      <w:pPr>
        <w:ind w:left="420" w:right="100" w:firstLine="391"/>
        <w:spacing w:after="0" w:line="259" w:lineRule="auto"/>
        <w:tabs>
          <w:tab w:leader="none" w:pos="10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78" w:lineRule="exact"/>
        <w:rPr>
          <w:rFonts w:ascii="Arial" w:cs="Arial" w:eastAsia="Arial" w:hAnsi="Arial"/>
          <w:sz w:val="18"/>
          <w:szCs w:val="18"/>
          <w:color w:val="auto"/>
        </w:rPr>
      </w:pPr>
    </w:p>
    <w:p>
      <w:pPr>
        <w:ind w:left="420" w:right="440" w:firstLine="391"/>
        <w:spacing w:after="0" w:line="277" w:lineRule="auto"/>
        <w:tabs>
          <w:tab w:leader="none" w:pos="10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640" w:hanging="25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20" w:right="260" w:firstLine="408"/>
        <w:spacing w:after="0" w:line="263" w:lineRule="auto"/>
        <w:tabs>
          <w:tab w:leader="none" w:pos="6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75" w:lineRule="exact"/>
        <w:rPr>
          <w:rFonts w:ascii="Arial" w:cs="Arial" w:eastAsia="Arial" w:hAnsi="Arial"/>
          <w:sz w:val="18"/>
          <w:szCs w:val="18"/>
          <w:color w:val="auto"/>
        </w:rPr>
      </w:pPr>
    </w:p>
    <w:p>
      <w:pPr>
        <w:ind w:left="-20" w:right="240" w:firstLine="408"/>
        <w:spacing w:after="0" w:line="308" w:lineRule="auto"/>
        <w:tabs>
          <w:tab w:leader="none" w:pos="7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00"/>
          </w:cols>
          <w:pgMar w:left="1440" w:top="274" w:right="459" w:bottom="1440" w:gutter="0" w:footer="0" w:header="0"/>
        </w:sectPr>
      </w:pPr>
    </w:p>
    <w:bookmarkStart w:id="20" w:name="page21"/>
    <w:bookmarkEnd w:id="20"/>
    <w:p>
      <w:pPr>
        <w:ind w:left="-20" w:right="120" w:firstLine="408"/>
        <w:spacing w:after="0" w:line="282" w:lineRule="auto"/>
        <w:tabs>
          <w:tab w:leader="none" w:pos="786"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Offered Securities that are convertible into or exercisable or exchangeable for other Securities (the “</w:t>
      </w:r>
      <w:r>
        <w:rPr>
          <w:rFonts w:ascii="Arial" w:cs="Arial" w:eastAsia="Arial" w:hAnsi="Arial"/>
          <w:sz w:val="18"/>
          <w:szCs w:val="18"/>
          <w:b w:val="1"/>
          <w:bCs w:val="1"/>
          <w:color w:val="auto"/>
        </w:rPr>
        <w:t>Underlying</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57" w:lineRule="exact"/>
        <w:rPr>
          <w:rFonts w:ascii="Arial" w:cs="Arial" w:eastAsia="Arial" w:hAnsi="Arial"/>
          <w:sz w:val="18"/>
          <w:szCs w:val="18"/>
          <w:color w:val="auto"/>
        </w:rPr>
      </w:pPr>
    </w:p>
    <w:p>
      <w:pPr>
        <w:jc w:val="both"/>
        <w:ind w:left="-20" w:right="160" w:firstLine="408"/>
        <w:spacing w:after="0" w:line="311" w:lineRule="auto"/>
        <w:tabs>
          <w:tab w:leader="none" w:pos="6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40" w:lineRule="exact"/>
        <w:rPr>
          <w:rFonts w:ascii="Arial" w:cs="Arial" w:eastAsia="Arial" w:hAnsi="Arial"/>
          <w:sz w:val="16"/>
          <w:szCs w:val="16"/>
          <w:color w:val="auto"/>
        </w:rPr>
      </w:pPr>
    </w:p>
    <w:p>
      <w:pPr>
        <w:ind w:left="-20" w:firstLine="408"/>
        <w:spacing w:after="0" w:line="311" w:lineRule="auto"/>
        <w:tabs>
          <w:tab w:leader="none" w:pos="6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40" w:lineRule="exact"/>
        <w:rPr>
          <w:rFonts w:ascii="Arial" w:cs="Arial" w:eastAsia="Arial" w:hAnsi="Arial"/>
          <w:sz w:val="16"/>
          <w:szCs w:val="16"/>
          <w:color w:val="auto"/>
        </w:rPr>
      </w:pPr>
    </w:p>
    <w:p>
      <w:pPr>
        <w:ind w:left="-20" w:right="80" w:firstLine="408"/>
        <w:spacing w:after="0" w:line="301" w:lineRule="auto"/>
        <w:tabs>
          <w:tab w:leader="none" w:pos="6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49" w:lineRule="exact"/>
        <w:rPr>
          <w:rFonts w:ascii="Arial" w:cs="Arial" w:eastAsia="Arial" w:hAnsi="Arial"/>
          <w:sz w:val="16"/>
          <w:szCs w:val="16"/>
          <w:color w:val="auto"/>
        </w:rPr>
      </w:pPr>
    </w:p>
    <w:p>
      <w:pPr>
        <w:ind w:left="-20" w:right="120" w:firstLine="408"/>
        <w:spacing w:after="0" w:line="277" w:lineRule="auto"/>
        <w:tabs>
          <w:tab w:leader="none" w:pos="7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420" w:right="140" w:firstLine="391"/>
        <w:spacing w:after="0" w:line="293" w:lineRule="auto"/>
        <w:tabs>
          <w:tab w:leader="none" w:pos="1098"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00"/>
          </w:cols>
          <w:pgMar w:left="1440" w:top="270" w:right="459" w:bottom="1440" w:gutter="0" w:footer="0" w:header="0"/>
        </w:sectPr>
      </w:pPr>
    </w:p>
    <w:bookmarkStart w:id="21" w:name="page22"/>
    <w:bookmarkEnd w:id="21"/>
    <w:p>
      <w:pPr>
        <w:ind w:left="1420" w:right="180" w:firstLine="391"/>
        <w:spacing w:after="0" w:line="259" w:lineRule="auto"/>
        <w:tabs>
          <w:tab w:leader="none" w:pos="2088" w:val="left"/>
        </w:tabs>
        <w:numPr>
          <w:ilvl w:val="2"/>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8" w:lineRule="exact"/>
        <w:rPr>
          <w:rFonts w:ascii="Arial" w:cs="Arial" w:eastAsia="Arial" w:hAnsi="Arial"/>
          <w:sz w:val="18"/>
          <w:szCs w:val="18"/>
          <w:color w:val="auto"/>
        </w:rPr>
      </w:pPr>
    </w:p>
    <w:p>
      <w:pPr>
        <w:ind w:left="1420" w:firstLine="391"/>
        <w:spacing w:after="0" w:line="301" w:lineRule="auto"/>
        <w:tabs>
          <w:tab w:leader="none" w:pos="2088" w:val="left"/>
        </w:tabs>
        <w:numPr>
          <w:ilvl w:val="2"/>
          <w:numId w:val="13"/>
        </w:numPr>
        <w:rPr>
          <w:rFonts w:ascii="Arial" w:cs="Arial" w:eastAsia="Arial" w:hAnsi="Arial"/>
          <w:sz w:val="16"/>
          <w:szCs w:val="16"/>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49" w:lineRule="exact"/>
        <w:rPr>
          <w:rFonts w:ascii="Arial" w:cs="Arial" w:eastAsia="Arial" w:hAnsi="Arial"/>
          <w:sz w:val="16"/>
          <w:szCs w:val="16"/>
          <w:color w:val="auto"/>
        </w:rPr>
      </w:pPr>
    </w:p>
    <w:p>
      <w:pPr>
        <w:ind w:left="980" w:right="60" w:firstLine="408"/>
        <w:spacing w:after="0" w:line="277" w:lineRule="auto"/>
        <w:tabs>
          <w:tab w:leader="none" w:pos="178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of this Agreement, the Indenture, and the Offered Securities will not contravene any provision of applicable law.</w:t>
      </w:r>
    </w:p>
    <w:p>
      <w:pPr>
        <w:spacing w:after="0" w:line="62" w:lineRule="exact"/>
        <w:rPr>
          <w:rFonts w:ascii="Arial" w:cs="Arial" w:eastAsia="Arial" w:hAnsi="Arial"/>
          <w:sz w:val="18"/>
          <w:szCs w:val="18"/>
          <w:color w:val="auto"/>
        </w:rPr>
      </w:pPr>
    </w:p>
    <w:p>
      <w:pPr>
        <w:ind w:left="440" w:right="420" w:firstLine="419"/>
        <w:spacing w:after="0" w:line="277" w:lineRule="auto"/>
        <w:tabs>
          <w:tab w:leader="none" w:pos="11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its own counsel, in a form acceptable to the Manager, dated the Closing Date.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80" w:lineRule="exact"/>
        <w:rPr>
          <w:sz w:val="20"/>
          <w:szCs w:val="20"/>
          <w:color w:val="auto"/>
        </w:rPr>
      </w:pPr>
    </w:p>
    <w:p>
      <w:pPr>
        <w:ind w:left="440" w:right="100" w:firstLine="419"/>
        <w:spacing w:after="0" w:line="279" w:lineRule="auto"/>
        <w:tabs>
          <w:tab w:leader="none" w:pos="110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2" w:name="page23"/>
    <w:bookmarkEnd w:id="22"/>
    <w:p>
      <w:pPr>
        <w:jc w:val="both"/>
        <w:ind w:left="440" w:right="260" w:firstLine="419"/>
        <w:spacing w:after="0" w:line="301" w:lineRule="auto"/>
        <w:tabs>
          <w:tab w:leader="none" w:pos="1088"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49" w:lineRule="exact"/>
        <w:rPr>
          <w:rFonts w:ascii="Arial" w:cs="Arial" w:eastAsia="Arial" w:hAnsi="Arial"/>
          <w:sz w:val="16"/>
          <w:szCs w:val="16"/>
          <w:color w:val="auto"/>
        </w:rPr>
      </w:pPr>
    </w:p>
    <w:p>
      <w:pPr>
        <w:ind w:left="440" w:right="100" w:firstLine="419"/>
        <w:spacing w:after="0" w:line="279" w:lineRule="auto"/>
        <w:tabs>
          <w:tab w:leader="none" w:pos="111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left="440" w:right="20" w:firstLine="419"/>
        <w:spacing w:after="0" w:line="311" w:lineRule="auto"/>
        <w:tabs>
          <w:tab w:leader="none" w:pos="11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40" w:lineRule="exact"/>
        <w:rPr>
          <w:rFonts w:ascii="Arial" w:cs="Arial" w:eastAsia="Arial" w:hAnsi="Arial"/>
          <w:sz w:val="16"/>
          <w:szCs w:val="16"/>
          <w:color w:val="auto"/>
        </w:rPr>
      </w:pPr>
    </w:p>
    <w:p>
      <w:pPr>
        <w:ind w:left="440" w:firstLine="419"/>
        <w:spacing w:after="0" w:line="259" w:lineRule="auto"/>
        <w:tabs>
          <w:tab w:leader="none" w:pos="11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8" w:lineRule="exact"/>
        <w:rPr>
          <w:rFonts w:ascii="Arial" w:cs="Arial" w:eastAsia="Arial" w:hAnsi="Arial"/>
          <w:sz w:val="18"/>
          <w:szCs w:val="18"/>
          <w:color w:val="auto"/>
        </w:rPr>
      </w:pPr>
    </w:p>
    <w:p>
      <w:pPr>
        <w:ind w:left="440" w:right="180" w:firstLine="419"/>
        <w:spacing w:after="0" w:line="277" w:lineRule="auto"/>
        <w:tabs>
          <w:tab w:leader="none" w:pos="11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62" w:lineRule="exact"/>
        <w:rPr>
          <w:rFonts w:ascii="Arial" w:cs="Arial" w:eastAsia="Arial" w:hAnsi="Arial"/>
          <w:sz w:val="18"/>
          <w:szCs w:val="18"/>
          <w:color w:val="auto"/>
        </w:rPr>
      </w:pPr>
    </w:p>
    <w:p>
      <w:pPr>
        <w:jc w:val="both"/>
        <w:ind w:left="440" w:right="80" w:firstLine="419"/>
        <w:spacing w:after="0" w:line="263" w:lineRule="auto"/>
        <w:tabs>
          <w:tab w:leader="none" w:pos="11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75" w:lineRule="exact"/>
        <w:rPr>
          <w:rFonts w:ascii="Arial" w:cs="Arial" w:eastAsia="Arial" w:hAnsi="Arial"/>
          <w:sz w:val="18"/>
          <w:szCs w:val="18"/>
          <w:color w:val="auto"/>
        </w:rPr>
      </w:pPr>
    </w:p>
    <w:p>
      <w:pPr>
        <w:ind w:left="440" w:right="560" w:firstLine="419"/>
        <w:spacing w:after="0" w:line="286" w:lineRule="auto"/>
        <w:tabs>
          <w:tab w:leader="none" w:pos="1108"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3" w:name="page24"/>
    <w:bookmarkEnd w:id="23"/>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69" w:lineRule="exact"/>
        <w:rPr>
          <w:sz w:val="20"/>
          <w:szCs w:val="20"/>
          <w:color w:val="auto"/>
        </w:rPr>
      </w:pPr>
    </w:p>
    <w:p>
      <w:pPr>
        <w:ind w:firstLine="419"/>
        <w:spacing w:after="0" w:line="287" w:lineRule="auto"/>
        <w:tabs>
          <w:tab w:leader="none" w:pos="648"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63" w:lineRule="exact"/>
        <w:rPr>
          <w:rFonts w:ascii="Arial" w:cs="Arial" w:eastAsia="Arial" w:hAnsi="Arial"/>
          <w:sz w:val="16"/>
          <w:szCs w:val="16"/>
          <w:color w:val="auto"/>
        </w:rPr>
      </w:pPr>
    </w:p>
    <w:p>
      <w:pPr>
        <w:ind w:right="280" w:firstLine="419"/>
        <w:spacing w:after="0" w:line="342" w:lineRule="auto"/>
        <w:tabs>
          <w:tab w:leader="none" w:pos="67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15" w:lineRule="exact"/>
        <w:rPr>
          <w:rFonts w:ascii="Arial" w:cs="Arial" w:eastAsia="Arial" w:hAnsi="Arial"/>
          <w:sz w:val="16"/>
          <w:szCs w:val="16"/>
          <w:color w:val="auto"/>
        </w:rPr>
      </w:pPr>
    </w:p>
    <w:p>
      <w:pPr>
        <w:ind w:firstLine="419"/>
        <w:spacing w:after="0" w:line="279" w:lineRule="auto"/>
        <w:tabs>
          <w:tab w:leader="none" w:pos="67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10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0"/>
          </w:cols>
          <w:pgMar w:left="880" w:top="274" w:right="519" w:bottom="1440" w:gutter="0" w:footer="0" w:header="0"/>
        </w:sectPr>
      </w:pPr>
    </w:p>
    <w:bookmarkStart w:id="24" w:name="page25"/>
    <w:bookmarkEnd w:id="24"/>
    <w:p>
      <w:pPr>
        <w:ind w:right="160" w:firstLine="419"/>
        <w:spacing w:after="0" w:line="259" w:lineRule="auto"/>
        <w:tabs>
          <w:tab w:leader="none" w:pos="638"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8" w:lineRule="exact"/>
        <w:rPr>
          <w:rFonts w:ascii="Arial" w:cs="Arial" w:eastAsia="Arial" w:hAnsi="Arial"/>
          <w:sz w:val="18"/>
          <w:szCs w:val="18"/>
          <w:color w:val="auto"/>
        </w:rPr>
      </w:pPr>
    </w:p>
    <w:p>
      <w:pPr>
        <w:ind w:right="260" w:firstLine="419"/>
        <w:spacing w:after="0" w:line="259" w:lineRule="auto"/>
        <w:tabs>
          <w:tab w:leader="none" w:pos="638"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8" w:lineRule="exact"/>
        <w:rPr>
          <w:rFonts w:ascii="Arial" w:cs="Arial" w:eastAsia="Arial" w:hAnsi="Arial"/>
          <w:sz w:val="18"/>
          <w:szCs w:val="18"/>
          <w:color w:val="auto"/>
        </w:rPr>
      </w:pPr>
    </w:p>
    <w:p>
      <w:pPr>
        <w:ind w:right="20" w:firstLine="419"/>
        <w:spacing w:after="0" w:line="277" w:lineRule="auto"/>
        <w:tabs>
          <w:tab w:leader="none" w:pos="6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62" w:lineRule="exact"/>
        <w:rPr>
          <w:rFonts w:ascii="Arial" w:cs="Arial" w:eastAsia="Arial" w:hAnsi="Arial"/>
          <w:sz w:val="18"/>
          <w:szCs w:val="18"/>
          <w:color w:val="auto"/>
        </w:rPr>
      </w:pPr>
    </w:p>
    <w:p>
      <w:pPr>
        <w:ind w:firstLine="419"/>
        <w:spacing w:after="0" w:line="268" w:lineRule="auto"/>
        <w:tabs>
          <w:tab w:leader="none" w:pos="638"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78" w:lineRule="exact"/>
        <w:rPr>
          <w:rFonts w:ascii="Arial" w:cs="Arial" w:eastAsia="Arial" w:hAnsi="Arial"/>
          <w:sz w:val="17"/>
          <w:szCs w:val="17"/>
          <w:color w:val="auto"/>
        </w:rPr>
      </w:pPr>
    </w:p>
    <w:p>
      <w:pPr>
        <w:ind w:firstLine="419"/>
        <w:spacing w:after="0" w:line="275" w:lineRule="auto"/>
        <w:tabs>
          <w:tab w:leader="none" w:pos="7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25" w:name="page26"/>
    <w:bookmarkEnd w:id="25"/>
    <w:p>
      <w:pPr>
        <w:ind w:left="440" w:right="20" w:firstLine="419"/>
        <w:spacing w:after="0" w:line="284" w:lineRule="auto"/>
        <w:tabs>
          <w:tab w:leader="none" w:pos="1118" w:val="left"/>
        </w:tabs>
        <w:numPr>
          <w:ilvl w:val="1"/>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w:t>
      </w:r>
    </w:p>
    <w:p>
      <w:pPr>
        <w:spacing w:after="0" w:line="4" w:lineRule="exact"/>
        <w:rPr>
          <w:rFonts w:ascii="Arial" w:cs="Arial" w:eastAsia="Arial" w:hAnsi="Arial"/>
          <w:sz w:val="16"/>
          <w:szCs w:val="16"/>
          <w:color w:val="auto"/>
        </w:rPr>
      </w:pPr>
    </w:p>
    <w:p>
      <w:pPr>
        <w:ind w:left="440" w:right="40" w:hanging="4"/>
        <w:spacing w:after="0" w:line="286"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left="440" w:firstLine="419"/>
        <w:spacing w:after="0" w:line="301" w:lineRule="auto"/>
        <w:tabs>
          <w:tab w:leader="none" w:pos="110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6" w:name="page27"/>
    <w:bookmarkEnd w:id="26"/>
    <w:p>
      <w:pPr>
        <w:ind w:firstLine="419"/>
        <w:spacing w:after="0" w:line="285" w:lineRule="auto"/>
        <w:tabs>
          <w:tab w:leader="none" w:pos="678"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276" w:lineRule="exact"/>
        <w:rPr>
          <w:rFonts w:ascii="Arial" w:cs="Arial" w:eastAsia="Arial" w:hAnsi="Arial"/>
          <w:sz w:val="16"/>
          <w:szCs w:val="16"/>
          <w:color w:val="auto"/>
        </w:rPr>
      </w:pPr>
    </w:p>
    <w:p>
      <w:pPr>
        <w:ind w:right="60" w:firstLine="419"/>
        <w:spacing w:after="0" w:line="257" w:lineRule="auto"/>
        <w:tabs>
          <w:tab w:leader="none" w:pos="6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27" w:name="page28"/>
    <w:bookmarkEnd w:id="27"/>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63" w:lineRule="exact"/>
        <w:rPr>
          <w:sz w:val="20"/>
          <w:szCs w:val="20"/>
          <w:color w:val="auto"/>
        </w:rPr>
      </w:pPr>
    </w:p>
    <w:p>
      <w:pPr>
        <w:ind w:firstLine="419"/>
        <w:spacing w:after="0" w:line="257" w:lineRule="auto"/>
        <w:tabs>
          <w:tab w:leader="none" w:pos="6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79" w:lineRule="exact"/>
        <w:rPr>
          <w:rFonts w:ascii="Arial" w:cs="Arial" w:eastAsia="Arial" w:hAnsi="Arial"/>
          <w:sz w:val="18"/>
          <w:szCs w:val="18"/>
          <w:color w:val="auto"/>
        </w:rPr>
      </w:pPr>
    </w:p>
    <w:p>
      <w:pPr>
        <w:ind w:right="260" w:firstLine="419"/>
        <w:spacing w:after="0" w:line="263" w:lineRule="auto"/>
        <w:tabs>
          <w:tab w:leader="none" w:pos="6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5" w:lineRule="exact"/>
        <w:rPr>
          <w:rFonts w:ascii="Arial" w:cs="Arial" w:eastAsia="Arial" w:hAnsi="Arial"/>
          <w:sz w:val="18"/>
          <w:szCs w:val="18"/>
          <w:color w:val="auto"/>
        </w:rPr>
      </w:pPr>
    </w:p>
    <w:p>
      <w:pPr>
        <w:ind w:right="20" w:firstLine="419"/>
        <w:spacing w:after="0" w:line="255"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84" w:lineRule="exact"/>
        <w:rPr>
          <w:rFonts w:ascii="Arial" w:cs="Arial" w:eastAsia="Arial" w:hAnsi="Arial"/>
          <w:sz w:val="18"/>
          <w:szCs w:val="18"/>
          <w:color w:val="auto"/>
        </w:rPr>
      </w:pPr>
    </w:p>
    <w:p>
      <w:pPr>
        <w:ind w:right="20" w:firstLine="419"/>
        <w:spacing w:after="0" w:line="275" w:lineRule="auto"/>
        <w:tabs>
          <w:tab w:leader="none" w:pos="678"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40"/>
          </w:cols>
          <w:pgMar w:left="880" w:top="274" w:right="479" w:bottom="1440" w:gutter="0" w:footer="0" w:header="0"/>
        </w:sectPr>
      </w:pPr>
    </w:p>
    <w:bookmarkStart w:id="28" w:name="page29"/>
    <w:bookmarkEnd w:id="28"/>
    <w:p>
      <w:pPr>
        <w:ind w:left="4" w:right="240" w:firstLine="419"/>
        <w:spacing w:after="0" w:line="287" w:lineRule="auto"/>
        <w:tabs>
          <w:tab w:leader="none" w:pos="681" w:val="left"/>
        </w:tabs>
        <w:numPr>
          <w:ilvl w:val="1"/>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2" w:lineRule="exact"/>
        <w:rPr>
          <w:rFonts w:ascii="Arial" w:cs="Arial" w:eastAsia="Arial" w:hAnsi="Arial"/>
          <w:sz w:val="16"/>
          <w:szCs w:val="16"/>
          <w:color w:val="auto"/>
        </w:rPr>
      </w:pPr>
    </w:p>
    <w:p>
      <w:pPr>
        <w:ind w:left="4" w:right="160" w:hanging="4"/>
        <w:spacing w:after="0" w:line="260" w:lineRule="auto"/>
        <w:tabs>
          <w:tab w:leader="none" w:pos="2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77" w:lineRule="exact"/>
        <w:rPr>
          <w:rFonts w:ascii="Arial" w:cs="Arial" w:eastAsia="Arial" w:hAnsi="Arial"/>
          <w:sz w:val="18"/>
          <w:szCs w:val="18"/>
          <w:color w:val="auto"/>
        </w:rPr>
      </w:pPr>
    </w:p>
    <w:p>
      <w:pPr>
        <w:ind w:left="644" w:hanging="221"/>
        <w:spacing w:after="0"/>
        <w:tabs>
          <w:tab w:leader="none" w:pos="6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4" w:firstLine="419"/>
        <w:spacing w:after="0" w:line="254" w:lineRule="auto"/>
        <w:tabs>
          <w:tab w:leader="none" w:pos="6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86" w:lineRule="exact"/>
        <w:rPr>
          <w:rFonts w:ascii="Arial" w:cs="Arial" w:eastAsia="Arial" w:hAnsi="Arial"/>
          <w:sz w:val="18"/>
          <w:szCs w:val="18"/>
          <w:color w:val="auto"/>
        </w:rPr>
      </w:pPr>
    </w:p>
    <w:p>
      <w:pPr>
        <w:ind w:left="4" w:firstLine="419"/>
        <w:spacing w:after="0" w:line="255" w:lineRule="auto"/>
        <w:tabs>
          <w:tab w:leader="none" w:pos="681"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84" w:lineRule="exact"/>
        <w:rPr>
          <w:rFonts w:ascii="Arial" w:cs="Arial" w:eastAsia="Arial" w:hAnsi="Arial"/>
          <w:sz w:val="18"/>
          <w:szCs w:val="18"/>
          <w:color w:val="auto"/>
        </w:rPr>
      </w:pPr>
    </w:p>
    <w:p>
      <w:pPr>
        <w:ind w:left="4" w:right="160" w:firstLine="419"/>
        <w:spacing w:after="0" w:line="286" w:lineRule="auto"/>
        <w:tabs>
          <w:tab w:leader="none" w:pos="641" w:val="left"/>
        </w:tabs>
        <w:numPr>
          <w:ilvl w:val="1"/>
          <w:numId w:val="27"/>
        </w:numPr>
        <w:rPr>
          <w:rFonts w:ascii="Arial" w:cs="Arial" w:eastAsia="Arial" w:hAnsi="Arial"/>
          <w:sz w:val="17"/>
          <w:szCs w:val="17"/>
          <w:color w:val="auto"/>
        </w:rPr>
      </w:pPr>
      <w:r>
        <w:rPr>
          <w:rFonts w:ascii="Arial" w:cs="Arial" w:eastAsia="Arial" w:hAnsi="Arial"/>
          <w:sz w:val="17"/>
          <w:szCs w:val="17"/>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57" w:lineRule="exact"/>
        <w:rPr>
          <w:rFonts w:ascii="Arial" w:cs="Arial" w:eastAsia="Arial" w:hAnsi="Arial"/>
          <w:sz w:val="17"/>
          <w:szCs w:val="17"/>
          <w:color w:val="auto"/>
        </w:rPr>
      </w:pPr>
    </w:p>
    <w:p>
      <w:pPr>
        <w:ind w:left="4" w:right="280" w:firstLine="419"/>
        <w:spacing w:after="0" w:line="263" w:lineRule="auto"/>
        <w:tabs>
          <w:tab w:leader="none" w:pos="731"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4"/>
          </w:cols>
          <w:pgMar w:left="876" w:top="274" w:right="459" w:bottom="1440" w:gutter="0" w:footer="0" w:header="0"/>
        </w:sectPr>
      </w:pPr>
    </w:p>
    <w:bookmarkStart w:id="29" w:name="page30"/>
    <w:bookmarkEnd w:id="29"/>
    <w:p>
      <w:pPr>
        <w:ind w:left="440" w:right="40" w:firstLine="419"/>
        <w:spacing w:after="0" w:line="275" w:lineRule="auto"/>
        <w:tabs>
          <w:tab w:leader="none" w:pos="1118" w:val="left"/>
        </w:tabs>
        <w:numPr>
          <w:ilvl w:val="0"/>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68" w:lineRule="exact"/>
        <w:rPr>
          <w:rFonts w:ascii="Arial" w:cs="Arial" w:eastAsia="Arial" w:hAnsi="Arial"/>
          <w:sz w:val="17"/>
          <w:szCs w:val="17"/>
          <w:color w:val="auto"/>
        </w:rPr>
      </w:pPr>
    </w:p>
    <w:p>
      <w:pPr>
        <w:ind w:left="440" w:right="80" w:firstLine="419"/>
        <w:spacing w:after="0" w:line="263" w:lineRule="auto"/>
        <w:tabs>
          <w:tab w:leader="none" w:pos="11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5" w:lineRule="exact"/>
        <w:rPr>
          <w:rFonts w:ascii="Arial" w:cs="Arial" w:eastAsia="Arial" w:hAnsi="Arial"/>
          <w:sz w:val="18"/>
          <w:szCs w:val="18"/>
          <w:color w:val="auto"/>
        </w:rPr>
      </w:pPr>
    </w:p>
    <w:p>
      <w:pPr>
        <w:jc w:val="both"/>
        <w:ind w:left="440" w:right="40" w:firstLine="419"/>
        <w:spacing w:after="0" w:line="263" w:lineRule="auto"/>
        <w:tabs>
          <w:tab w:leader="none" w:pos="11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30" w:name="page31"/>
    <w:bookmarkEnd w:id="30"/>
    <w:p>
      <w:pPr>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84"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1" w:lineRule="exact"/>
        <w:rPr>
          <w:sz w:val="20"/>
          <w:szCs w:val="20"/>
          <w:color w:val="auto"/>
        </w:rPr>
      </w:pPr>
    </w:p>
    <w:p>
      <w:pPr>
        <w:ind w:left="4" w:right="40"/>
        <w:spacing w:after="0" w:line="286" w:lineRule="auto"/>
        <w:rPr>
          <w:sz w:val="20"/>
          <w:szCs w:val="20"/>
          <w:color w:val="auto"/>
        </w:rPr>
      </w:pPr>
      <w:r>
        <w:rPr>
          <w:rFonts w:ascii="Arial" w:cs="Arial" w:eastAsia="Arial" w:hAnsi="Arial"/>
          <w:sz w:val="16"/>
          <w:szCs w:val="16"/>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w:t>
      </w:r>
    </w:p>
    <w:p>
      <w:pPr>
        <w:spacing w:after="0" w:line="1" w:lineRule="exact"/>
        <w:rPr>
          <w:sz w:val="20"/>
          <w:szCs w:val="20"/>
          <w:color w:val="auto"/>
        </w:rPr>
      </w:pPr>
    </w:p>
    <w:p>
      <w:pPr>
        <w:ind w:left="4" w:right="400" w:hanging="4"/>
        <w:spacing w:after="0" w:line="260" w:lineRule="auto"/>
        <w:tabs>
          <w:tab w:leader="none" w:pos="26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allocation provided by clause (i) above is not permitted by applicable law, such proportion as is appropriate to reflect not only the relative benefits referred to in clause (i) above but also the relative fault of the Company on the one hand and of the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31" w:name="page32"/>
    <w:bookmarkEnd w:id="3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8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ind w:left="440" w:right="140" w:firstLine="419"/>
        <w:spacing w:after="0" w:line="263" w:lineRule="auto"/>
        <w:tabs>
          <w:tab w:leader="none" w:pos="11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75" w:lineRule="exact"/>
        <w:rPr>
          <w:rFonts w:ascii="Arial" w:cs="Arial" w:eastAsia="Arial" w:hAnsi="Arial"/>
          <w:sz w:val="18"/>
          <w:szCs w:val="18"/>
          <w:color w:val="auto"/>
        </w:rPr>
      </w:pPr>
    </w:p>
    <w:p>
      <w:pPr>
        <w:ind w:left="440" w:right="40" w:firstLine="419"/>
        <w:spacing w:after="0" w:line="254" w:lineRule="auto"/>
        <w:tabs>
          <w:tab w:leader="none" w:pos="11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IX.</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33" w:name="page34"/>
    <w:bookmarkEnd w:id="33"/>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6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4" w:name="page35"/>
    <w:bookmarkEnd w:id="34"/>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As used in this paragraph:</w:t>
      </w:r>
    </w:p>
    <w:p>
      <w:pPr>
        <w:spacing w:after="0" w:line="68" w:lineRule="exact"/>
        <w:rPr>
          <w:sz w:val="20"/>
          <w:szCs w:val="20"/>
          <w:color w:val="auto"/>
        </w:rPr>
      </w:pPr>
    </w:p>
    <w:p>
      <w:pPr>
        <w:ind w:left="1100" w:hanging="241"/>
        <w:spacing w:after="0"/>
        <w:tabs>
          <w:tab w:leader="none" w:pos="11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“BHC Act Affiliate” has the meaning assigned to the term “affiliate” in, and shall be interpreted in accordance with, 12 U.S.C. §</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1841(k);</w:t>
      </w:r>
    </w:p>
    <w:p>
      <w:pPr>
        <w:spacing w:after="0" w:line="102" w:lineRule="exact"/>
        <w:rPr>
          <w:rFonts w:ascii="Arial" w:cs="Arial" w:eastAsia="Arial" w:hAnsi="Arial"/>
          <w:sz w:val="17"/>
          <w:szCs w:val="17"/>
          <w:color w:val="auto"/>
        </w:rPr>
      </w:pPr>
    </w:p>
    <w:p>
      <w:pPr>
        <w:jc w:val="both"/>
        <w:ind w:left="440" w:right="340" w:firstLine="419"/>
        <w:spacing w:after="0" w:line="263" w:lineRule="auto"/>
        <w:tabs>
          <w:tab w:leader="none" w:pos="11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75" w:lineRule="exact"/>
        <w:rPr>
          <w:rFonts w:ascii="Arial" w:cs="Arial" w:eastAsia="Arial" w:hAnsi="Arial"/>
          <w:sz w:val="18"/>
          <w:szCs w:val="18"/>
          <w:color w:val="auto"/>
        </w:rPr>
      </w:pPr>
    </w:p>
    <w:p>
      <w:pPr>
        <w:ind w:left="440" w:firstLine="419"/>
        <w:spacing w:after="0" w:line="277" w:lineRule="auto"/>
        <w:tabs>
          <w:tab w:leader="none" w:pos="110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“Default Right” has the meaning assigned to that term in, and shall be interpreted in accordance with, 12 C.F.R. §§ 252.81, 47.2 or 382.1, as applicable;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“U.S. Special Resolution Regime” means each of (i) the Federal Deposit Insurance Act and the regulations promulgated thereunder and</w:t>
      </w:r>
    </w:p>
    <w:p>
      <w:pPr>
        <w:spacing w:after="0" w:line="46" w:lineRule="exact"/>
        <w:rPr>
          <w:rFonts w:ascii="Arial" w:cs="Arial" w:eastAsia="Arial" w:hAnsi="Arial"/>
          <w:sz w:val="16"/>
          <w:szCs w:val="16"/>
          <w:color w:val="auto"/>
        </w:rPr>
      </w:pPr>
    </w:p>
    <w:p>
      <w:pPr>
        <w:ind w:left="700" w:hanging="264"/>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5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jc w:val="center"/>
        <w:ind w:right="120"/>
        <w:spacing w:after="0" w:line="449"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21</w:t>
      </w:r>
    </w:p>
    <w:p>
      <w:pPr>
        <w:sectPr>
          <w:pgSz w:w="11900" w:h="16838" w:orient="portrait"/>
          <w:cols w:equalWidth="0" w:num="1">
            <w:col w:w="11000"/>
          </w:cols>
          <w:pgMar w:left="440" w:top="274" w:right="4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12, 2020</w:t>
      </w:r>
    </w:p>
    <w:p>
      <w:pPr>
        <w:spacing w:after="0" w:line="225" w:lineRule="exact"/>
        <w:rPr>
          <w:sz w:val="20"/>
          <w:szCs w:val="20"/>
          <w:color w:val="auto"/>
        </w:rPr>
      </w:pPr>
    </w:p>
    <w:p>
      <w:pPr>
        <w:ind w:right="100" w:firstLine="440"/>
        <w:spacing w:after="0" w:line="298" w:lineRule="auto"/>
        <w:rPr>
          <w:sz w:val="20"/>
          <w:szCs w:val="20"/>
          <w:color w:val="auto"/>
        </w:rPr>
      </w:pPr>
      <w:r>
        <w:rPr>
          <w:rFonts w:ascii="Arial" w:cs="Arial" w:eastAsia="Arial" w:hAnsi="Arial"/>
          <w:sz w:val="16"/>
          <w:szCs w:val="16"/>
          <w:color w:val="auto"/>
        </w:rPr>
        <w:t>Reference is made to the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Texas Instruments Incorporated (the “</w:t>
      </w:r>
      <w:r>
        <w:rPr>
          <w:rFonts w:ascii="Arial" w:cs="Arial" w:eastAsia="Arial" w:hAnsi="Arial"/>
          <w:sz w:val="16"/>
          <w:szCs w:val="16"/>
          <w:b w:val="1"/>
          <w:bCs w:val="1"/>
          <w:color w:val="auto"/>
        </w:rPr>
        <w:t>Issuer</w:t>
      </w:r>
      <w:r>
        <w:rPr>
          <w:rFonts w:ascii="Arial" w:cs="Arial" w:eastAsia="Arial" w:hAnsi="Arial"/>
          <w:sz w:val="16"/>
          <w:szCs w:val="16"/>
          <w:color w:val="auto"/>
        </w:rPr>
        <w:t>”)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The Trustee is the trustee for any and all securities issued under the Indenture. Pursuant to Section 2.04(c) of the Indenture, the undersigned officers do hereby certify, in connection with the issuance of $750,000,000 aggregate principal amount of 1.375% Notes due 2025 (the “</w:t>
      </w:r>
      <w:r>
        <w:rPr>
          <w:rFonts w:ascii="Arial" w:cs="Arial" w:eastAsia="Arial" w:hAnsi="Arial"/>
          <w:sz w:val="16"/>
          <w:szCs w:val="16"/>
          <w:b w:val="1"/>
          <w:bCs w:val="1"/>
          <w:color w:val="auto"/>
        </w:rPr>
        <w:t>Notes</w:t>
      </w:r>
      <w:r>
        <w:rPr>
          <w:rFonts w:ascii="Arial" w:cs="Arial" w:eastAsia="Arial" w:hAnsi="Arial"/>
          <w:sz w:val="16"/>
          <w:szCs w:val="16"/>
          <w:color w:val="auto"/>
        </w:rPr>
        <w:t>”), that (i) the form and terms of the Notes have been established pursuant to Section 2.01 and Section 2.03 of the Indenture and comply with the Indenture, and (ii) the terms of the Notes are as follows: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ectPr>
          <w:pgSz w:w="11900" w:h="16838" w:orient="portrait"/>
          <w:cols w:equalWidth="0" w:num="1">
            <w:col w:w="11020"/>
          </w:cols>
          <w:pgMar w:left="440" w:top="121"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1.375% Notes due 2025.</w:t>
      </w:r>
    </w:p>
    <w:p>
      <w:pPr>
        <w:spacing w:after="0" w:line="140" w:lineRule="exact"/>
        <w:rPr>
          <w:sz w:val="20"/>
          <w:szCs w:val="20"/>
          <w:color w:val="auto"/>
        </w:rPr>
      </w:pPr>
    </w:p>
    <w:p>
      <w:pPr>
        <w:sectPr>
          <w:pgSz w:w="11900" w:h="16838" w:orient="portrait"/>
          <w:cols w:equalWidth="0" w:num="2">
            <w:col w:w="3140" w:space="720"/>
            <w:col w:w="716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Texas Instruments Incorporated.</w:t>
      </w:r>
    </w:p>
    <w:p>
      <w:pPr>
        <w:spacing w:after="0" w:line="140" w:lineRule="exact"/>
        <w:rPr>
          <w:sz w:val="20"/>
          <w:szCs w:val="20"/>
          <w:color w:val="auto"/>
        </w:rPr>
      </w:pPr>
    </w:p>
    <w:p>
      <w:pPr>
        <w:sectPr>
          <w:pgSz w:w="11900" w:h="16838" w:orient="portrait"/>
          <w:cols w:equalWidth="0" w:num="2">
            <w:col w:w="3140" w:space="720"/>
            <w:col w:w="7160"/>
          </w:cols>
          <w:pgMar w:left="440" w:top="121" w:right="439" w:bottom="1440" w:gutter="0" w:footer="0" w:header="0"/>
          <w:type w:val="continuous"/>
        </w:sectPr>
      </w:pPr>
    </w:p>
    <w:p>
      <w:pPr>
        <w:spacing w:after="0" w:line="277"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355" w:lineRule="exact"/>
        <w:rPr>
          <w:sz w:val="20"/>
          <w:szCs w:val="20"/>
          <w:color w:val="auto"/>
        </w:rPr>
      </w:pPr>
    </w:p>
    <w:p>
      <w:pPr>
        <w:sectPr>
          <w:pgSz w:w="11900" w:h="16838" w:orient="portrait"/>
          <w:cols w:equalWidth="0" w:num="2">
            <w:col w:w="3580" w:space="280"/>
            <w:col w:w="716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$750,000,000.</w:t>
      </w:r>
    </w:p>
    <w:p>
      <w:pPr>
        <w:spacing w:after="0" w:line="140" w:lineRule="exact"/>
        <w:rPr>
          <w:sz w:val="20"/>
          <w:szCs w:val="20"/>
          <w:color w:val="auto"/>
        </w:rPr>
      </w:pPr>
    </w:p>
    <w:p>
      <w:pPr>
        <w:sectPr>
          <w:pgSz w:w="11900" w:h="16838" w:orient="portrait"/>
          <w:cols w:equalWidth="0" w:num="2">
            <w:col w:w="3140" w:space="720"/>
            <w:col w:w="716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Principal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12, 2025.</w:t>
      </w:r>
    </w:p>
    <w:p>
      <w:pPr>
        <w:spacing w:after="0" w:line="140" w:lineRule="exact"/>
        <w:rPr>
          <w:sz w:val="20"/>
          <w:szCs w:val="20"/>
          <w:color w:val="auto"/>
        </w:rPr>
      </w:pPr>
    </w:p>
    <w:p>
      <w:pPr>
        <w:sectPr>
          <w:pgSz w:w="11900" w:h="16838" w:orient="portrait"/>
          <w:cols w:equalWidth="0" w:num="2">
            <w:col w:w="3140" w:space="720"/>
            <w:col w:w="716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1.375% per annum.</w:t>
      </w:r>
    </w:p>
    <w:p>
      <w:pPr>
        <w:spacing w:after="0" w:line="140" w:lineRule="exact"/>
        <w:rPr>
          <w:sz w:val="20"/>
          <w:szCs w:val="20"/>
          <w:color w:val="auto"/>
        </w:rPr>
      </w:pPr>
    </w:p>
    <w:p>
      <w:pPr>
        <w:sectPr>
          <w:pgSz w:w="11900" w:h="16838" w:orient="portrait"/>
          <w:cols w:equalWidth="0" w:num="2">
            <w:col w:w="3140" w:space="720"/>
            <w:col w:w="716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Date from which Interest will Accrue: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12, 2020.</w:t>
      </w:r>
    </w:p>
    <w:p>
      <w:pPr>
        <w:spacing w:after="0" w:line="140" w:lineRule="exact"/>
        <w:rPr>
          <w:sz w:val="20"/>
          <w:szCs w:val="20"/>
          <w:color w:val="auto"/>
        </w:rPr>
      </w:pPr>
    </w:p>
    <w:p>
      <w:pPr>
        <w:sectPr>
          <w:pgSz w:w="11900" w:h="16838" w:orient="portrait"/>
          <w:cols w:equalWidth="0" w:num="2">
            <w:col w:w="3140" w:space="720"/>
            <w:col w:w="716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Interest Payment Dates:</w:t>
      </w:r>
    </w:p>
    <w:p>
      <w:pPr>
        <w:spacing w:after="0" w:line="20" w:lineRule="exact"/>
        <w:rPr>
          <w:sz w:val="20"/>
          <w:szCs w:val="20"/>
          <w:color w:val="auto"/>
        </w:rPr>
      </w:pPr>
      <w:r>
        <w:rPr>
          <w:sz w:val="20"/>
          <w:szCs w:val="20"/>
          <w:color w:val="auto"/>
        </w:rPr>
        <w:br w:type="column"/>
      </w:r>
    </w:p>
    <w:p>
      <w:pPr>
        <w:jc w:val="center"/>
        <w:ind w:right="2340"/>
        <w:spacing w:after="0"/>
        <w:rPr>
          <w:sz w:val="20"/>
          <w:szCs w:val="20"/>
          <w:color w:val="auto"/>
        </w:rPr>
      </w:pPr>
      <w:r>
        <w:rPr>
          <w:rFonts w:ascii="Arial" w:cs="Arial" w:eastAsia="Arial" w:hAnsi="Arial"/>
          <w:sz w:val="16"/>
          <w:szCs w:val="16"/>
          <w:color w:val="auto"/>
        </w:rPr>
        <w:t>March 12 and September 12, commencing on September 12, 2020.</w:t>
      </w:r>
    </w:p>
    <w:p>
      <w:pPr>
        <w:spacing w:after="0" w:line="140" w:lineRule="exact"/>
        <w:rPr>
          <w:sz w:val="20"/>
          <w:szCs w:val="20"/>
          <w:color w:val="auto"/>
        </w:rPr>
      </w:pPr>
    </w:p>
    <w:p>
      <w:pPr>
        <w:sectPr>
          <w:pgSz w:w="11900" w:h="16838" w:orient="portrait"/>
          <w:cols w:equalWidth="0" w:num="2">
            <w:col w:w="3140" w:space="720"/>
            <w:col w:w="716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Redemption:</w:t>
      </w:r>
    </w:p>
    <w:p>
      <w:pPr>
        <w:spacing w:after="0" w:line="20" w:lineRule="exact"/>
        <w:rPr>
          <w:sz w:val="20"/>
          <w:szCs w:val="20"/>
          <w:color w:val="auto"/>
        </w:rPr>
      </w:pPr>
      <w:r>
        <w:rPr>
          <w:sz w:val="20"/>
          <w:szCs w:val="20"/>
          <w:color w:val="auto"/>
        </w:rPr>
        <w:br w:type="column"/>
      </w:r>
    </w:p>
    <w:p>
      <w:pPr>
        <w:ind w:right="100"/>
        <w:spacing w:after="0" w:line="301" w:lineRule="auto"/>
        <w:rPr>
          <w:sz w:val="20"/>
          <w:szCs w:val="20"/>
          <w:color w:val="auto"/>
        </w:rPr>
      </w:pPr>
      <w:r>
        <w:rPr>
          <w:rFonts w:ascii="Arial" w:cs="Arial" w:eastAsia="Arial" w:hAnsi="Arial"/>
          <w:sz w:val="16"/>
          <w:szCs w:val="16"/>
          <w:color w:val="auto"/>
        </w:rPr>
        <w:t>Prior to February 12, 2025 (the date that is one month prior to the maturity date of the Notes), the Issuer may at its option redeem the Notes, in whole or in part at any time, or from time to time, on at least 15 days but not more than 60 days prior notice mailed to the registered address of each holder of the Notes, at a redemption price, calculated by the Issuer, equal to the greater of:</w:t>
      </w:r>
    </w:p>
    <w:p>
      <w:pPr>
        <w:spacing w:after="0" w:line="63" w:lineRule="exact"/>
        <w:rPr>
          <w:sz w:val="20"/>
          <w:szCs w:val="20"/>
          <w:color w:val="auto"/>
        </w:rPr>
      </w:pPr>
    </w:p>
    <w:p>
      <w:pPr>
        <w:sectPr>
          <w:pgSz w:w="11900" w:h="16838" w:orient="portrait"/>
          <w:cols w:equalWidth="0" w:num="2">
            <w:col w:w="3140" w:space="720"/>
            <w:col w:w="7160"/>
          </w:cols>
          <w:pgMar w:left="440" w:top="121" w:right="439" w:bottom="1440" w:gutter="0" w:footer="0" w:header="0"/>
          <w:type w:val="continuous"/>
        </w:sectPr>
      </w:pPr>
    </w:p>
    <w:p>
      <w:pPr>
        <w:ind w:left="3860"/>
        <w:spacing w:after="0"/>
        <w:rPr>
          <w:sz w:val="20"/>
          <w:szCs w:val="20"/>
          <w:color w:val="auto"/>
        </w:rPr>
      </w:pPr>
      <w:r>
        <w:rPr>
          <w:rFonts w:ascii="Arial" w:cs="Arial" w:eastAsia="Arial" w:hAnsi="Arial"/>
          <w:sz w:val="16"/>
          <w:szCs w:val="16"/>
          <w:color w:val="auto"/>
        </w:rPr>
        <w:t>(i) 100% of the principal amount of the Notes to be redeemed; and</w:t>
      </w:r>
    </w:p>
    <w:p>
      <w:pPr>
        <w:sectPr>
          <w:pgSz w:w="11900" w:h="16838" w:orient="portrait"/>
          <w:cols w:equalWidth="0" w:num="1">
            <w:col w:w="11020"/>
          </w:cols>
          <w:pgMar w:left="440" w:top="121" w:right="439" w:bottom="1440" w:gutter="0" w:footer="0" w:header="0"/>
          <w:type w:val="continuous"/>
        </w:sectPr>
      </w:pPr>
    </w:p>
    <w:bookmarkStart w:id="36" w:name="page37"/>
    <w:bookmarkEnd w:id="36"/>
    <w:p>
      <w:pPr>
        <w:ind w:left="2740" w:right="40" w:firstLine="9"/>
        <w:spacing w:after="0" w:line="273" w:lineRule="auto"/>
        <w:tabs>
          <w:tab w:leader="none" w:pos="3005" w:val="left"/>
        </w:tabs>
        <w:numPr>
          <w:ilvl w:val="0"/>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sum of the present values of the principal amount of such Notes and the scheduled payments of interest thereon (not including any portion of such payments of interest accrued as of the date of redemption) from the date of redemption to February 12, 2025 (the date that is one month prior to the maturity date of the Notes), in each case discounted to the date of redemption on a semi-annual basis (assuming a 360-day year consisting of twelve 30-day months) at the Treasury Rate (as defined in the Notes), plus 10 basis points;</w:t>
      </w:r>
    </w:p>
    <w:p>
      <w:pPr>
        <w:spacing w:after="0" w:line="8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31" w:lineRule="exact"/>
        <w:rPr>
          <w:sz w:val="20"/>
          <w:szCs w:val="20"/>
          <w:color w:val="auto"/>
        </w:rPr>
      </w:pPr>
    </w:p>
    <w:p>
      <w:pPr>
        <w:ind w:left="2740" w:right="80"/>
        <w:spacing w:after="0" w:line="296" w:lineRule="auto"/>
        <w:rPr>
          <w:sz w:val="20"/>
          <w:szCs w:val="20"/>
          <w:color w:val="auto"/>
        </w:rPr>
      </w:pPr>
      <w:r>
        <w:rPr>
          <w:rFonts w:ascii="Arial" w:cs="Arial" w:eastAsia="Arial" w:hAnsi="Arial"/>
          <w:sz w:val="16"/>
          <w:szCs w:val="16"/>
          <w:color w:val="auto"/>
        </w:rPr>
        <w:t>At any time on or after February 12, 2025 (the date that is one month prior to the maturity date of the Notes), the Issuer may at its option redeem the Notes, in whole or in part at any time and from time to time, on at least 15 days but not more than 60 days prior notice mailed to the registered address of each holder of the Notes, at a redemption price equal to 100% of the principal amount of the Notes to be redeemed plus accrued interest thereon to the date of redemption.</w:t>
      </w:r>
    </w:p>
    <w:p>
      <w:pPr>
        <w:spacing w:after="0" w:line="67" w:lineRule="exact"/>
        <w:rPr>
          <w:sz w:val="20"/>
          <w:szCs w:val="20"/>
          <w:color w:val="auto"/>
        </w:rPr>
      </w:pPr>
    </w:p>
    <w:p>
      <w:pPr>
        <w:ind w:left="2740" w:right="80"/>
        <w:spacing w:after="0" w:line="271" w:lineRule="auto"/>
        <w:rPr>
          <w:sz w:val="20"/>
          <w:szCs w:val="20"/>
          <w:color w:val="auto"/>
        </w:rPr>
      </w:pPr>
      <w:r>
        <w:rPr>
          <w:rFonts w:ascii="Arial" w:cs="Arial" w:eastAsia="Arial" w:hAnsi="Arial"/>
          <w:sz w:val="17"/>
          <w:szCs w:val="17"/>
          <w:color w:val="auto"/>
        </w:rPr>
        <w:t>The Issuer will deliver to the Trustee at least 15 days prior to the date on which notice of a redemption is mailed to holders of the Notes (unless a shorter time period shall be acceptable to the Trustee) an Officers’ Certificate stating the aggregate principal amount of Notes to be</w:t>
      </w:r>
    </w:p>
    <w:p>
      <w:pPr>
        <w:ind w:left="2740"/>
        <w:spacing w:after="0" w:line="270" w:lineRule="auto"/>
        <w:rPr>
          <w:sz w:val="20"/>
          <w:szCs w:val="20"/>
          <w:color w:val="auto"/>
        </w:rPr>
      </w:pPr>
      <w:r>
        <w:rPr>
          <w:rFonts w:ascii="Arial" w:cs="Arial" w:eastAsia="Arial" w:hAnsi="Arial"/>
          <w:sz w:val="17"/>
          <w:szCs w:val="17"/>
          <w:color w:val="auto"/>
        </w:rPr>
        <w:t>redeemed. Notice of any redemption of Notes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84" w:lineRule="exact"/>
        <w:rPr>
          <w:sz w:val="20"/>
          <w:szCs w:val="20"/>
          <w:color w:val="auto"/>
        </w:rPr>
      </w:pPr>
    </w:p>
    <w:p>
      <w:pPr>
        <w:ind w:left="2740"/>
        <w:spacing w:after="0" w:line="263" w:lineRule="auto"/>
        <w:rPr>
          <w:sz w:val="20"/>
          <w:szCs w:val="20"/>
          <w:color w:val="auto"/>
        </w:rPr>
      </w:pPr>
      <w:r>
        <w:rPr>
          <w:rFonts w:ascii="Arial" w:cs="Arial" w:eastAsia="Arial" w:hAnsi="Arial"/>
          <w:sz w:val="18"/>
          <w:szCs w:val="18"/>
          <w:color w:val="auto"/>
        </w:rPr>
        <w:t>If less than all the Notes are to be redeemed, the Trustee shall select, in such manner as it shall deem appropriate and fair, the Notes to be redeemed in whole or in part. Notes shall be excluded from eligibility for selection for</w:t>
      </w:r>
    </w:p>
    <w:p>
      <w:pPr>
        <w:sectPr>
          <w:pgSz w:w="11900" w:h="16838" w:orient="portrait"/>
          <w:cols w:equalWidth="0" w:num="1">
            <w:col w:w="9980"/>
          </w:cols>
          <w:pgMar w:left="1440" w:top="274" w:right="479" w:bottom="1440" w:gutter="0" w:footer="0" w:header="0"/>
        </w:sectPr>
      </w:pPr>
    </w:p>
    <w:bookmarkStart w:id="37" w:name="page38"/>
    <w:bookmarkEnd w:id="37"/>
    <w:p>
      <w:pPr>
        <w:ind w:left="3860"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redemption if they are identified by registration and certificate number, in an Officers’ Certificate delivered to the Trustee at least 15 days prior to the date on which notice of redemption is mailed to holders of the Notes,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ectPr>
          <w:pgSz w:w="11900" w:h="16838" w:orient="portrait"/>
          <w:cols w:equalWidth="0" w:num="1">
            <w:col w:w="10980"/>
          </w:cols>
          <w:pgMar w:left="440" w:top="274" w:right="47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ectPr>
          <w:pgSz w:w="11900" w:h="16838" w:orient="portrait"/>
          <w:cols w:equalWidth="0" w:num="2">
            <w:col w:w="3140" w:space="720"/>
            <w:col w:w="712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ectPr>
          <w:pgSz w:w="11900" w:h="16838" w:orient="portrait"/>
          <w:cols w:equalWidth="0" w:num="2">
            <w:col w:w="3140" w:space="720"/>
            <w:col w:w="712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40" w:lineRule="exact"/>
        <w:rPr>
          <w:sz w:val="20"/>
          <w:szCs w:val="20"/>
          <w:color w:val="auto"/>
        </w:rPr>
      </w:pPr>
    </w:p>
    <w:p>
      <w:pPr>
        <w:sectPr>
          <w:pgSz w:w="11900" w:h="16838" w:orient="portrait"/>
          <w:cols w:equalWidth="0" w:num="2">
            <w:col w:w="3140" w:space="720"/>
            <w:col w:w="712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 xml:space="preserve">The terms of the Notes shall include such other terms as are set forth in the form of Notes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in the Indenture.</w:t>
      </w:r>
    </w:p>
    <w:p>
      <w:pPr>
        <w:spacing w:after="0" w:line="170" w:lineRule="exact"/>
        <w:rPr>
          <w:sz w:val="20"/>
          <w:szCs w:val="20"/>
          <w:color w:val="auto"/>
        </w:rPr>
      </w:pPr>
    </w:p>
    <w:p>
      <w:pPr>
        <w:sectPr>
          <w:pgSz w:w="11900" w:h="16838" w:orient="portrait"/>
          <w:cols w:equalWidth="0" w:num="2">
            <w:col w:w="3140" w:space="720"/>
            <w:col w:w="7120"/>
          </w:cols>
          <w:pgMar w:left="440" w:top="274" w:right="479" w:bottom="1440" w:gutter="0" w:footer="0" w:header="0"/>
          <w:type w:val="continuous"/>
        </w:sectPr>
      </w:pPr>
    </w:p>
    <w:p>
      <w:pPr>
        <w:ind w:firstLine="440"/>
        <w:spacing w:after="0" w:line="255" w:lineRule="auto"/>
        <w:rPr>
          <w:sz w:val="20"/>
          <w:szCs w:val="20"/>
          <w:color w:val="auto"/>
        </w:rPr>
      </w:pPr>
      <w:r>
        <w:rPr>
          <w:rFonts w:ascii="Arial" w:cs="Arial" w:eastAsia="Arial" w:hAnsi="Arial"/>
          <w:sz w:val="18"/>
          <w:szCs w:val="18"/>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with identical terms as the Notes other than with respect to the date of issuance, the issue price and interest accrued prior to the issue date of the additional notes (together, the “</w:t>
      </w:r>
      <w:r>
        <w:rPr>
          <w:rFonts w:ascii="Arial" w:cs="Arial" w:eastAsia="Arial" w:hAnsi="Arial"/>
          <w:sz w:val="18"/>
          <w:szCs w:val="18"/>
          <w:b w:val="1"/>
          <w:bCs w:val="1"/>
          <w:color w:val="auto"/>
        </w:rPr>
        <w:t>Additional Notes</w:t>
      </w:r>
      <w:r>
        <w:rPr>
          <w:rFonts w:ascii="Arial" w:cs="Arial" w:eastAsia="Arial" w:hAnsi="Arial"/>
          <w:sz w:val="18"/>
          <w:szCs w:val="18"/>
          <w:color w:val="auto"/>
        </w:rPr>
        <w:t xml:space="preserve">”). The Additional Notes will have the same CUSIP number as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Notes for U.S. federal income tax purposes will be issued under a separate CUSIP number. Any Additional Notes will be issued in accordance with Section 2.03 of the Indenture.</w:t>
      </w:r>
    </w:p>
    <w:p>
      <w:pPr>
        <w:spacing w:after="0" w:line="192"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officers of the Issuer have duly executed this certificate as of the date first set forth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Alan C. Boyd</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660"/>
          </w:cols>
          <w:pgMar w:left="880" w:top="274" w:right="13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2025]</w:t>
      </w:r>
    </w:p>
    <w:p>
      <w:pPr>
        <w:spacing w:after="0" w:line="225" w:lineRule="exact"/>
        <w:rPr>
          <w:sz w:val="20"/>
          <w:szCs w:val="20"/>
          <w:color w:val="auto"/>
        </w:rPr>
      </w:pPr>
    </w:p>
    <w:p>
      <w:pPr>
        <w:ind w:right="140" w:firstLine="991"/>
        <w:spacing w:after="0" w:line="254" w:lineRule="auto"/>
        <w:rPr>
          <w:sz w:val="20"/>
          <w:szCs w:val="20"/>
          <w:color w:val="auto"/>
        </w:rPr>
      </w:pPr>
      <w:r>
        <w:rPr>
          <w:rFonts w:ascii="Arial" w:cs="Arial" w:eastAsia="Arial" w:hAnsi="Arial"/>
          <w:sz w:val="18"/>
          <w:szCs w:val="18"/>
          <w:color w:val="auto"/>
        </w:rPr>
        <w:t>UNLESS THIS NOTE IS PRESENTED BY AN AUTHORIZED REPRESENTATIVE OF THE DEPOSITORY TRUST COMPANY, A NEW YORK CORPORATION (“</w:t>
      </w:r>
      <w:r>
        <w:rPr>
          <w:rFonts w:ascii="Arial" w:cs="Arial" w:eastAsia="Arial" w:hAnsi="Arial"/>
          <w:sz w:val="18"/>
          <w:szCs w:val="18"/>
          <w:b w:val="1"/>
          <w:bCs w:val="1"/>
          <w:color w:val="auto"/>
        </w:rPr>
        <w:t>DTC</w:t>
      </w:r>
      <w:r>
        <w:rPr>
          <w:rFonts w:ascii="Arial" w:cs="Arial" w:eastAsia="Arial" w:hAnsi="Arial"/>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95"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jc w:val="both"/>
        <w:ind w:right="340" w:firstLine="991"/>
        <w:spacing w:after="0" w:line="263"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70" w:right="4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1.375% Notes due 2025</w:t>
      </w:r>
    </w:p>
    <w:p>
      <w:pPr>
        <w:spacing w:after="0" w:line="238" w:lineRule="exact"/>
        <w:rPr>
          <w:sz w:val="20"/>
          <w:szCs w:val="20"/>
          <w:color w:val="auto"/>
        </w:rPr>
      </w:pPr>
    </w:p>
    <w:p>
      <w:pPr>
        <w:spacing w:after="0"/>
        <w:tabs>
          <w:tab w:leader="none" w:pos="9160" w:val="left"/>
        </w:tabs>
        <w:rPr>
          <w:sz w:val="20"/>
          <w:szCs w:val="20"/>
          <w:color w:val="auto"/>
        </w:rPr>
      </w:pPr>
      <w:r>
        <w:rPr>
          <w:rFonts w:ascii="Arial" w:cs="Arial" w:eastAsia="Arial" w:hAnsi="Arial"/>
          <w:sz w:val="18"/>
          <w:szCs w:val="18"/>
          <w:color w:val="auto"/>
        </w:rPr>
        <w:t>No. [1]</w:t>
      </w:r>
      <w:r>
        <w:rPr>
          <w:sz w:val="20"/>
          <w:szCs w:val="20"/>
          <w:color w:val="auto"/>
        </w:rPr>
        <w:tab/>
      </w:r>
      <w:r>
        <w:rPr>
          <w:rFonts w:ascii="Arial" w:cs="Arial" w:eastAsia="Arial" w:hAnsi="Arial"/>
          <w:sz w:val="16"/>
          <w:szCs w:val="16"/>
          <w:color w:val="auto"/>
        </w:rPr>
        <w:t>CUSIP No.: 882508 BH6</w:t>
      </w:r>
    </w:p>
    <w:p>
      <w:pPr>
        <w:spacing w:after="0" w:line="23"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ISIN No.: US882508BH65</w:t>
      </w:r>
    </w:p>
    <w:p>
      <w:pPr>
        <w:spacing w:after="0" w:line="153" w:lineRule="exact"/>
        <w:rPr>
          <w:sz w:val="20"/>
          <w:szCs w:val="20"/>
          <w:color w:val="auto"/>
        </w:rPr>
      </w:pPr>
    </w:p>
    <w:p>
      <w:pPr>
        <w:ind w:left="9900"/>
        <w:spacing w:after="0"/>
        <w:rPr>
          <w:sz w:val="20"/>
          <w:szCs w:val="20"/>
          <w:color w:val="auto"/>
        </w:rPr>
      </w:pPr>
      <w:r>
        <w:rPr>
          <w:rFonts w:ascii="Arial" w:cs="Arial" w:eastAsia="Arial" w:hAnsi="Arial"/>
          <w:sz w:val="16"/>
          <w:szCs w:val="16"/>
          <w:color w:val="auto"/>
        </w:rPr>
        <w:t>$[__________]</w:t>
      </w:r>
    </w:p>
    <w:p>
      <w:pPr>
        <w:spacing w:after="0" w:line="244"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$[__________] on March 12, 2025.</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March 12 and September 12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12, 2020.</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Interest Record Dates: The 15</w:t>
      </w:r>
      <w:r>
        <w:rPr>
          <w:rFonts w:ascii="Arial" w:cs="Arial" w:eastAsia="Arial" w:hAnsi="Arial"/>
          <w:sz w:val="15"/>
          <w:szCs w:val="15"/>
          <w:color w:val="auto"/>
        </w:rPr>
        <w:t>th</w:t>
      </w:r>
      <w:r>
        <w:rPr>
          <w:rFonts w:ascii="Arial" w:cs="Arial" w:eastAsia="Arial" w:hAnsi="Arial"/>
          <w:sz w:val="18"/>
          <w:szCs w:val="18"/>
          <w:color w:val="auto"/>
        </w:rPr>
        <w:t xml:space="preserve"> calendar day immediately preceding the relevant Interest Payment Date (whether or not a business day)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020"/>
          </w:cols>
          <w:pgMar w:left="440" w:top="270" w:right="439" w:bottom="1440" w:gutter="0" w:footer="0" w:header="0"/>
        </w:sectPr>
      </w:pPr>
    </w:p>
    <w:bookmarkStart w:id="41" w:name="page42"/>
    <w:bookmarkEnd w:id="41"/>
    <w:p>
      <w:pPr>
        <w:jc w:val="center"/>
        <w:ind w:left="7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Alan C. Boyd</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Rick Logsdon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Assistant Secretary</w:t>
      </w:r>
    </w:p>
    <w:p>
      <w:pPr>
        <w:sectPr>
          <w:pgSz w:w="11900" w:h="16838" w:orient="portrait"/>
          <w:cols w:equalWidth="0" w:num="1">
            <w:col w:w="10720"/>
          </w:cols>
          <w:pgMar w:left="440" w:top="270" w:right="7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 as Trustee</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Michael K. Herberger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600"/>
          </w:cols>
          <w:pgMar w:left="440" w:top="274" w:right="8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1.375% Notes due 2025</w:t>
      </w:r>
    </w:p>
    <w:p>
      <w:pPr>
        <w:spacing w:after="0" w:line="252" w:lineRule="exact"/>
        <w:rPr>
          <w:sz w:val="20"/>
          <w:szCs w:val="20"/>
          <w:color w:val="auto"/>
        </w:rPr>
      </w:pPr>
    </w:p>
    <w:p>
      <w:pPr>
        <w:ind w:left="960" w:hanging="53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March 12, 2020. Interest on this Note will be paid to but excluding the relevant Interest Payment Date. The Issuer will pay interest semi-annually in arrears on each Interest Payment Date, commencing September 12, 2020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97" w:lineRule="exact"/>
        <w:rPr>
          <w:sz w:val="20"/>
          <w:szCs w:val="20"/>
          <w:color w:val="auto"/>
        </w:rPr>
      </w:pPr>
    </w:p>
    <w:p>
      <w:pPr>
        <w:ind w:left="960" w:hanging="53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3"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193" w:lineRule="exact"/>
        <w:rPr>
          <w:sz w:val="20"/>
          <w:szCs w:val="20"/>
          <w:color w:val="auto"/>
        </w:rPr>
      </w:pPr>
    </w:p>
    <w:p>
      <w:pPr>
        <w:ind w:left="960" w:hanging="53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113"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This Note is one of the 1.375% Notes due 2025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March 12, 2020,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on which the Indenture was qualified under the TIA; including, without limitation, the defeasance provision set forth in Section 10.01(b) of the Base Indenture; provided that Section 10.01(b)(C) of the Base</w:t>
      </w:r>
    </w:p>
    <w:p>
      <w:pPr>
        <w:sectPr>
          <w:pgSz w:w="11900" w:h="16838" w:orient="portrait"/>
          <w:cols w:equalWidth="0" w:num="1">
            <w:col w:w="11000"/>
          </w:cols>
          <w:pgMar w:left="440" w:top="274" w:right="459" w:bottom="1440" w:gutter="0" w:footer="0" w:header="0"/>
        </w:sectPr>
      </w:pPr>
    </w:p>
    <w:bookmarkStart w:id="44" w:name="page45"/>
    <w:bookmarkEnd w:id="4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pacing w:after="0" w:line="80" w:lineRule="exact"/>
        <w:rPr>
          <w:sz w:val="20"/>
          <w:szCs w:val="20"/>
          <w:color w:val="auto"/>
        </w:rPr>
      </w:pPr>
    </w:p>
    <w:p>
      <w:pPr>
        <w:ind w:left="440" w:right="40" w:firstLine="423"/>
        <w:spacing w:after="0" w:line="273" w:lineRule="auto"/>
        <w:rPr>
          <w:sz w:val="20"/>
          <w:szCs w:val="20"/>
          <w:color w:val="auto"/>
        </w:rPr>
      </w:pPr>
      <w:r>
        <w:rPr>
          <w:rFonts w:ascii="Arial" w:cs="Arial" w:eastAsia="Arial" w:hAnsi="Arial"/>
          <w:sz w:val="17"/>
          <w:szCs w:val="17"/>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205" w:lineRule="exact"/>
        <w:rPr>
          <w:sz w:val="20"/>
          <w:szCs w:val="20"/>
          <w:color w:val="auto"/>
        </w:rPr>
      </w:pPr>
    </w:p>
    <w:p>
      <w:pPr>
        <w:ind w:left="960" w:hanging="53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219" w:lineRule="exact"/>
        <w:rPr>
          <w:sz w:val="20"/>
          <w:szCs w:val="20"/>
          <w:color w:val="auto"/>
        </w:rPr>
      </w:pPr>
    </w:p>
    <w:p>
      <w:pPr>
        <w:ind w:left="960" w:hanging="53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ectPr>
          <w:pgSz w:w="11900" w:h="16838" w:orient="portrait"/>
          <w:cols w:equalWidth="0" w:num="1">
            <w:col w:w="11000"/>
          </w:cols>
          <w:pgMar w:left="440" w:top="274" w:right="459" w:bottom="1440" w:gutter="0" w:footer="0" w:header="0"/>
        </w:sectPr>
      </w:pPr>
    </w:p>
    <w:bookmarkStart w:id="45" w:name="page46"/>
    <w:bookmarkEnd w:id="45"/>
    <w:p>
      <w:pPr>
        <w:ind w:left="960" w:hanging="53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w:t>
      </w:r>
    </w:p>
    <w:p>
      <w:pPr>
        <w:spacing w:after="0" w:line="117" w:lineRule="exact"/>
        <w:rPr>
          <w:rFonts w:ascii="Arial" w:cs="Arial" w:eastAsia="Arial" w:hAnsi="Arial"/>
          <w:sz w:val="18"/>
          <w:szCs w:val="18"/>
          <w:color w:val="auto"/>
        </w:rPr>
      </w:pPr>
    </w:p>
    <w:p>
      <w:pPr>
        <w:ind w:right="60" w:firstLine="436"/>
        <w:spacing w:after="0" w:line="263" w:lineRule="auto"/>
        <w:tabs>
          <w:tab w:leader="none" w:pos="685"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Prior to February 12, 2025 (the date that is one month prior to the maturity date of the Notes), the Issuer may at its option redeem the Notes, in whole or in part at any time, or from time to time, on at least 15 days but not more than 60 days prior notice, at a redemption price calculated by the Issuer equal to the greater of:</w:t>
      </w:r>
    </w:p>
    <w:p>
      <w:pPr>
        <w:spacing w:after="0" w:line="76" w:lineRule="exact"/>
        <w:rPr>
          <w:sz w:val="20"/>
          <w:szCs w:val="20"/>
          <w:color w:val="auto"/>
        </w:rPr>
      </w:pPr>
    </w:p>
    <w:p>
      <w:pPr>
        <w:ind w:left="660" w:hanging="22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jc w:val="both"/>
        <w:ind w:right="100" w:firstLine="436"/>
        <w:spacing w:after="0" w:line="279" w:lineRule="auto"/>
        <w:tabs>
          <w:tab w:leader="none" w:pos="70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sum of the present values of the principal amount of such Notes and the scheduled payments of interest thereon (not including any portion of such payments of interest accrued as of the date of redemption) from the date of redemption to February 12, 2025 (the date that is one month prior to the maturity date of the Notes), in each case discounted to the date of redemption on a semi-annual basis (assuming a 360-day year consisting of twelve 30-day months) at the Treasury Rate (as defined below), plus 10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17" w:lineRule="exact"/>
        <w:rPr>
          <w:sz w:val="20"/>
          <w:szCs w:val="20"/>
          <w:color w:val="auto"/>
        </w:rPr>
      </w:pPr>
    </w:p>
    <w:p>
      <w:pPr>
        <w:ind w:right="40" w:firstLine="436"/>
        <w:spacing w:after="0" w:line="286" w:lineRule="auto"/>
        <w:tabs>
          <w:tab w:leader="none" w:pos="69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At any time on or after February 12, 2025 (the date that is one month prior to the maturity date of the Notes), the Issuer may at its option redeem the Notes, in whole or in part at any time and from time to time, on at least 15 days but not more than 60 days prior notice, at a redemption price equal to 100% of the principal amount of the Notes to be redeemed plus accrued interest thereon to the date of redemption.</w:t>
      </w:r>
    </w:p>
    <w:p>
      <w:pPr>
        <w:spacing w:after="0" w:line="16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jc w:val="both"/>
        <w:ind w:right="2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ectPr>
          <w:pgSz w:w="11900" w:h="16838" w:orient="portrait"/>
          <w:cols w:equalWidth="0" w:num="1">
            <w:col w:w="11000"/>
          </w:cols>
          <w:pgMar w:left="440" w:top="274" w:right="459" w:bottom="1440" w:gutter="0" w:footer="0" w:header="0"/>
        </w:sectPr>
      </w:pPr>
    </w:p>
    <w:bookmarkStart w:id="46" w:name="page47"/>
    <w:bookmarkEnd w:id="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225"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BofA Securities, Inc. (or its affiliate that is a Primary Treasury Dealer) and a Primary Treasury Dealer selected by MUFG Securities Americas Inc.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80"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ind w:right="3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Notice of any redemption will be mailed at least 15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215" w:lineRule="exact"/>
        <w:rPr>
          <w:sz w:val="20"/>
          <w:szCs w:val="20"/>
          <w:color w:val="auto"/>
        </w:rPr>
      </w:pPr>
    </w:p>
    <w:p>
      <w:pPr>
        <w:ind w:left="960" w:hanging="53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w:t>
      </w:r>
    </w:p>
    <w:p>
      <w:pPr>
        <w:sectPr>
          <w:pgSz w:w="11900" w:h="16838" w:orient="portrait"/>
          <w:cols w:equalWidth="0" w:num="1">
            <w:col w:w="10940"/>
          </w:cols>
          <w:pgMar w:left="440" w:top="270" w:right="519" w:bottom="1440" w:gutter="0" w:footer="0" w:header="0"/>
        </w:sectPr>
      </w:pPr>
    </w:p>
    <w:bookmarkStart w:id="47" w:name="page48"/>
    <w:bookmarkEnd w:id="4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215" w:lineRule="exact"/>
        <w:rPr>
          <w:sz w:val="20"/>
          <w:szCs w:val="20"/>
          <w:color w:val="auto"/>
        </w:rPr>
      </w:pPr>
    </w:p>
    <w:p>
      <w:pPr>
        <w:ind w:left="960" w:hanging="53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52" w:lineRule="exact"/>
        <w:rPr>
          <w:sz w:val="20"/>
          <w:szCs w:val="20"/>
          <w:color w:val="auto"/>
        </w:rPr>
      </w:pPr>
    </w:p>
    <w:p>
      <w:pPr>
        <w:ind w:left="960" w:hanging="532"/>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211" w:lineRule="exact"/>
        <w:rPr>
          <w:sz w:val="20"/>
          <w:szCs w:val="20"/>
          <w:color w:val="auto"/>
        </w:rPr>
      </w:pPr>
    </w:p>
    <w:p>
      <w:pPr>
        <w:ind w:left="960" w:hanging="53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jc w:val="both"/>
        <w:ind w:right="500" w:firstLine="440"/>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92" w:lineRule="exact"/>
        <w:rPr>
          <w:sz w:val="20"/>
          <w:szCs w:val="20"/>
          <w:color w:val="auto"/>
        </w:rPr>
      </w:pPr>
    </w:p>
    <w:p>
      <w:pPr>
        <w:ind w:left="960" w:hanging="53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1000"/>
          </w:cols>
          <w:pgMar w:left="440" w:top="274" w:right="459" w:bottom="1440" w:gutter="0" w:footer="0" w:header="0"/>
        </w:sectPr>
      </w:pPr>
    </w:p>
    <w:bookmarkStart w:id="48" w:name="page49"/>
    <w:bookmarkEnd w:id="48"/>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(Print or type assignee’s name, address and zip code)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color w:val="auto"/>
        </w:rPr>
        <w:t>and irrevocably appoint</w:t>
      </w:r>
      <w:r>
        <w:rPr>
          <w:sz w:val="20"/>
          <w:szCs w:val="20"/>
          <w:color w:val="auto"/>
        </w:rPr>
        <w:tab/>
      </w:r>
      <w:r>
        <w:rPr>
          <w:rFonts w:ascii="Arial" w:cs="Arial" w:eastAsia="Arial" w:hAnsi="Arial"/>
          <w:sz w:val="16"/>
          <w:szCs w:val="16"/>
          <w:color w:val="auto"/>
        </w:rPr>
        <w:t>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 Your Signature: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306070</wp:posOffset>
            </wp:positionV>
            <wp:extent cx="30003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6"/>
          <w:szCs w:val="16"/>
          <w:color w:val="auto"/>
        </w:rPr>
        <w:t>Signature</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color w:val="auto"/>
        </w:rPr>
        <w:t>STAMP</w:t>
      </w:r>
      <w:r>
        <w:rPr>
          <w:rFonts w:ascii="Arial" w:cs="Arial" w:eastAsia="Arial" w:hAnsi="Arial"/>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6995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40"/>
          </w:cols>
          <w:pgMar w:left="440" w:top="274" w:right="61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exchanges of a part of this Global Note for Physical Notes or a part of another Global Note have been made: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Amount of decrease in</w:t>
            </w:r>
          </w:p>
        </w:tc>
        <w:tc>
          <w:tcPr>
            <w:tcW w:w="25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Amount of increase in</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 of this</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Global Note following</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140" w:type="dxa"/>
            <w:vAlign w:val="bottom"/>
            <w:vMerge w:val="restart"/>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2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 amount of this</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 of</w:t>
            </w:r>
          </w:p>
        </w:tc>
        <w:tc>
          <w:tcPr>
            <w:tcW w:w="0" w:type="dxa"/>
            <w:vAlign w:val="bottom"/>
          </w:tcPr>
          <w:p>
            <w:pPr>
              <w:spacing w:after="0"/>
              <w:rPr>
                <w:sz w:val="1"/>
                <w:szCs w:val="1"/>
                <w:color w:val="auto"/>
              </w:rPr>
            </w:pPr>
          </w:p>
        </w:tc>
      </w:tr>
      <w:tr>
        <w:trPr>
          <w:trHeight w:val="185"/>
        </w:trPr>
        <w:tc>
          <w:tcPr>
            <w:tcW w:w="25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Global Note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Global Note</w:t>
            </w:r>
          </w:p>
        </w:tc>
        <w:tc>
          <w:tcPr>
            <w:tcW w:w="3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50" w:name="page51"/>
    <w:bookmarkEnd w:id="50"/>
    <w:p>
      <w:pPr>
        <w:ind w:left="10180"/>
        <w:spacing w:after="0"/>
        <w:rPr>
          <w:sz w:val="20"/>
          <w:szCs w:val="20"/>
          <w:color w:val="auto"/>
        </w:rPr>
      </w:pPr>
      <w:r>
        <w:rPr>
          <w:rFonts w:ascii="Arial" w:cs="Arial" w:eastAsia="Arial" w:hAnsi="Arial"/>
          <w:sz w:val="16"/>
          <w:szCs w:val="16"/>
          <w:b w:val="1"/>
          <w:bCs w:val="1"/>
          <w:color w:val="auto"/>
        </w:rPr>
        <w:t>Exhibit 5.1</w:t>
      </w:r>
    </w:p>
    <w:p>
      <w:pPr>
        <w:spacing w:after="0" w:line="275" w:lineRule="exact"/>
        <w:rPr>
          <w:sz w:val="20"/>
          <w:szCs w:val="20"/>
          <w:color w:val="auto"/>
        </w:rPr>
      </w:pPr>
    </w:p>
    <w:p>
      <w:pPr>
        <w:ind w:left="7940"/>
        <w:spacing w:after="0"/>
        <w:tabs>
          <w:tab w:leader="none" w:pos="9800" w:val="left"/>
        </w:tabs>
        <w:rPr>
          <w:sz w:val="20"/>
          <w:szCs w:val="20"/>
          <w:color w:val="auto"/>
        </w:rPr>
      </w:pPr>
      <w:r>
        <w:rPr>
          <w:rFonts w:ascii="Arial" w:cs="Arial" w:eastAsia="Arial" w:hAnsi="Arial"/>
          <w:sz w:val="18"/>
          <w:szCs w:val="18"/>
          <w:b w:val="1"/>
          <w:bCs w:val="1"/>
          <w:color w:val="auto"/>
        </w:rPr>
        <w:t>New York</w:t>
      </w:r>
      <w:r>
        <w:rPr>
          <w:sz w:val="20"/>
          <w:szCs w:val="20"/>
          <w:color w:val="auto"/>
        </w:rPr>
        <w:tab/>
      </w:r>
      <w:r>
        <w:rPr>
          <w:rFonts w:ascii="Arial" w:cs="Arial" w:eastAsia="Arial" w:hAnsi="Arial"/>
          <w:sz w:val="16"/>
          <w:szCs w:val="16"/>
          <w:b w:val="1"/>
          <w:bCs w:val="1"/>
          <w:color w:val="auto"/>
        </w:rPr>
        <w:t>Paris</w:t>
      </w:r>
    </w:p>
    <w:p>
      <w:pPr>
        <w:spacing w:after="0" w:line="27" w:lineRule="exact"/>
        <w:rPr>
          <w:sz w:val="20"/>
          <w:szCs w:val="20"/>
          <w:color w:val="auto"/>
        </w:rPr>
      </w:pPr>
    </w:p>
    <w:p>
      <w:pPr>
        <w:ind w:left="7940"/>
        <w:spacing w:after="0"/>
        <w:tabs>
          <w:tab w:leader="none" w:pos="9800" w:val="left"/>
        </w:tabs>
        <w:rPr>
          <w:sz w:val="20"/>
          <w:szCs w:val="20"/>
          <w:color w:val="auto"/>
        </w:rPr>
      </w:pPr>
      <w:r>
        <w:rPr>
          <w:rFonts w:ascii="Arial" w:cs="Arial" w:eastAsia="Arial" w:hAnsi="Arial"/>
          <w:sz w:val="18"/>
          <w:szCs w:val="18"/>
          <w:b w:val="1"/>
          <w:bCs w:val="1"/>
          <w:color w:val="auto"/>
        </w:rPr>
        <w:t>Northern California</w:t>
      </w:r>
      <w:r>
        <w:rPr>
          <w:sz w:val="20"/>
          <w:szCs w:val="20"/>
          <w:color w:val="auto"/>
        </w:rPr>
        <w:tab/>
      </w:r>
      <w:r>
        <w:rPr>
          <w:rFonts w:ascii="Arial" w:cs="Arial" w:eastAsia="Arial" w:hAnsi="Arial"/>
          <w:sz w:val="17"/>
          <w:szCs w:val="17"/>
          <w:b w:val="1"/>
          <w:bCs w:val="1"/>
          <w:color w:val="auto"/>
        </w:rPr>
        <w:t>Madrid</w:t>
      </w:r>
    </w:p>
    <w:p>
      <w:pPr>
        <w:spacing w:after="0" w:line="9" w:lineRule="exact"/>
        <w:rPr>
          <w:sz w:val="20"/>
          <w:szCs w:val="20"/>
          <w:color w:val="auto"/>
        </w:rPr>
      </w:pPr>
    </w:p>
    <w:p>
      <w:pPr>
        <w:ind w:left="7940"/>
        <w:spacing w:after="0"/>
        <w:tabs>
          <w:tab w:leader="none" w:pos="9800" w:val="left"/>
        </w:tabs>
        <w:rPr>
          <w:sz w:val="20"/>
          <w:szCs w:val="20"/>
          <w:color w:val="auto"/>
        </w:rPr>
      </w:pPr>
      <w:r>
        <w:rPr>
          <w:rFonts w:ascii="Arial" w:cs="Arial" w:eastAsia="Arial" w:hAnsi="Arial"/>
          <w:sz w:val="18"/>
          <w:szCs w:val="18"/>
          <w:b w:val="1"/>
          <w:bCs w:val="1"/>
          <w:color w:val="auto"/>
        </w:rPr>
        <w:t>Washington DC</w:t>
      </w:r>
      <w:r>
        <w:rPr>
          <w:sz w:val="20"/>
          <w:szCs w:val="20"/>
          <w:color w:val="auto"/>
        </w:rPr>
        <w:tab/>
      </w:r>
      <w:r>
        <w:rPr>
          <w:rFonts w:ascii="Arial" w:cs="Arial" w:eastAsia="Arial" w:hAnsi="Arial"/>
          <w:sz w:val="15"/>
          <w:szCs w:val="15"/>
          <w:b w:val="1"/>
          <w:bCs w:val="1"/>
          <w:color w:val="auto"/>
        </w:rPr>
        <w:t>Tokyo</w:t>
      </w:r>
    </w:p>
    <w:p>
      <w:pPr>
        <w:spacing w:after="0" w:line="9" w:lineRule="exact"/>
        <w:rPr>
          <w:sz w:val="20"/>
          <w:szCs w:val="20"/>
          <w:color w:val="auto"/>
        </w:rPr>
      </w:pPr>
    </w:p>
    <w:p>
      <w:pPr>
        <w:ind w:left="7940"/>
        <w:spacing w:after="0"/>
        <w:tabs>
          <w:tab w:leader="none" w:pos="9800" w:val="left"/>
        </w:tabs>
        <w:rPr>
          <w:sz w:val="20"/>
          <w:szCs w:val="20"/>
          <w:color w:val="auto"/>
        </w:rPr>
      </w:pPr>
      <w:r>
        <w:rPr>
          <w:rFonts w:ascii="Arial" w:cs="Arial" w:eastAsia="Arial" w:hAnsi="Arial"/>
          <w:sz w:val="18"/>
          <w:szCs w:val="18"/>
          <w:b w:val="1"/>
          <w:bCs w:val="1"/>
          <w:color w:val="auto"/>
        </w:rPr>
        <w:t>São Paulo</w:t>
      </w:r>
      <w:r>
        <w:rPr>
          <w:sz w:val="20"/>
          <w:szCs w:val="20"/>
          <w:color w:val="auto"/>
        </w:rPr>
        <w:tab/>
      </w:r>
      <w:r>
        <w:rPr>
          <w:rFonts w:ascii="Arial" w:cs="Arial" w:eastAsia="Arial" w:hAnsi="Arial"/>
          <w:sz w:val="16"/>
          <w:szCs w:val="16"/>
          <w:b w:val="1"/>
          <w:bCs w:val="1"/>
          <w:color w:val="auto"/>
        </w:rPr>
        <w:t>Beijing</w:t>
      </w:r>
    </w:p>
    <w:p>
      <w:pPr>
        <w:spacing w:after="0" w:line="9" w:lineRule="exact"/>
        <w:rPr>
          <w:sz w:val="20"/>
          <w:szCs w:val="20"/>
          <w:color w:val="auto"/>
        </w:rPr>
      </w:pPr>
    </w:p>
    <w:p>
      <w:pPr>
        <w:ind w:left="7940"/>
        <w:spacing w:after="0"/>
        <w:tabs>
          <w:tab w:leader="none" w:pos="9800" w:val="left"/>
        </w:tabs>
        <w:rPr>
          <w:sz w:val="20"/>
          <w:szCs w:val="20"/>
          <w:color w:val="auto"/>
        </w:rPr>
      </w:pPr>
      <w:r>
        <w:rPr>
          <w:rFonts w:ascii="Arial" w:cs="Arial" w:eastAsia="Arial" w:hAnsi="Arial"/>
          <w:sz w:val="18"/>
          <w:szCs w:val="18"/>
          <w:b w:val="1"/>
          <w:bCs w:val="1"/>
          <w:color w:val="auto"/>
        </w:rPr>
        <w:t>London</w:t>
      </w:r>
      <w:r>
        <w:rPr>
          <w:sz w:val="20"/>
          <w:szCs w:val="20"/>
          <w:color w:val="auto"/>
        </w:rPr>
        <w:tab/>
      </w:r>
      <w:r>
        <w:rPr>
          <w:rFonts w:ascii="Arial" w:cs="Arial" w:eastAsia="Arial" w:hAnsi="Arial"/>
          <w:sz w:val="18"/>
          <w:szCs w:val="18"/>
          <w:b w:val="1"/>
          <w:bCs w:val="1"/>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168275</wp:posOffset>
            </wp:positionV>
            <wp:extent cx="1337310" cy="265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3731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b w:val="1"/>
                <w:bCs w:val="1"/>
                <w:color w:val="auto"/>
              </w:rPr>
              <w:t xml:space="preserve">Davis Polk &amp; Wardwell </w:t>
            </w:r>
            <w:r>
              <w:rPr>
                <w:rFonts w:ascii="Arial" w:cs="Arial" w:eastAsia="Arial" w:hAnsi="Arial"/>
                <w:sz w:val="14"/>
                <w:szCs w:val="14"/>
                <w:b w:val="1"/>
                <w:bCs w:val="1"/>
                <w:color w:val="auto"/>
              </w:rPr>
              <w:t>LLP</w:t>
            </w:r>
          </w:p>
        </w:tc>
        <w:tc>
          <w:tcPr>
            <w:tcW w:w="1440" w:type="dxa"/>
            <w:vAlign w:val="bottom"/>
          </w:tcPr>
          <w:p>
            <w:pPr>
              <w:ind w:left="200"/>
              <w:spacing w:after="0"/>
              <w:rPr>
                <w:sz w:val="20"/>
                <w:szCs w:val="20"/>
                <w:color w:val="auto"/>
              </w:rPr>
            </w:pPr>
            <w:r>
              <w:rPr>
                <w:rFonts w:ascii="Arial" w:cs="Arial" w:eastAsia="Arial" w:hAnsi="Arial"/>
                <w:sz w:val="18"/>
                <w:szCs w:val="18"/>
                <w:b w:val="1"/>
                <w:bCs w:val="1"/>
                <w:color w:val="auto"/>
                <w:w w:val="89"/>
              </w:rPr>
              <w:t>650 752 2000 tel</w:t>
            </w:r>
          </w:p>
        </w:tc>
      </w:tr>
      <w:tr>
        <w:trPr>
          <w:trHeight w:val="216"/>
        </w:trPr>
        <w:tc>
          <w:tcPr>
            <w:tcW w:w="2340" w:type="dxa"/>
            <w:vAlign w:val="bottom"/>
          </w:tcPr>
          <w:p>
            <w:pPr>
              <w:spacing w:after="0"/>
              <w:rPr>
                <w:sz w:val="20"/>
                <w:szCs w:val="20"/>
                <w:color w:val="auto"/>
              </w:rPr>
            </w:pPr>
            <w:r>
              <w:rPr>
                <w:rFonts w:ascii="Arial" w:cs="Arial" w:eastAsia="Arial" w:hAnsi="Arial"/>
                <w:sz w:val="18"/>
                <w:szCs w:val="18"/>
                <w:b w:val="1"/>
                <w:bCs w:val="1"/>
                <w:color w:val="auto"/>
              </w:rPr>
              <w:t>1600 El Camino Real</w:t>
            </w:r>
          </w:p>
        </w:tc>
        <w:tc>
          <w:tcPr>
            <w:tcW w:w="1440" w:type="dxa"/>
            <w:vAlign w:val="bottom"/>
          </w:tcPr>
          <w:p>
            <w:pPr>
              <w:ind w:left="200"/>
              <w:spacing w:after="0"/>
              <w:rPr>
                <w:sz w:val="20"/>
                <w:szCs w:val="20"/>
                <w:color w:val="auto"/>
              </w:rPr>
            </w:pPr>
            <w:r>
              <w:rPr>
                <w:rFonts w:ascii="Arial" w:cs="Arial" w:eastAsia="Arial" w:hAnsi="Arial"/>
                <w:sz w:val="18"/>
                <w:szCs w:val="18"/>
                <w:b w:val="1"/>
                <w:bCs w:val="1"/>
                <w:color w:val="auto"/>
                <w:w w:val="86"/>
              </w:rPr>
              <w:t>650 752 2111 fax</w:t>
            </w:r>
          </w:p>
        </w:tc>
      </w:tr>
      <w:tr>
        <w:trPr>
          <w:trHeight w:val="234"/>
        </w:trPr>
        <w:tc>
          <w:tcPr>
            <w:tcW w:w="2340" w:type="dxa"/>
            <w:vAlign w:val="bottom"/>
          </w:tcPr>
          <w:p>
            <w:pPr>
              <w:spacing w:after="0"/>
              <w:rPr>
                <w:sz w:val="20"/>
                <w:szCs w:val="20"/>
                <w:color w:val="auto"/>
              </w:rPr>
            </w:pPr>
            <w:r>
              <w:rPr>
                <w:rFonts w:ascii="Arial" w:cs="Arial" w:eastAsia="Arial" w:hAnsi="Arial"/>
                <w:sz w:val="18"/>
                <w:szCs w:val="18"/>
                <w:b w:val="1"/>
                <w:bCs w:val="1"/>
                <w:color w:val="auto"/>
              </w:rPr>
              <w:t>Menlo Park, CA 94025</w:t>
            </w:r>
          </w:p>
        </w:tc>
        <w:tc>
          <w:tcPr>
            <w:tcW w:w="144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acted as special counsel for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 offering of $750,000,000 aggregate principal amount of 1.375% Notes due 2025 (the “</w:t>
      </w:r>
      <w:r>
        <w:rPr>
          <w:rFonts w:ascii="Arial" w:cs="Arial" w:eastAsia="Arial" w:hAnsi="Arial"/>
          <w:sz w:val="16"/>
          <w:szCs w:val="16"/>
          <w:b w:val="1"/>
          <w:bCs w:val="1"/>
          <w:color w:val="auto"/>
        </w:rPr>
        <w:t>Notes</w:t>
      </w:r>
      <w:r>
        <w:rPr>
          <w:rFonts w:ascii="Arial" w:cs="Arial" w:eastAsia="Arial" w:hAnsi="Arial"/>
          <w:sz w:val="16"/>
          <w:szCs w:val="16"/>
          <w:color w:val="auto"/>
        </w:rPr>
        <w:t>”) in an underwritten public offering pursuant to an underwriting agreement dated March 3, 2020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and BofA Securities, Inc. and MUFG Securities Americas Inc. (the “</w:t>
      </w:r>
      <w:r>
        <w:rPr>
          <w:rFonts w:ascii="Arial" w:cs="Arial" w:eastAsia="Arial" w:hAnsi="Arial"/>
          <w:sz w:val="16"/>
          <w:szCs w:val="16"/>
          <w:b w:val="1"/>
          <w:bCs w:val="1"/>
          <w:color w:val="auto"/>
        </w:rPr>
        <w:t>Representatives</w:t>
      </w:r>
      <w:r>
        <w:rPr>
          <w:rFonts w:ascii="Arial" w:cs="Arial" w:eastAsia="Arial" w:hAnsi="Arial"/>
          <w:sz w:val="16"/>
          <w:szCs w:val="16"/>
          <w:color w:val="auto"/>
        </w:rPr>
        <w:t>”), as representatives of the several underwriters listed in Schedule II thereto (the “</w:t>
      </w:r>
      <w:r>
        <w:rPr>
          <w:rFonts w:ascii="Arial" w:cs="Arial" w:eastAsia="Arial" w:hAnsi="Arial"/>
          <w:sz w:val="16"/>
          <w:szCs w:val="16"/>
          <w:b w:val="1"/>
          <w:bCs w:val="1"/>
          <w:color w:val="auto"/>
        </w:rPr>
        <w:t>Underwriters</w:t>
      </w:r>
      <w:r>
        <w:rPr>
          <w:rFonts w:ascii="Arial" w:cs="Arial" w:eastAsia="Arial" w:hAnsi="Arial"/>
          <w:sz w:val="16"/>
          <w:szCs w:val="16"/>
          <w:color w:val="auto"/>
        </w:rPr>
        <w:t>”). The Notes are to be issued pursuant to an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the Company and U.S. Bank National Association, as Trustee, and an Officers’ Certificate to be issued pursuant thereto on or about March 12, 2020. The Company has filed with the Securities and Exchange Commission a Registration Statement on Form S-3 (File No. 333-229797,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offer and sale of certain securities, including the Notes.</w:t>
      </w:r>
    </w:p>
    <w:p>
      <w:pPr>
        <w:spacing w:after="0" w:line="1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w:t>
      </w:r>
    </w:p>
    <w:p>
      <w:pPr>
        <w:sectPr>
          <w:pgSz w:w="11900" w:h="16838" w:orient="portrait"/>
          <w:cols w:equalWidth="0" w:num="1">
            <w:col w:w="11020"/>
          </w:cols>
          <w:pgMar w:left="440" w:top="121" w:right="439" w:bottom="1440" w:gutter="0" w:footer="0" w:header="0"/>
        </w:sectPr>
      </w:pPr>
    </w:p>
    <w:bookmarkStart w:id="51" w:name="page52"/>
    <w:bookmarkEnd w:id="51"/>
    <w:p>
      <w:pPr>
        <w:spacing w:after="0"/>
        <w:tabs>
          <w:tab w:leader="none" w:pos="5680" w:val="left"/>
          <w:tab w:leader="none" w:pos="9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March 12, 2020</w:t>
      </w:r>
    </w:p>
    <w:p>
      <w:pPr>
        <w:spacing w:after="0" w:line="15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opinion expressed above, we have assumed that at or prior to the time of the delivery of the Notes, the Indenture and the Notes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hereby consent to the filing of this opinion as an exhibit to a report on Form 8-K to be filed by the Company on the date hereof and its incorporation by reference in the Registration Statement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04"/>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
    <w:nsid w:val="189A769B"/>
    <w:multiLevelType w:val="hybridMultilevel"/>
    <w:lvl w:ilvl="0">
      <w:lvlJc w:val="left"/>
      <w:lvlText w:val="(%1)"/>
      <w:numFmt w:val="lowerRoman"/>
      <w:start w:val="6"/>
    </w:lvl>
    <w:lvl w:ilvl="1">
      <w:lvlJc w:val="left"/>
      <w:lvlText w:val="(%2)"/>
      <w:numFmt w:val="upperLetter"/>
      <w:start w:val="1"/>
    </w:lvl>
  </w:abstractNum>
  <w:abstractNum w:abstractNumId="7">
    <w:nsid w:val="54E49EB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
    <w:nsid w:val="71F3245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
    <w:nsid w:val="2CA88611"/>
    <w:multiLevelType w:val="hybridMultilevel"/>
    <w:lvl w:ilvl="0">
      <w:lvlJc w:val="left"/>
      <w:lvlText w:val="%1"/>
      <w:numFmt w:val="lowerRoman"/>
      <w:start w:val="1"/>
    </w:lvl>
    <w:lvl w:ilvl="1">
      <w:lvlJc w:val="left"/>
      <w:lvlText w:val="(%2)"/>
      <w:numFmt w:val="upperLetter"/>
      <w:start w:val="3"/>
    </w:lvl>
  </w:abstractNum>
  <w:abstractNum w:abstractNumId="10">
    <w:nsid w:val="836C40E"/>
    <w:multiLevelType w:val="hybridMultilevel"/>
    <w:lvl w:ilvl="0">
      <w:lvlJc w:val="left"/>
      <w:lvlText w:val="(%1)"/>
      <w:numFmt w:val="lowerRoman"/>
      <w:start w:val="3"/>
    </w:lvl>
    <w:lvl w:ilvl="1">
      <w:lvlJc w:val="left"/>
      <w:lvlText w:val="(%2)"/>
      <w:numFmt w:val="upperLetter"/>
      <w:start w:val="1"/>
    </w:lvl>
  </w:abstractNum>
  <w:abstractNum w:abstractNumId="11">
    <w:nsid w:val="2901D82"/>
    <w:multiLevelType w:val="hybridMultilevel"/>
    <w:lvl w:ilvl="0">
      <w:lvlJc w:val="left"/>
      <w:lvlText w:val="(%1)"/>
      <w:numFmt w:val="lowerRoman"/>
      <w:start w:val="8"/>
    </w:lvl>
    <w:lvl w:ilvl="1">
      <w:lvlJc w:val="left"/>
      <w:lvlText w:val="(%2)"/>
      <w:numFmt w:val="upperLetter"/>
      <w:start w:val="1"/>
    </w:lvl>
  </w:abstractNum>
  <w:abstractNum w:abstractNumId="12">
    <w:nsid w:val="3A95F87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3">
    <w:nsid w:val="8138641"/>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14">
    <w:nsid w:val="1E7FF52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5">
    <w:nsid w:val="7C3DBD3D"/>
    <w:multiLevelType w:val="hybridMultilevel"/>
    <w:lvl w:ilvl="0">
      <w:lvlJc w:val="left"/>
      <w:lvlText w:val="(%1)"/>
      <w:numFmt w:val="lowerLetter"/>
      <w:start w:val="5"/>
    </w:lvl>
  </w:abstractNum>
  <w:abstractNum w:abstractNumId="16">
    <w:nsid w:val="737B8DDC"/>
    <w:multiLevelType w:val="hybridMultilevel"/>
    <w:lvl w:ilvl="0">
      <w:lvlJc w:val="left"/>
      <w:lvlText w:val="(%1)"/>
      <w:numFmt w:val="lowerLetter"/>
      <w:start w:val="6"/>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1)"/>
      <w:numFmt w:val="lowerLetter"/>
      <w:start w:val="6"/>
    </w:lvl>
  </w:abstractNum>
  <w:abstractNum w:abstractNumId="19">
    <w:nsid w:val="4516DDE9"/>
    <w:multiLevelType w:val="hybridMultilevel"/>
    <w:lvl w:ilvl="0">
      <w:lvlJc w:val="left"/>
      <w:lvlText w:val="(%1)"/>
      <w:numFmt w:val="lowerLetter"/>
      <w:start w:val="9"/>
    </w:lvl>
  </w:abstractNum>
  <w:abstractNum w:abstractNumId="20">
    <w:nsid w:val="3006C83E"/>
    <w:multiLevelType w:val="hybridMultilevel"/>
    <w:lvl w:ilvl="0">
      <w:lvlJc w:val="left"/>
      <w:lvlText w:val="%1"/>
      <w:numFmt w:val="lowerLetter"/>
      <w:start w:val="1"/>
    </w:lvl>
    <w:lvl w:ilvl="1">
      <w:lvlJc w:val="left"/>
      <w:lvlText w:val="(%2)"/>
      <w:numFmt w:val="lowerLetter"/>
      <w:start w:val="14"/>
    </w:lvl>
  </w:abstractNum>
  <w:abstractNum w:abstractNumId="21">
    <w:nsid w:val="614FD4A1"/>
    <w:multiLevelType w:val="hybridMultilevel"/>
    <w:lvl w:ilvl="0">
      <w:lvlJc w:val="left"/>
      <w:lvlText w:val="(%1)"/>
      <w:numFmt w:val="lowerLetter"/>
      <w:start w:val="22"/>
    </w:lvl>
    <w:lvl w:ilvl="1">
      <w:lvlJc w:val="left"/>
      <w:lvlText w:val="%2"/>
      <w:numFmt w:val="lowerLetter"/>
      <w:start w:val="1"/>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1)"/>
      <w:numFmt w:val="lowerLetter"/>
      <w:start w:val="2"/>
    </w:lvl>
  </w:abstractNum>
  <w:abstractNum w:abstractNumId="24">
    <w:nsid w:val="440BADFC"/>
    <w:multiLevelType w:val="hybridMultilevel"/>
    <w:lvl w:ilvl="0">
      <w:lvlJc w:val="left"/>
      <w:lvlText w:val="(%1)"/>
      <w:numFmt w:val="lowerLetter"/>
      <w:start w:val="4"/>
    </w:lvl>
  </w:abstractNum>
  <w:abstractNum w:abstractNumId="25">
    <w:nsid w:val="5072367"/>
    <w:multiLevelType w:val="hybridMultilevel"/>
    <w:lvl w:ilvl="0">
      <w:lvlJc w:val="left"/>
      <w:lvlText w:val="%1"/>
      <w:numFmt w:val="lowerLetter"/>
      <w:start w:val="1"/>
    </w:lvl>
    <w:lvl w:ilvl="1">
      <w:lvlJc w:val="left"/>
      <w:lvlText w:val="(%2)"/>
      <w:numFmt w:val="lowerLetter"/>
      <w:start w:val="8"/>
    </w:lvl>
  </w:abstractNum>
  <w:abstractNum w:abstractNumId="26">
    <w:nsid w:val="3804823E"/>
    <w:multiLevelType w:val="hybridMultilevel"/>
    <w:lvl w:ilvl="0">
      <w:lvlJc w:val="left"/>
      <w:lvlText w:val="(%1)"/>
      <w:numFmt w:val="lowerLetter"/>
      <w:start w:val="35"/>
    </w:lvl>
    <w:lvl w:ilvl="1">
      <w:lvlJc w:val="left"/>
      <w:lvlText w:val="(%2)"/>
      <w:numFmt w:val="lowerLetter"/>
      <w:start w:val="9"/>
    </w:lvl>
  </w:abstractNum>
  <w:abstractNum w:abstractNumId="27">
    <w:nsid w:val="77465F01"/>
    <w:multiLevelType w:val="hybridMultilevel"/>
    <w:lvl w:ilvl="0">
      <w:lvlJc w:val="left"/>
      <w:lvlText w:val="(%1)"/>
      <w:numFmt w:val="lowerLetter"/>
      <w:start w:val="14"/>
    </w:lvl>
  </w:abstractNum>
  <w:abstractNum w:abstractNumId="28">
    <w:nsid w:val="7724C67E"/>
    <w:multiLevelType w:val="hybridMultilevel"/>
    <w:lvl w:ilvl="0">
      <w:lvlJc w:val="left"/>
      <w:lvlText w:val="(%1)"/>
      <w:numFmt w:val="lowerRoman"/>
      <w:start w:val="2"/>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1"/>
    </w:lvl>
    <w:lvl w:ilvl="1">
      <w:lvlJc w:val="left"/>
      <w:lvlText w:val="(%2)"/>
      <w:numFmt w:val="lowerLetter"/>
      <w:start w:val="1"/>
    </w:lvl>
  </w:abstractNum>
  <w:abstractNum w:abstractNumId="31">
    <w:nsid w:val="5E884ADC"/>
    <w:multiLevelType w:val="hybridMultilevel"/>
    <w:lvl w:ilvl="0">
      <w:lvlJc w:val="left"/>
      <w:lvlText w:val="(%1)"/>
      <w:numFmt w:val="lowerLetter"/>
      <w:start w:val="35"/>
    </w:lvl>
    <w:lvl w:ilvl="1">
      <w:lvlJc w:val="left"/>
      <w:lvlText w:val="%2"/>
      <w:numFmt w:val="lowerLetter"/>
      <w:start w:val="1"/>
    </w:lvl>
  </w:abstractNum>
  <w:abstractNum w:abstractNumId="32">
    <w:nsid w:val="51EAD36B"/>
    <w:multiLevelType w:val="hybridMultilevel"/>
    <w:lvl w:ilvl="0">
      <w:lvlJc w:val="left"/>
      <w:lvlText w:val="(%1)"/>
      <w:numFmt w:val="lowerRoman"/>
      <w:start w:val="2"/>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2"/>
    </w:lvl>
  </w:abstractNum>
  <w:abstractNum w:abstractNumId="35">
    <w:nsid w:val="153EA438"/>
    <w:multiLevelType w:val="hybridMultilevel"/>
    <w:lvl w:ilvl="0">
      <w:lvlJc w:val="left"/>
      <w:lvlText w:val="%1."/>
      <w:numFmt w:val="decimal"/>
      <w:start w:val="3"/>
    </w:lvl>
  </w:abstractNum>
  <w:abstractNum w:abstractNumId="36">
    <w:nsid w:val="3855585C"/>
    <w:multiLevelType w:val="hybridMultilevel"/>
    <w:lvl w:ilvl="0">
      <w:lvlJc w:val="left"/>
      <w:lvlText w:val="%1."/>
      <w:numFmt w:val="decimal"/>
      <w:start w:val="4"/>
    </w:lvl>
  </w:abstractNum>
  <w:abstractNum w:abstractNumId="37">
    <w:nsid w:val="70A64E2A"/>
    <w:multiLevelType w:val="hybridMultilevel"/>
    <w:lvl w:ilvl="0">
      <w:lvlJc w:val="left"/>
      <w:lvlText w:val="%1."/>
      <w:numFmt w:val="decimal"/>
      <w:start w:val="5"/>
    </w:lvl>
  </w:abstractNum>
  <w:abstractNum w:abstractNumId="38">
    <w:nsid w:val="6A2342EC"/>
    <w:multiLevelType w:val="hybridMultilevel"/>
    <w:lvl w:ilvl="0">
      <w:lvlJc w:val="left"/>
      <w:lvlText w:val="%1."/>
      <w:numFmt w:val="decimal"/>
      <w:start w:val="6"/>
    </w:lvl>
    <w:lvl w:ilvl="1">
      <w:lvlJc w:val="left"/>
      <w:lvlText w:val="(%2)"/>
      <w:numFmt w:val="lowerLetter"/>
      <w:start w:val="1"/>
    </w:lvl>
  </w:abstractNum>
  <w:abstractNum w:abstractNumId="39">
    <w:nsid w:val="2A487CB0"/>
    <w:multiLevelType w:val="hybridMultilevel"/>
    <w:lvl w:ilvl="0">
      <w:lvlJc w:val="left"/>
      <w:lvlText w:val="(%1)"/>
      <w:numFmt w:val="lowerRoman"/>
      <w:start w:val="1"/>
    </w:lvl>
  </w:abstractNum>
  <w:abstractNum w:abstractNumId="40">
    <w:nsid w:val="1D4ED43B"/>
    <w:multiLevelType w:val="hybridMultilevel"/>
    <w:lvl w:ilvl="0">
      <w:lvlJc w:val="left"/>
      <w:lvlText w:val="(%1)"/>
      <w:numFmt w:val="lowerLetter"/>
      <w:start w:val="2"/>
    </w:lvl>
  </w:abstractNum>
  <w:abstractNum w:abstractNumId="41">
    <w:nsid w:val="725A06FB"/>
    <w:multiLevelType w:val="hybridMultilevel"/>
    <w:lvl w:ilvl="0">
      <w:lvlJc w:val="left"/>
      <w:lvlText w:val="%1."/>
      <w:numFmt w:val="decimal"/>
      <w:start w:val="7"/>
    </w:lvl>
  </w:abstractNum>
  <w:abstractNum w:abstractNumId="42">
    <w:nsid w:val="2CD89A32"/>
    <w:multiLevelType w:val="hybridMultilevel"/>
    <w:lvl w:ilvl="0">
      <w:lvlJc w:val="left"/>
      <w:lvlText w:val="%1."/>
      <w:numFmt w:val="decimal"/>
      <w:start w:val="8"/>
    </w:lvl>
  </w:abstractNum>
  <w:abstractNum w:abstractNumId="43">
    <w:nsid w:val="57E4CCAF"/>
    <w:multiLevelType w:val="hybridMultilevel"/>
    <w:lvl w:ilvl="0">
      <w:lvlJc w:val="left"/>
      <w:lvlText w:val="%1."/>
      <w:numFmt w:val="decimal"/>
      <w:start w:val="9"/>
    </w:lvl>
  </w:abstractNum>
  <w:abstractNum w:abstractNumId="44">
    <w:nsid w:val="7A6D8D3C"/>
    <w:multiLevelType w:val="hybridMultilevel"/>
    <w:lvl w:ilvl="0">
      <w:lvlJc w:val="left"/>
      <w:lvlText w:val="%1."/>
      <w:numFmt w:val="decimal"/>
      <w:start w:val="10"/>
    </w:lvl>
  </w:abstractNum>
  <w:abstractNum w:abstractNumId="45">
    <w:nsid w:val="4B588F5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2020-03-12T15:14:01Z</dcterms:created>
  <dcterms:modified xsi:type="dcterms:W3CDTF">2020-03-12T15:14:01Z</dcterms:modified>
</cp:coreProperties>
</file>